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6144"/>
      </w:tblGrid>
      <w:tr w:rsidR="00E52109" w14:paraId="5498F217" w14:textId="77777777" w:rsidTr="006476E1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E8979C" w14:textId="77777777" w:rsidR="00E52109" w:rsidRPr="002A32CB" w:rsidRDefault="00E52109" w:rsidP="004858F5"/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0D3788" w14:textId="13FC4D83" w:rsidR="00E52109" w:rsidRDefault="00E52109" w:rsidP="006476E1">
            <w:pPr>
              <w:spacing w:after="80" w:line="300" w:lineRule="exact"/>
              <w:rPr>
                <w:sz w:val="28"/>
                <w:szCs w:val="28"/>
              </w:rPr>
            </w:pP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18198C" w14:textId="6C47C9A6" w:rsidR="00E52109" w:rsidRDefault="0039370E" w:rsidP="0039370E">
            <w:pPr>
              <w:jc w:val="right"/>
            </w:pPr>
            <w:r w:rsidRPr="00224447">
              <w:rPr>
                <w:b/>
                <w:bCs/>
                <w:sz w:val="40"/>
              </w:rPr>
              <w:t>UN</w:t>
            </w:r>
            <w:r w:rsidRPr="00224447">
              <w:rPr>
                <w:b/>
                <w:bCs/>
                <w:sz w:val="40"/>
                <w:szCs w:val="40"/>
              </w:rPr>
              <w:t>/SCETDG/</w:t>
            </w:r>
            <w:r w:rsidR="005A3B9D">
              <w:rPr>
                <w:b/>
                <w:bCs/>
                <w:sz w:val="40"/>
                <w:szCs w:val="40"/>
              </w:rPr>
              <w:t>64</w:t>
            </w:r>
            <w:r w:rsidRPr="00224447">
              <w:rPr>
                <w:b/>
                <w:bCs/>
                <w:sz w:val="40"/>
                <w:szCs w:val="40"/>
              </w:rPr>
              <w:t>/INF.1</w:t>
            </w:r>
            <w:r w:rsidR="00B8395E">
              <w:rPr>
                <w:b/>
                <w:bCs/>
                <w:sz w:val="40"/>
                <w:szCs w:val="40"/>
              </w:rPr>
              <w:t>3</w:t>
            </w:r>
          </w:p>
        </w:tc>
      </w:tr>
    </w:tbl>
    <w:p w14:paraId="1D7B5338" w14:textId="77777777" w:rsidR="0039370E" w:rsidRPr="006500BA" w:rsidRDefault="0039370E" w:rsidP="004858F5">
      <w:pPr>
        <w:spacing w:before="120"/>
        <w:rPr>
          <w:b/>
          <w:sz w:val="24"/>
          <w:szCs w:val="24"/>
        </w:rPr>
      </w:pPr>
      <w:r w:rsidRPr="006500BA">
        <w:rPr>
          <w:b/>
          <w:sz w:val="24"/>
          <w:szCs w:val="24"/>
        </w:rPr>
        <w:t>Committee of Experts on the Transport of Dangerous Goods</w:t>
      </w:r>
      <w:r w:rsidRPr="006500BA">
        <w:rPr>
          <w:b/>
          <w:sz w:val="24"/>
          <w:szCs w:val="24"/>
        </w:rPr>
        <w:br/>
        <w:t>and on the Globally Harmonized System of Classification</w:t>
      </w:r>
      <w:r w:rsidRPr="006500BA">
        <w:rPr>
          <w:b/>
          <w:sz w:val="24"/>
          <w:szCs w:val="24"/>
        </w:rPr>
        <w:br/>
        <w:t>and Labelling of Chemicals</w:t>
      </w:r>
    </w:p>
    <w:p w14:paraId="1F343A07" w14:textId="1151E47F" w:rsidR="0039370E" w:rsidRPr="006500BA" w:rsidRDefault="0039370E" w:rsidP="004858F5">
      <w:pPr>
        <w:spacing w:before="120"/>
        <w:rPr>
          <w:rFonts w:ascii="Helv" w:hAnsi="Helv" w:cs="Helv"/>
          <w:b/>
          <w:color w:val="000000"/>
        </w:rPr>
      </w:pPr>
      <w:r w:rsidRPr="006500BA">
        <w:rPr>
          <w:b/>
        </w:rPr>
        <w:t xml:space="preserve">Sub-Committee of Experts on the </w:t>
      </w:r>
      <w:r>
        <w:rPr>
          <w:b/>
        </w:rPr>
        <w:t>Transport of Dangerous Goods</w:t>
      </w:r>
      <w:r w:rsidR="0033310E">
        <w:rPr>
          <w:b/>
        </w:rPr>
        <w:tab/>
      </w:r>
      <w:r w:rsidR="0033310E">
        <w:rPr>
          <w:b/>
        </w:rPr>
        <w:tab/>
      </w:r>
      <w:r w:rsidR="0033310E">
        <w:rPr>
          <w:b/>
        </w:rPr>
        <w:tab/>
      </w:r>
      <w:r w:rsidR="0033310E">
        <w:rPr>
          <w:b/>
        </w:rPr>
        <w:tab/>
      </w:r>
      <w:r w:rsidR="00205FB9">
        <w:rPr>
          <w:b/>
        </w:rPr>
        <w:t>1</w:t>
      </w:r>
      <w:r w:rsidR="00B8395E">
        <w:rPr>
          <w:b/>
        </w:rPr>
        <w:t>7</w:t>
      </w:r>
      <w:r w:rsidR="0033310E" w:rsidRPr="00F90EE7">
        <w:rPr>
          <w:b/>
        </w:rPr>
        <w:t xml:space="preserve"> </w:t>
      </w:r>
      <w:r w:rsidR="00F90EE7">
        <w:rPr>
          <w:b/>
        </w:rPr>
        <w:t>Ma</w:t>
      </w:r>
      <w:r w:rsidR="00F90EE7">
        <w:rPr>
          <w:b/>
          <w:lang w:val="es-ES"/>
        </w:rPr>
        <w:t>y</w:t>
      </w:r>
      <w:r w:rsidR="0033310E" w:rsidRPr="00F90EE7">
        <w:rPr>
          <w:b/>
        </w:rPr>
        <w:t xml:space="preserve"> 2024</w:t>
      </w:r>
    </w:p>
    <w:p w14:paraId="31A2D83D" w14:textId="1329787F" w:rsidR="0039370E" w:rsidRPr="006500BA" w:rsidRDefault="002E76EA" w:rsidP="004858F5">
      <w:pPr>
        <w:spacing w:before="120"/>
        <w:rPr>
          <w:b/>
        </w:rPr>
      </w:pPr>
      <w:r>
        <w:rPr>
          <w:b/>
        </w:rPr>
        <w:t>Sixty-fourth</w:t>
      </w:r>
      <w:r w:rsidR="0039370E">
        <w:rPr>
          <w:b/>
        </w:rPr>
        <w:t xml:space="preserve"> </w:t>
      </w:r>
      <w:r w:rsidR="0039370E" w:rsidRPr="006500BA">
        <w:rPr>
          <w:b/>
        </w:rPr>
        <w:t>session</w:t>
      </w:r>
    </w:p>
    <w:p w14:paraId="4F4E70C1" w14:textId="57D5494B" w:rsidR="0039370E" w:rsidRPr="006500BA" w:rsidRDefault="0039370E" w:rsidP="004858F5">
      <w:r w:rsidRPr="006500BA">
        <w:t xml:space="preserve">Geneva, </w:t>
      </w:r>
      <w:r w:rsidR="00F13BB0">
        <w:t>24 June-3 July</w:t>
      </w:r>
      <w:r w:rsidR="002E76EA">
        <w:t xml:space="preserve"> 2024</w:t>
      </w:r>
      <w:r>
        <w:t xml:space="preserve"> </w:t>
      </w:r>
    </w:p>
    <w:p w14:paraId="04B2E2B3" w14:textId="40B8C996" w:rsidR="001F6C71" w:rsidRDefault="0039370E" w:rsidP="001F6C71">
      <w:r w:rsidRPr="006500BA">
        <w:t xml:space="preserve">Item </w:t>
      </w:r>
      <w:r w:rsidR="003E07D9">
        <w:t>5</w:t>
      </w:r>
      <w:r w:rsidR="006940B0">
        <w:t xml:space="preserve"> </w:t>
      </w:r>
      <w:r w:rsidR="006940B0" w:rsidRPr="008C131C">
        <w:t>(</w:t>
      </w:r>
      <w:r w:rsidR="008C131C">
        <w:t>a</w:t>
      </w:r>
      <w:r w:rsidR="006940B0" w:rsidRPr="008C131C">
        <w:t>)</w:t>
      </w:r>
      <w:r w:rsidRPr="006500BA">
        <w:t xml:space="preserve"> of the provisional agenda</w:t>
      </w:r>
    </w:p>
    <w:p w14:paraId="6F322475" w14:textId="77777777" w:rsidR="0099436D" w:rsidRDefault="0047018B" w:rsidP="001F6C71">
      <w:pPr>
        <w:rPr>
          <w:b/>
          <w:bCs/>
        </w:rPr>
      </w:pPr>
      <w:r>
        <w:rPr>
          <w:b/>
          <w:bCs/>
        </w:rPr>
        <w:t>Transport of gases</w:t>
      </w:r>
      <w:r w:rsidR="008C131C">
        <w:rPr>
          <w:b/>
          <w:bCs/>
        </w:rPr>
        <w:t>:</w:t>
      </w:r>
    </w:p>
    <w:p w14:paraId="063DEB50" w14:textId="73B7D9F9" w:rsidR="006940B0" w:rsidRDefault="006B7121" w:rsidP="001F6C71">
      <w:pPr>
        <w:rPr>
          <w:b/>
          <w:bCs/>
        </w:rPr>
      </w:pPr>
      <w:r w:rsidRPr="006B7121">
        <w:rPr>
          <w:b/>
          <w:bCs/>
        </w:rPr>
        <w:t>Global recognition of United Nations</w:t>
      </w:r>
    </w:p>
    <w:p w14:paraId="7612EE12" w14:textId="4CFA48ED" w:rsidR="008C131C" w:rsidRDefault="006B7121" w:rsidP="001F6C71">
      <w:pPr>
        <w:rPr>
          <w:b/>
          <w:bCs/>
        </w:rPr>
      </w:pPr>
      <w:r w:rsidRPr="006B7121">
        <w:rPr>
          <w:b/>
          <w:bCs/>
        </w:rPr>
        <w:t>and non-United Nations pressure receptacles</w:t>
      </w:r>
    </w:p>
    <w:p w14:paraId="0F38AD11" w14:textId="77777777" w:rsidR="005110F3" w:rsidRPr="00731C4C" w:rsidRDefault="00CC7758" w:rsidP="00BE4C22">
      <w:pPr>
        <w:pStyle w:val="HChG"/>
      </w:pPr>
      <w:r>
        <w:tab/>
      </w:r>
      <w:r>
        <w:tab/>
      </w:r>
      <w:r w:rsidR="005110F3">
        <w:t>A</w:t>
      </w:r>
      <w:r w:rsidR="005110F3" w:rsidRPr="00C5066A">
        <w:t xml:space="preserve">cetylene </w:t>
      </w:r>
      <w:r w:rsidR="005110F3">
        <w:t>C</w:t>
      </w:r>
      <w:r w:rsidR="005110F3" w:rsidRPr="00C5066A">
        <w:t xml:space="preserve">ylinder </w:t>
      </w:r>
      <w:r w:rsidR="005110F3">
        <w:t>M</w:t>
      </w:r>
      <w:r w:rsidR="005110F3" w:rsidRPr="00C5066A">
        <w:t>arking</w:t>
      </w:r>
    </w:p>
    <w:p w14:paraId="0C540F10" w14:textId="25D64D0C" w:rsidR="005110F3" w:rsidRPr="006C7347" w:rsidRDefault="00BE4C22" w:rsidP="00BE4C22">
      <w:pPr>
        <w:pStyle w:val="H1G"/>
      </w:pPr>
      <w:r>
        <w:tab/>
      </w:r>
      <w:r>
        <w:tab/>
      </w:r>
      <w:r w:rsidR="005110F3" w:rsidRPr="00BE4C22">
        <w:t>Submitted</w:t>
      </w:r>
      <w:r w:rsidR="005110F3" w:rsidRPr="006C7347">
        <w:t xml:space="preserve"> by</w:t>
      </w:r>
      <w:r w:rsidR="005110F3" w:rsidRPr="00D01288">
        <w:t xml:space="preserve"> </w:t>
      </w:r>
      <w:r w:rsidR="00374CDF">
        <w:t>European Industrial Gases Association (</w:t>
      </w:r>
      <w:r w:rsidR="005110F3">
        <w:t>EIGA</w:t>
      </w:r>
      <w:r w:rsidR="00374CDF">
        <w:t>)</w:t>
      </w:r>
    </w:p>
    <w:p w14:paraId="0FD2A0E6" w14:textId="6A88FF77" w:rsidR="005110F3" w:rsidRDefault="005110F3" w:rsidP="00BE4C22">
      <w:pPr>
        <w:pStyle w:val="HChG"/>
      </w:pPr>
      <w:r>
        <w:tab/>
      </w:r>
      <w:r w:rsidR="00BE4C22">
        <w:t>I.</w:t>
      </w:r>
      <w:r w:rsidR="00BE4C22">
        <w:tab/>
      </w:r>
      <w:r w:rsidRPr="00BE4C22">
        <w:t>Introduction</w:t>
      </w:r>
    </w:p>
    <w:p w14:paraId="1E7340FE" w14:textId="494F1A20" w:rsidR="005110F3" w:rsidRDefault="00BE4C22" w:rsidP="00BE4C22">
      <w:pPr>
        <w:pStyle w:val="SingleTxtG"/>
      </w:pPr>
      <w:r>
        <w:t>1.</w:t>
      </w:r>
      <w:r>
        <w:tab/>
      </w:r>
      <w:r w:rsidR="005110F3">
        <w:t xml:space="preserve">In the </w:t>
      </w:r>
      <w:r w:rsidR="005110F3" w:rsidRPr="00217C5E">
        <w:t xml:space="preserve">twenty-second revised </w:t>
      </w:r>
      <w:r w:rsidR="005110F3" w:rsidRPr="00BE4C22">
        <w:t>edition</w:t>
      </w:r>
      <w:r w:rsidR="005110F3" w:rsidRPr="00217C5E">
        <w:t xml:space="preserve"> of the </w:t>
      </w:r>
      <w:r w:rsidR="005110F3" w:rsidRPr="00873E8B">
        <w:rPr>
          <w:i/>
          <w:iCs/>
        </w:rPr>
        <w:t>Model Regulations</w:t>
      </w:r>
      <w:r w:rsidR="005110F3">
        <w:t xml:space="preserve">, the marking scheme for acetylene cylinders was changed under 6.2.2.7.3 (k) and (l), introducing new indents (ii) and (iii). </w:t>
      </w:r>
    </w:p>
    <w:p w14:paraId="469114E8" w14:textId="11D607D7" w:rsidR="005110F3" w:rsidRDefault="00BE4C22" w:rsidP="00BE4C22">
      <w:pPr>
        <w:pStyle w:val="SingleTxtG"/>
      </w:pPr>
      <w:r>
        <w:t>2.</w:t>
      </w:r>
      <w:r>
        <w:tab/>
      </w:r>
      <w:r w:rsidR="005110F3">
        <w:t xml:space="preserve">In </w:t>
      </w:r>
      <w:r w:rsidR="00C512AD">
        <w:t xml:space="preserve">informal document </w:t>
      </w:r>
      <w:r w:rsidR="005110F3" w:rsidRPr="00B2249A">
        <w:t>INF.14</w:t>
      </w:r>
      <w:r w:rsidR="005110F3">
        <w:t xml:space="preserve">, submitted to the November 2021 </w:t>
      </w:r>
      <w:r w:rsidR="00307AA6">
        <w:t>session</w:t>
      </w:r>
      <w:r w:rsidR="005110F3">
        <w:t xml:space="preserve"> of the </w:t>
      </w:r>
      <w:r w:rsidR="005110F3" w:rsidRPr="008A4523">
        <w:t>Sub</w:t>
      </w:r>
      <w:r w:rsidR="00C512AD">
        <w:noBreakHyphen/>
      </w:r>
      <w:r w:rsidR="005110F3" w:rsidRPr="008A4523">
        <w:t>Committee of Experts on the Transport of Dangerous Goods</w:t>
      </w:r>
      <w:r w:rsidR="005110F3">
        <w:t>, EIGA proposed transitional provisions concerning this marking to allow continued use of acetylene cylinders despite their marking not complying with the adopted changes.</w:t>
      </w:r>
    </w:p>
    <w:p w14:paraId="46DBF0CE" w14:textId="29672803" w:rsidR="005110F3" w:rsidRDefault="00BE4C22" w:rsidP="00BE4C22">
      <w:pPr>
        <w:pStyle w:val="SingleTxtG"/>
      </w:pPr>
      <w:r>
        <w:t>3.</w:t>
      </w:r>
      <w:r>
        <w:tab/>
      </w:r>
      <w:r w:rsidR="005110F3">
        <w:t xml:space="preserve">At the </w:t>
      </w:r>
      <w:r w:rsidR="005110F3" w:rsidRPr="00BE4C22">
        <w:t>time</w:t>
      </w:r>
      <w:r w:rsidR="005110F3">
        <w:t>, it was deemed sufficient to allow a transitional period until the next periodic inspection of the cylinders, where the new marks would then have to be applied.</w:t>
      </w:r>
    </w:p>
    <w:p w14:paraId="7EB1F795" w14:textId="4E03E477" w:rsidR="005110F3" w:rsidRDefault="00BE4C22" w:rsidP="00BE4C22">
      <w:pPr>
        <w:pStyle w:val="SingleTxtG"/>
      </w:pPr>
      <w:r>
        <w:t>4.</w:t>
      </w:r>
      <w:r>
        <w:tab/>
      </w:r>
      <w:r w:rsidR="005110F3">
        <w:t xml:space="preserve">The </w:t>
      </w:r>
      <w:r w:rsidR="005110F3" w:rsidRPr="00BE4C22">
        <w:t>proposed</w:t>
      </w:r>
      <w:r w:rsidR="005110F3">
        <w:t xml:space="preserve"> transitional provisions were adopted in a note under 6.2.2.7.3 and came into force in the </w:t>
      </w:r>
      <w:r w:rsidR="005110F3" w:rsidRPr="00217C5E">
        <w:t>twenty-</w:t>
      </w:r>
      <w:r w:rsidR="005110F3">
        <w:t>third</w:t>
      </w:r>
      <w:r w:rsidR="005110F3" w:rsidRPr="00217C5E">
        <w:t xml:space="preserve"> revised edition of the </w:t>
      </w:r>
      <w:r w:rsidR="005110F3" w:rsidRPr="0050402A">
        <w:rPr>
          <w:i/>
          <w:iCs/>
        </w:rPr>
        <w:t>Model Regulations</w:t>
      </w:r>
      <w:r w:rsidR="005110F3">
        <w:t>.</w:t>
      </w:r>
    </w:p>
    <w:p w14:paraId="0C740CCA" w14:textId="4824B3C7" w:rsidR="005110F3" w:rsidRDefault="00BE4C22" w:rsidP="00BE4C22">
      <w:pPr>
        <w:pStyle w:val="SingleTxtG"/>
      </w:pPr>
      <w:r>
        <w:t>5.</w:t>
      </w:r>
      <w:r>
        <w:tab/>
      </w:r>
      <w:r w:rsidR="005110F3">
        <w:t xml:space="preserve">In </w:t>
      </w:r>
      <w:r w:rsidR="0050402A">
        <w:t xml:space="preserve">document </w:t>
      </w:r>
      <w:r w:rsidR="005110F3">
        <w:t xml:space="preserve">ECE/TRANS/WP.15/AC.1/2021/24/Add.1, submitted to the September 2021 Joint Meeting, the Ad Hoc Working Group on the Harmonization of RID/ADR/ADN with the United Nations </w:t>
      </w:r>
      <w:r w:rsidR="005110F3" w:rsidRPr="006F1684">
        <w:rPr>
          <w:i/>
          <w:iCs/>
        </w:rPr>
        <w:t>Recommendations on the Transport of Dangerous Goods,</w:t>
      </w:r>
      <w:r w:rsidR="005110F3">
        <w:t xml:space="preserve"> the new marking scheme was also proposed for entry into RID/ADR/ADN and was subsequently adopted, making it applicable to non-UN acetylene cylinders in accordance with RID/ADR/ADN as well.</w:t>
      </w:r>
    </w:p>
    <w:p w14:paraId="5B1B4605" w14:textId="03738228" w:rsidR="005110F3" w:rsidRPr="00851C82" w:rsidRDefault="00BE4C22" w:rsidP="00BE4C22">
      <w:pPr>
        <w:pStyle w:val="SingleTxtG"/>
      </w:pPr>
      <w:r>
        <w:t>6.</w:t>
      </w:r>
      <w:r>
        <w:tab/>
      </w:r>
      <w:r w:rsidR="005110F3" w:rsidRPr="00BE4C22">
        <w:t>After</w:t>
      </w:r>
      <w:r w:rsidR="005110F3" w:rsidRPr="00851C82">
        <w:t xml:space="preserve"> the new marking provisions came into force, at first periodic inspections of non-UN acetylene cylinders, it became apparent that for some types of non-UN acetylene cylinders </w:t>
      </w:r>
      <w:r w:rsidR="005110F3">
        <w:t>manufactured</w:t>
      </w:r>
      <w:r w:rsidR="005110F3" w:rsidRPr="00851C82">
        <w:t xml:space="preserve"> before </w:t>
      </w:r>
      <w:r w:rsidR="000F3078">
        <w:t>the entry</w:t>
      </w:r>
      <w:r w:rsidR="005110F3" w:rsidRPr="00851C82">
        <w:t xml:space="preserve"> into force of the twenty-</w:t>
      </w:r>
      <w:r w:rsidR="005110F3">
        <w:t>second</w:t>
      </w:r>
      <w:r w:rsidR="005110F3" w:rsidRPr="00851C82">
        <w:t xml:space="preserve"> revised edition of the </w:t>
      </w:r>
      <w:r w:rsidR="005110F3" w:rsidRPr="00572D6D">
        <w:rPr>
          <w:i/>
          <w:iCs/>
        </w:rPr>
        <w:t>Model Regulations</w:t>
      </w:r>
      <w:r w:rsidR="005110F3" w:rsidRPr="00851C82">
        <w:t xml:space="preserve">, it was impossible to apply the newly required marks. </w:t>
      </w:r>
    </w:p>
    <w:p w14:paraId="405A2733" w14:textId="5F85FAB1" w:rsidR="005110F3" w:rsidRDefault="00BE4C22" w:rsidP="00BE4C22">
      <w:pPr>
        <w:pStyle w:val="SingleTxtG"/>
      </w:pPr>
      <w:r>
        <w:t>7.</w:t>
      </w:r>
      <w:r>
        <w:tab/>
      </w:r>
      <w:r w:rsidR="005110F3" w:rsidRPr="00851C82">
        <w:t xml:space="preserve">A large number of such cylinders do not have the space required for this additional marking, due to their design. The entire available shoulder space </w:t>
      </w:r>
      <w:r w:rsidR="005110F3">
        <w:t>may have been</w:t>
      </w:r>
      <w:r w:rsidR="005110F3" w:rsidRPr="00851C82">
        <w:t xml:space="preserve"> used for the marking </w:t>
      </w:r>
      <w:r w:rsidR="005110F3" w:rsidRPr="00F32E38">
        <w:t>layout, which was done during</w:t>
      </w:r>
      <w:r w:rsidR="00083106">
        <w:t xml:space="preserve"> the</w:t>
      </w:r>
      <w:r w:rsidR="005110F3" w:rsidRPr="00F32E38">
        <w:t xml:space="preserve"> manufacture of the cylinder </w:t>
      </w:r>
      <w:r w:rsidR="005110F3" w:rsidRPr="002847BC">
        <w:t>and subsequent periodic inspection</w:t>
      </w:r>
      <w:r w:rsidR="005110F3" w:rsidRPr="008D09DD">
        <w:t>s</w:t>
      </w:r>
      <w:r w:rsidR="005110F3" w:rsidRPr="00F32E38">
        <w:t xml:space="preserve">. Either </w:t>
      </w:r>
      <w:r w:rsidR="005110F3" w:rsidRPr="002847BC">
        <w:t xml:space="preserve">the space on the shoulder, welded plate or other </w:t>
      </w:r>
      <w:r w:rsidR="005110F3" w:rsidRPr="00F32E38">
        <w:t xml:space="preserve">reinforced areas of the designated steel plates or neck rings are too small for </w:t>
      </w:r>
      <w:r w:rsidR="004C0760">
        <w:t xml:space="preserve">an </w:t>
      </w:r>
      <w:r w:rsidR="005110F3" w:rsidRPr="00F32E38">
        <w:t>additional marking.</w:t>
      </w:r>
    </w:p>
    <w:p w14:paraId="5D9EB341" w14:textId="00E51ECA" w:rsidR="005110F3" w:rsidRPr="002847BC" w:rsidRDefault="00BE4C22" w:rsidP="00BE4C22">
      <w:pPr>
        <w:pStyle w:val="SingleTxtG"/>
      </w:pPr>
      <w:r>
        <w:t>8.</w:t>
      </w:r>
      <w:r>
        <w:tab/>
      </w:r>
      <w:r w:rsidR="005110F3" w:rsidRPr="00BE4C22">
        <w:t>Marking</w:t>
      </w:r>
      <w:r w:rsidR="005110F3" w:rsidRPr="003B539A">
        <w:t xml:space="preserve"> on the cylinder shell is not allowed since this can either cause damage to the porous material </w:t>
      </w:r>
      <w:r w:rsidR="005110F3">
        <w:t xml:space="preserve">inside the cylinder </w:t>
      </w:r>
      <w:r w:rsidR="005110F3" w:rsidRPr="003B539A">
        <w:t>or reduce the strength of the cylinder shell.</w:t>
      </w:r>
    </w:p>
    <w:p w14:paraId="2C4FBBC0" w14:textId="48921299" w:rsidR="005110F3" w:rsidRDefault="00BE4C22" w:rsidP="00BE4C22">
      <w:pPr>
        <w:pStyle w:val="SingleTxtG"/>
      </w:pPr>
      <w:r>
        <w:t>9.</w:t>
      </w:r>
      <w:r>
        <w:tab/>
      </w:r>
      <w:r w:rsidR="005110F3" w:rsidRPr="00F32E38">
        <w:t xml:space="preserve">EIGA submitted </w:t>
      </w:r>
      <w:r w:rsidR="002A728A">
        <w:t xml:space="preserve">document </w:t>
      </w:r>
      <w:r w:rsidR="005110F3" w:rsidRPr="00F32E38">
        <w:t xml:space="preserve">ECE/TRANS/WP.15/AC.1/2024/4 to the March 2024 Joint Meeting of the RID Committee of Experts and the Working Party on the Transport of Dangerous Goods, requesting an allowance in RID/ADR/ADN to keep using non-UN acetylene cylinders in accordance with the marking scheme applicable before </w:t>
      </w:r>
      <w:r w:rsidR="005110F3">
        <w:t>mentioned changes came into force.</w:t>
      </w:r>
    </w:p>
    <w:p w14:paraId="09E28740" w14:textId="094BD021" w:rsidR="005110F3" w:rsidRDefault="00BE4C22" w:rsidP="00BE4C22">
      <w:pPr>
        <w:pStyle w:val="SingleTxtG"/>
      </w:pPr>
      <w:r>
        <w:lastRenderedPageBreak/>
        <w:t>10.</w:t>
      </w:r>
      <w:r>
        <w:tab/>
      </w:r>
      <w:r w:rsidR="005110F3">
        <w:t xml:space="preserve">While there was broad support for the proposal, it was argued that, to avoid inconsistency between RID/ADR/ADN and the </w:t>
      </w:r>
      <w:r w:rsidR="005110F3" w:rsidRPr="00F15871">
        <w:rPr>
          <w:i/>
          <w:iCs/>
        </w:rPr>
        <w:t>Model Regulations</w:t>
      </w:r>
      <w:r w:rsidR="005110F3">
        <w:t xml:space="preserve">, this allowance should be sought for adoption in the </w:t>
      </w:r>
      <w:r w:rsidR="005110F3" w:rsidRPr="00F15871">
        <w:rPr>
          <w:i/>
          <w:iCs/>
        </w:rPr>
        <w:t>Model Regulations</w:t>
      </w:r>
      <w:r w:rsidR="005110F3">
        <w:t xml:space="preserve"> first, making them applicable also to pressure receptacles</w:t>
      </w:r>
      <w:r w:rsidR="005110F3" w:rsidRPr="00A34D09">
        <w:t xml:space="preserve"> </w:t>
      </w:r>
      <w:r w:rsidR="005110F3">
        <w:t xml:space="preserve">approved according to the </w:t>
      </w:r>
      <w:r w:rsidR="005110F3" w:rsidRPr="00F15871">
        <w:rPr>
          <w:i/>
          <w:iCs/>
        </w:rPr>
        <w:t xml:space="preserve">Model </w:t>
      </w:r>
      <w:r w:rsidR="00C637FA">
        <w:rPr>
          <w:i/>
          <w:iCs/>
        </w:rPr>
        <w:t>R</w:t>
      </w:r>
      <w:r w:rsidR="005110F3" w:rsidRPr="00F15871">
        <w:rPr>
          <w:i/>
          <w:iCs/>
        </w:rPr>
        <w:t>egulations</w:t>
      </w:r>
      <w:r w:rsidR="005110F3">
        <w:t>. Afterwards</w:t>
      </w:r>
      <w:r w:rsidR="00C637FA">
        <w:t>,</w:t>
      </w:r>
      <w:r w:rsidR="005110F3">
        <w:t xml:space="preserve"> the harmonisation process could lead to the changes to RID/ADR/ADN for UN and non-UN pressure receptacles.</w:t>
      </w:r>
    </w:p>
    <w:p w14:paraId="526B5533" w14:textId="1836134B" w:rsidR="005110F3" w:rsidRPr="007B6447" w:rsidRDefault="00BE4C22" w:rsidP="00BE4C22">
      <w:pPr>
        <w:pStyle w:val="SingleTxtG"/>
      </w:pPr>
      <w:r>
        <w:t>11.</w:t>
      </w:r>
      <w:r>
        <w:tab/>
      </w:r>
      <w:r w:rsidR="005110F3" w:rsidRPr="00BE4C22">
        <w:t>Therefore</w:t>
      </w:r>
      <w:r w:rsidR="005110F3">
        <w:t>, EIGA would like to propose new provisions for the marking of acetylene cylinders.</w:t>
      </w:r>
    </w:p>
    <w:p w14:paraId="7AB07325" w14:textId="7EF780EF" w:rsidR="005110F3" w:rsidRDefault="00BE4C22" w:rsidP="00BE4C22">
      <w:pPr>
        <w:pStyle w:val="HChG"/>
      </w:pPr>
      <w:r>
        <w:tab/>
        <w:t>II.</w:t>
      </w:r>
      <w:r>
        <w:tab/>
      </w:r>
      <w:r w:rsidR="005110F3" w:rsidRPr="00BE4C22">
        <w:t>Proposal</w:t>
      </w:r>
    </w:p>
    <w:p w14:paraId="5E3E48AD" w14:textId="5EED50A6" w:rsidR="005110F3" w:rsidRDefault="00BE4C22" w:rsidP="00BE4C22">
      <w:pPr>
        <w:pStyle w:val="SingleTxtG"/>
        <w:rPr>
          <w:lang w:val="en-US"/>
        </w:rPr>
      </w:pPr>
      <w:r>
        <w:rPr>
          <w:lang w:val="en-US"/>
        </w:rPr>
        <w:t>12.</w:t>
      </w:r>
      <w:r>
        <w:rPr>
          <w:lang w:val="en-US"/>
        </w:rPr>
        <w:tab/>
      </w:r>
      <w:r w:rsidR="005110F3" w:rsidRPr="00F7371B">
        <w:rPr>
          <w:lang w:val="en-US"/>
        </w:rPr>
        <w:t xml:space="preserve">EIGA proposes to revise the existing </w:t>
      </w:r>
      <w:r w:rsidR="005110F3">
        <w:rPr>
          <w:lang w:val="en-US"/>
        </w:rPr>
        <w:t>note under 6.2.2.7.3 as follows</w:t>
      </w:r>
      <w:r w:rsidR="005110F3" w:rsidRPr="00F7371B">
        <w:rPr>
          <w:lang w:val="en-US"/>
        </w:rPr>
        <w:t xml:space="preserve"> </w:t>
      </w:r>
      <w:r w:rsidR="005110F3">
        <w:rPr>
          <w:lang w:val="en-US"/>
        </w:rPr>
        <w:t xml:space="preserve">(deleted </w:t>
      </w:r>
      <w:r w:rsidR="005110F3" w:rsidRPr="00BE4C22">
        <w:t>text</w:t>
      </w:r>
      <w:r w:rsidR="005110F3">
        <w:rPr>
          <w:lang w:val="en-US"/>
        </w:rPr>
        <w:t xml:space="preserve"> </w:t>
      </w:r>
      <w:r w:rsidR="005A1C27">
        <w:rPr>
          <w:lang w:val="en-US"/>
        </w:rPr>
        <w:t xml:space="preserve">is </w:t>
      </w:r>
      <w:r w:rsidR="005110F3">
        <w:rPr>
          <w:lang w:val="en-US"/>
        </w:rPr>
        <w:t>stricken through)</w:t>
      </w:r>
      <w:r w:rsidR="005110F3" w:rsidRPr="00F7371B">
        <w:rPr>
          <w:lang w:val="en-US"/>
        </w:rPr>
        <w:t>:</w:t>
      </w:r>
    </w:p>
    <w:p w14:paraId="167706F7" w14:textId="51967F24" w:rsidR="005110F3" w:rsidRPr="004A4B01" w:rsidRDefault="009F7E47" w:rsidP="004A4B01">
      <w:pPr>
        <w:pStyle w:val="SingleTxtG"/>
        <w:ind w:left="1701"/>
        <w:rPr>
          <w:i/>
          <w:iCs/>
        </w:rPr>
      </w:pPr>
      <w:r w:rsidRPr="009F7E47">
        <w:t>“</w:t>
      </w:r>
      <w:r w:rsidR="005110F3" w:rsidRPr="004A4B01">
        <w:rPr>
          <w:b/>
          <w:bCs/>
          <w:i/>
          <w:iCs/>
        </w:rPr>
        <w:t xml:space="preserve">NOTE: </w:t>
      </w:r>
      <w:r w:rsidR="005110F3" w:rsidRPr="004A4B01">
        <w:rPr>
          <w:i/>
          <w:iCs/>
        </w:rPr>
        <w:t>Acetylene cylinders constructed in accordance with the twenty-first revised edition of the Model Regulations which are not marked in accordance with 6.2.2.7.3 (k) or (l) applicable in the twenty-second revised edition of the Model Regulations, may continue to be used</w:t>
      </w:r>
      <w:r w:rsidR="005110F3" w:rsidRPr="004A4B01">
        <w:rPr>
          <w:i/>
          <w:iCs/>
          <w:strike/>
        </w:rPr>
        <w:t xml:space="preserve"> until the next periodic inspection and test two years after the coming into force of the twenty-third revised edition of the Model Regulation where they have to be marked according to the twenty-third revised edition of the Model Regulations or be taken out of operation</w:t>
      </w:r>
      <w:r w:rsidR="005110F3" w:rsidRPr="004A4B01">
        <w:rPr>
          <w:i/>
          <w:iCs/>
        </w:rPr>
        <w:t>.</w:t>
      </w:r>
      <w:r w:rsidRPr="009F7E47">
        <w:t>”</w:t>
      </w:r>
    </w:p>
    <w:p w14:paraId="5DDBE9A2" w14:textId="0F069C7F" w:rsidR="005110F3" w:rsidRDefault="00DB71A2" w:rsidP="00DB71A2">
      <w:pPr>
        <w:pStyle w:val="HChG"/>
      </w:pPr>
      <w:r>
        <w:tab/>
        <w:t>III.</w:t>
      </w:r>
      <w:r>
        <w:tab/>
      </w:r>
      <w:r w:rsidR="005110F3">
        <w:t>Justification</w:t>
      </w:r>
    </w:p>
    <w:p w14:paraId="589EE6CF" w14:textId="6621ED71" w:rsidR="005110F3" w:rsidRDefault="00BE4C22" w:rsidP="00BE4C22">
      <w:pPr>
        <w:pStyle w:val="SingleTxtG"/>
      </w:pPr>
      <w:r>
        <w:t>13.</w:t>
      </w:r>
      <w:r>
        <w:tab/>
      </w:r>
      <w:r w:rsidR="005110F3">
        <w:t>The change proposed has no negative safety implications.</w:t>
      </w:r>
    </w:p>
    <w:p w14:paraId="63096FCF" w14:textId="3EC2455D" w:rsidR="005110F3" w:rsidRDefault="00BE4C22" w:rsidP="00BE4C22">
      <w:pPr>
        <w:pStyle w:val="SingleTxtG"/>
      </w:pPr>
      <w:r>
        <w:t>14.</w:t>
      </w:r>
      <w:r>
        <w:tab/>
      </w:r>
      <w:r w:rsidR="005110F3" w:rsidRPr="00BE4C22">
        <w:t>Safety</w:t>
      </w:r>
      <w:r w:rsidR="005110F3">
        <w:t xml:space="preserve"> risks due to improper marking on the shells of acetylene cylinders would be avoided.</w:t>
      </w:r>
    </w:p>
    <w:p w14:paraId="4CB14658" w14:textId="2900AB38" w:rsidR="005C3F53" w:rsidRDefault="00BE4C22" w:rsidP="00BE4C22">
      <w:pPr>
        <w:pStyle w:val="SingleTxtG"/>
      </w:pPr>
      <w:r>
        <w:t>15.</w:t>
      </w:r>
      <w:r>
        <w:tab/>
      </w:r>
      <w:r w:rsidR="005110F3" w:rsidRPr="00BE4C22">
        <w:t>Additional</w:t>
      </w:r>
      <w:r w:rsidR="005110F3" w:rsidRPr="00851C82">
        <w:t xml:space="preserve"> marking on</w:t>
      </w:r>
      <w:r w:rsidR="005110F3" w:rsidRPr="00C210B4">
        <w:t xml:space="preserve"> cylinder shoulder</w:t>
      </w:r>
      <w:r w:rsidR="005110F3" w:rsidRPr="00851C82">
        <w:t>s, plates or neck rings</w:t>
      </w:r>
      <w:r w:rsidR="005110F3">
        <w:t>,</w:t>
      </w:r>
      <w:r w:rsidR="005110F3" w:rsidRPr="00851C82">
        <w:t xml:space="preserve"> of cylinders </w:t>
      </w:r>
      <w:r w:rsidR="005110F3">
        <w:t>manufactured</w:t>
      </w:r>
      <w:r w:rsidR="005110F3" w:rsidRPr="00C210B4">
        <w:t xml:space="preserve"> before </w:t>
      </w:r>
      <w:r w:rsidR="008D2289">
        <w:t>the entry</w:t>
      </w:r>
      <w:r w:rsidR="005110F3" w:rsidRPr="00C210B4">
        <w:t xml:space="preserve"> into force of the twenty-</w:t>
      </w:r>
      <w:r w:rsidR="005110F3">
        <w:t>second</w:t>
      </w:r>
      <w:r w:rsidR="005110F3" w:rsidRPr="00C210B4">
        <w:t xml:space="preserve"> revised edition of the </w:t>
      </w:r>
      <w:r w:rsidR="005110F3" w:rsidRPr="00D02176">
        <w:rPr>
          <w:i/>
          <w:iCs/>
        </w:rPr>
        <w:t>Model Regulations</w:t>
      </w:r>
      <w:r w:rsidR="005110F3" w:rsidRPr="00C210B4">
        <w:t>,</w:t>
      </w:r>
      <w:r w:rsidR="005110F3" w:rsidRPr="00851C82">
        <w:t xml:space="preserve"> may lead to</w:t>
      </w:r>
      <w:r w:rsidR="005110F3" w:rsidRPr="00C210B4">
        <w:t xml:space="preserve"> confusion during filling</w:t>
      </w:r>
      <w:r w:rsidR="005110F3">
        <w:t>,</w:t>
      </w:r>
      <w:r w:rsidR="005110F3" w:rsidRPr="00851C82">
        <w:t xml:space="preserve"> if the </w:t>
      </w:r>
      <w:r w:rsidR="005110F3">
        <w:t>existing layout does not allow marks in the appropriate position and hence forces marking in inappropriate positions.</w:t>
      </w:r>
    </w:p>
    <w:p w14:paraId="36E0F949" w14:textId="4EB8155F" w:rsidR="005110F3" w:rsidRPr="005110F3" w:rsidRDefault="005110F3" w:rsidP="005110F3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73FD133" w14:textId="77777777" w:rsidR="005A3B9D" w:rsidRPr="00CF5A5B" w:rsidRDefault="005A3B9D" w:rsidP="00CF5A5B">
      <w:pPr>
        <w:spacing w:before="240"/>
        <w:jc w:val="center"/>
        <w:rPr>
          <w:u w:val="single"/>
          <w:lang w:val="en-US"/>
        </w:rPr>
      </w:pPr>
    </w:p>
    <w:sectPr w:rsidR="005A3B9D" w:rsidRPr="00CF5A5B" w:rsidSect="0039370E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endnotePr>
        <w:numFmt w:val="decimal"/>
      </w:endnotePr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BDAE0" w14:textId="77777777" w:rsidR="000356BE" w:rsidRPr="00C47B2E" w:rsidRDefault="000356BE" w:rsidP="00C47B2E">
      <w:pPr>
        <w:pStyle w:val="Footer"/>
      </w:pPr>
    </w:p>
  </w:endnote>
  <w:endnote w:type="continuationSeparator" w:id="0">
    <w:p w14:paraId="3DB4ABBD" w14:textId="77777777" w:rsidR="000356BE" w:rsidRPr="00C47B2E" w:rsidRDefault="000356BE" w:rsidP="00C47B2E">
      <w:pPr>
        <w:pStyle w:val="Footer"/>
      </w:pPr>
    </w:p>
  </w:endnote>
  <w:endnote w:type="continuationNotice" w:id="1">
    <w:p w14:paraId="7C608594" w14:textId="77777777" w:rsidR="000356BE" w:rsidRPr="00C47B2E" w:rsidRDefault="000356BE" w:rsidP="00C47B2E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99DE0" w14:textId="5DC39783" w:rsidR="00D94B05" w:rsidRPr="0039370E" w:rsidRDefault="0039370E" w:rsidP="00D85308">
    <w:pPr>
      <w:pStyle w:val="Footer"/>
      <w:tabs>
        <w:tab w:val="right" w:pos="9639"/>
      </w:tabs>
      <w:rPr>
        <w:sz w:val="18"/>
      </w:rPr>
    </w:pPr>
    <w:r w:rsidRPr="0039370E">
      <w:rPr>
        <w:b/>
        <w:sz w:val="18"/>
      </w:rPr>
      <w:fldChar w:fldCharType="begin"/>
    </w:r>
    <w:r w:rsidRPr="0039370E">
      <w:rPr>
        <w:b/>
        <w:sz w:val="18"/>
      </w:rPr>
      <w:instrText xml:space="preserve"> PAGE  \* MERGEFORMAT </w:instrText>
    </w:r>
    <w:r w:rsidRPr="0039370E">
      <w:rPr>
        <w:b/>
        <w:sz w:val="18"/>
      </w:rPr>
      <w:fldChar w:fldCharType="separate"/>
    </w:r>
    <w:r w:rsidRPr="0039370E">
      <w:rPr>
        <w:b/>
        <w:noProof/>
        <w:sz w:val="18"/>
      </w:rPr>
      <w:t>2</w:t>
    </w:r>
    <w:r w:rsidRPr="0039370E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ECE08" w14:textId="71C1802C" w:rsidR="00D94B05" w:rsidRPr="0039370E" w:rsidRDefault="0039370E" w:rsidP="00D85308">
    <w:pPr>
      <w:pStyle w:val="Footer"/>
      <w:tabs>
        <w:tab w:val="right" w:pos="9639"/>
      </w:tabs>
      <w:rPr>
        <w:b/>
        <w:bCs/>
        <w:sz w:val="18"/>
      </w:rPr>
    </w:pPr>
    <w:r>
      <w:rPr>
        <w:bCs/>
        <w:sz w:val="18"/>
      </w:rPr>
      <w:tab/>
    </w:r>
    <w:r w:rsidRPr="0039370E">
      <w:rPr>
        <w:b/>
        <w:bCs/>
        <w:sz w:val="18"/>
      </w:rPr>
      <w:fldChar w:fldCharType="begin"/>
    </w:r>
    <w:r w:rsidRPr="0039370E">
      <w:rPr>
        <w:b/>
        <w:bCs/>
        <w:sz w:val="18"/>
      </w:rPr>
      <w:instrText xml:space="preserve"> PAGE  \* MERGEFORMAT </w:instrText>
    </w:r>
    <w:r w:rsidRPr="0039370E">
      <w:rPr>
        <w:b/>
        <w:bCs/>
        <w:sz w:val="18"/>
      </w:rPr>
      <w:fldChar w:fldCharType="separate"/>
    </w:r>
    <w:r w:rsidRPr="0039370E">
      <w:rPr>
        <w:b/>
        <w:bCs/>
        <w:noProof/>
        <w:sz w:val="18"/>
      </w:rPr>
      <w:t>3</w:t>
    </w:r>
    <w:r w:rsidRPr="0039370E">
      <w:rPr>
        <w:b/>
        <w:bCs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18F64" w14:textId="77777777" w:rsidR="00D94B05" w:rsidRPr="0039370E" w:rsidRDefault="00E52109" w:rsidP="00764440">
    <w:pPr>
      <w:pStyle w:val="Footer"/>
      <w:rPr>
        <w:rFonts w:asciiTheme="majorBidi" w:hAnsiTheme="majorBidi" w:cstheme="majorBidi"/>
        <w:sz w:val="20"/>
      </w:rPr>
    </w:pPr>
    <w:r>
      <w:rPr>
        <w:noProof/>
        <w:lang w:val="fr-CH" w:eastAsia="fr-CH"/>
      </w:rPr>
      <w:drawing>
        <wp:anchor distT="0" distB="0" distL="114300" distR="114300" simplePos="0" relativeHeight="251658240" behindDoc="0" locked="1" layoutInCell="1" allowOverlap="1" wp14:anchorId="391B4250" wp14:editId="65CBB9F9">
          <wp:simplePos x="0" y="0"/>
          <wp:positionH relativeFrom="margin">
            <wp:posOffset>5003800</wp:posOffset>
          </wp:positionH>
          <wp:positionV relativeFrom="margin">
            <wp:posOffset>9323705</wp:posOffset>
          </wp:positionV>
          <wp:extent cx="923925" cy="228600"/>
          <wp:effectExtent l="0" t="0" r="9525" b="0"/>
          <wp:wrapNone/>
          <wp:docPr id="2" name="Picture 2" descr="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02718" w14:textId="77777777" w:rsidR="000356BE" w:rsidRPr="00C47B2E" w:rsidRDefault="000356BE" w:rsidP="00C47B2E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14:paraId="0C28B551" w14:textId="77777777" w:rsidR="000356BE" w:rsidRPr="00C47B2E" w:rsidRDefault="000356BE" w:rsidP="005E716E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Notice" w:id="1">
    <w:p w14:paraId="45C73F27" w14:textId="77777777" w:rsidR="000356BE" w:rsidRPr="00C47B2E" w:rsidRDefault="000356BE" w:rsidP="00C47B2E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5612F" w14:textId="7655F8C4" w:rsidR="0039370E" w:rsidRPr="001E7B1F" w:rsidRDefault="001E7B1F">
    <w:pPr>
      <w:pStyle w:val="Header"/>
      <w:rPr>
        <w:lang w:val="fr-CH"/>
      </w:rPr>
    </w:pPr>
    <w:r>
      <w:rPr>
        <w:lang w:val="fr-CH"/>
      </w:rPr>
      <w:t>UN/SCETDG/64/INF.13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2F55E" w14:textId="30F871CF" w:rsidR="00D94B05" w:rsidRPr="0039370E" w:rsidRDefault="00000000" w:rsidP="0039370E">
    <w:pPr>
      <w:pStyle w:val="Header"/>
      <w:jc w:val="right"/>
    </w:pPr>
    <w:fldSimple w:instr=" TITLE  \* MERGEFORMAT ">
      <w:r w:rsidR="005A3B9D">
        <w:t>UN/SCETDG/64/INF.11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718E8"/>
    <w:multiLevelType w:val="hybridMultilevel"/>
    <w:tmpl w:val="86F251BE"/>
    <w:lvl w:ilvl="0" w:tplc="A9A8366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2214" w:hanging="360"/>
      </w:pPr>
    </w:lvl>
    <w:lvl w:ilvl="2" w:tplc="2000001B">
      <w:start w:val="1"/>
      <w:numFmt w:val="lowerRoman"/>
      <w:lvlText w:val="%3."/>
      <w:lvlJc w:val="right"/>
      <w:pPr>
        <w:ind w:left="2934" w:hanging="180"/>
      </w:pPr>
    </w:lvl>
    <w:lvl w:ilvl="3" w:tplc="2000000F" w:tentative="1">
      <w:start w:val="1"/>
      <w:numFmt w:val="decimal"/>
      <w:lvlText w:val="%4."/>
      <w:lvlJc w:val="left"/>
      <w:pPr>
        <w:ind w:left="3654" w:hanging="360"/>
      </w:pPr>
    </w:lvl>
    <w:lvl w:ilvl="4" w:tplc="20000019" w:tentative="1">
      <w:start w:val="1"/>
      <w:numFmt w:val="lowerLetter"/>
      <w:lvlText w:val="%5."/>
      <w:lvlJc w:val="left"/>
      <w:pPr>
        <w:ind w:left="4374" w:hanging="360"/>
      </w:pPr>
    </w:lvl>
    <w:lvl w:ilvl="5" w:tplc="2000001B" w:tentative="1">
      <w:start w:val="1"/>
      <w:numFmt w:val="lowerRoman"/>
      <w:lvlText w:val="%6."/>
      <w:lvlJc w:val="right"/>
      <w:pPr>
        <w:ind w:left="5094" w:hanging="180"/>
      </w:pPr>
    </w:lvl>
    <w:lvl w:ilvl="6" w:tplc="2000000F" w:tentative="1">
      <w:start w:val="1"/>
      <w:numFmt w:val="decimal"/>
      <w:lvlText w:val="%7."/>
      <w:lvlJc w:val="left"/>
      <w:pPr>
        <w:ind w:left="5814" w:hanging="360"/>
      </w:pPr>
    </w:lvl>
    <w:lvl w:ilvl="7" w:tplc="20000019" w:tentative="1">
      <w:start w:val="1"/>
      <w:numFmt w:val="lowerLetter"/>
      <w:lvlText w:val="%8."/>
      <w:lvlJc w:val="left"/>
      <w:pPr>
        <w:ind w:left="6534" w:hanging="360"/>
      </w:pPr>
    </w:lvl>
    <w:lvl w:ilvl="8" w:tplc="200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2ED9716B"/>
    <w:multiLevelType w:val="hybridMultilevel"/>
    <w:tmpl w:val="F7226F38"/>
    <w:lvl w:ilvl="0" w:tplc="F4085658">
      <w:start w:val="1"/>
      <w:numFmt w:val="upperRoman"/>
      <w:lvlText w:val="%1."/>
      <w:lvlJc w:val="left"/>
      <w:pPr>
        <w:ind w:left="184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08" w:hanging="360"/>
      </w:pPr>
    </w:lvl>
    <w:lvl w:ilvl="2" w:tplc="0809001B" w:tentative="1">
      <w:start w:val="1"/>
      <w:numFmt w:val="lowerRoman"/>
      <w:lvlText w:val="%3."/>
      <w:lvlJc w:val="right"/>
      <w:pPr>
        <w:ind w:left="2928" w:hanging="180"/>
      </w:pPr>
    </w:lvl>
    <w:lvl w:ilvl="3" w:tplc="0809000F" w:tentative="1">
      <w:start w:val="1"/>
      <w:numFmt w:val="decimal"/>
      <w:lvlText w:val="%4."/>
      <w:lvlJc w:val="left"/>
      <w:pPr>
        <w:ind w:left="3648" w:hanging="360"/>
      </w:pPr>
    </w:lvl>
    <w:lvl w:ilvl="4" w:tplc="08090019" w:tentative="1">
      <w:start w:val="1"/>
      <w:numFmt w:val="lowerLetter"/>
      <w:lvlText w:val="%5."/>
      <w:lvlJc w:val="left"/>
      <w:pPr>
        <w:ind w:left="4368" w:hanging="360"/>
      </w:pPr>
    </w:lvl>
    <w:lvl w:ilvl="5" w:tplc="0809001B" w:tentative="1">
      <w:start w:val="1"/>
      <w:numFmt w:val="lowerRoman"/>
      <w:lvlText w:val="%6."/>
      <w:lvlJc w:val="right"/>
      <w:pPr>
        <w:ind w:left="5088" w:hanging="180"/>
      </w:pPr>
    </w:lvl>
    <w:lvl w:ilvl="6" w:tplc="0809000F" w:tentative="1">
      <w:start w:val="1"/>
      <w:numFmt w:val="decimal"/>
      <w:lvlText w:val="%7."/>
      <w:lvlJc w:val="left"/>
      <w:pPr>
        <w:ind w:left="5808" w:hanging="360"/>
      </w:pPr>
    </w:lvl>
    <w:lvl w:ilvl="7" w:tplc="08090019" w:tentative="1">
      <w:start w:val="1"/>
      <w:numFmt w:val="lowerLetter"/>
      <w:lvlText w:val="%8."/>
      <w:lvlJc w:val="left"/>
      <w:pPr>
        <w:ind w:left="6528" w:hanging="360"/>
      </w:pPr>
    </w:lvl>
    <w:lvl w:ilvl="8" w:tplc="080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8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7A8A626A"/>
    <w:multiLevelType w:val="hybridMultilevel"/>
    <w:tmpl w:val="70168100"/>
    <w:lvl w:ilvl="0" w:tplc="51FA683A">
      <w:start w:val="1"/>
      <w:numFmt w:val="decimal"/>
      <w:lvlText w:val="%1."/>
      <w:lvlJc w:val="left"/>
      <w:pPr>
        <w:ind w:left="4682" w:hanging="570"/>
      </w:pPr>
      <w:rPr>
        <w:rFonts w:ascii="Times New Roman" w:hAnsi="Times New Roman" w:cs="Times New Roman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num w:numId="1" w16cid:durableId="1116172172">
    <w:abstractNumId w:val="8"/>
  </w:num>
  <w:num w:numId="2" w16cid:durableId="1073159890">
    <w:abstractNumId w:val="5"/>
  </w:num>
  <w:num w:numId="3" w16cid:durableId="551188904">
    <w:abstractNumId w:val="1"/>
  </w:num>
  <w:num w:numId="4" w16cid:durableId="44254624">
    <w:abstractNumId w:val="9"/>
  </w:num>
  <w:num w:numId="5" w16cid:durableId="1816027029">
    <w:abstractNumId w:val="10"/>
  </w:num>
  <w:num w:numId="6" w16cid:durableId="1836190579">
    <w:abstractNumId w:val="12"/>
  </w:num>
  <w:num w:numId="7" w16cid:durableId="634676252">
    <w:abstractNumId w:val="4"/>
  </w:num>
  <w:num w:numId="8" w16cid:durableId="1039166836">
    <w:abstractNumId w:val="2"/>
  </w:num>
  <w:num w:numId="9" w16cid:durableId="644969981">
    <w:abstractNumId w:val="11"/>
  </w:num>
  <w:num w:numId="10" w16cid:durableId="525103391">
    <w:abstractNumId w:val="2"/>
  </w:num>
  <w:num w:numId="11" w16cid:durableId="297342166">
    <w:abstractNumId w:val="11"/>
  </w:num>
  <w:num w:numId="12" w16cid:durableId="1280380300">
    <w:abstractNumId w:val="3"/>
  </w:num>
  <w:num w:numId="13" w16cid:durableId="1988699530">
    <w:abstractNumId w:val="3"/>
  </w:num>
  <w:num w:numId="14" w16cid:durableId="1917550057">
    <w:abstractNumId w:val="13"/>
  </w:num>
  <w:num w:numId="15" w16cid:durableId="907884386">
    <w:abstractNumId w:val="7"/>
  </w:num>
  <w:num w:numId="16" w16cid:durableId="835220403">
    <w:abstractNumId w:val="0"/>
  </w:num>
  <w:num w:numId="17" w16cid:durableId="180080658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70E"/>
    <w:rsid w:val="00011DAD"/>
    <w:rsid w:val="00021D9C"/>
    <w:rsid w:val="000356BE"/>
    <w:rsid w:val="00036051"/>
    <w:rsid w:val="00046E92"/>
    <w:rsid w:val="00050927"/>
    <w:rsid w:val="00063C90"/>
    <w:rsid w:val="00070000"/>
    <w:rsid w:val="00074A36"/>
    <w:rsid w:val="00083106"/>
    <w:rsid w:val="00097AF4"/>
    <w:rsid w:val="000F3078"/>
    <w:rsid w:val="00101B98"/>
    <w:rsid w:val="0010604D"/>
    <w:rsid w:val="0011084B"/>
    <w:rsid w:val="001514D1"/>
    <w:rsid w:val="00155C73"/>
    <w:rsid w:val="001854FD"/>
    <w:rsid w:val="001861DE"/>
    <w:rsid w:val="00186622"/>
    <w:rsid w:val="001A4B5F"/>
    <w:rsid w:val="001B09B1"/>
    <w:rsid w:val="001D5E14"/>
    <w:rsid w:val="001E3B26"/>
    <w:rsid w:val="001E4757"/>
    <w:rsid w:val="001E4972"/>
    <w:rsid w:val="001E68FF"/>
    <w:rsid w:val="001E7B1F"/>
    <w:rsid w:val="001F5B8E"/>
    <w:rsid w:val="001F6C71"/>
    <w:rsid w:val="0020341A"/>
    <w:rsid w:val="00204760"/>
    <w:rsid w:val="00205FB9"/>
    <w:rsid w:val="00224447"/>
    <w:rsid w:val="002328F5"/>
    <w:rsid w:val="00247E2C"/>
    <w:rsid w:val="00252091"/>
    <w:rsid w:val="00262CC4"/>
    <w:rsid w:val="0028529B"/>
    <w:rsid w:val="002A32CB"/>
    <w:rsid w:val="002A728A"/>
    <w:rsid w:val="002C34EA"/>
    <w:rsid w:val="002D5B2C"/>
    <w:rsid w:val="002D6C53"/>
    <w:rsid w:val="002E3CFB"/>
    <w:rsid w:val="002E76EA"/>
    <w:rsid w:val="002F4DF8"/>
    <w:rsid w:val="002F5595"/>
    <w:rsid w:val="003070C4"/>
    <w:rsid w:val="00307AA6"/>
    <w:rsid w:val="003140B8"/>
    <w:rsid w:val="0032702E"/>
    <w:rsid w:val="00327EE9"/>
    <w:rsid w:val="0033310E"/>
    <w:rsid w:val="00334F6A"/>
    <w:rsid w:val="00342AC8"/>
    <w:rsid w:val="00343302"/>
    <w:rsid w:val="003545B1"/>
    <w:rsid w:val="00365509"/>
    <w:rsid w:val="00374CDF"/>
    <w:rsid w:val="00391730"/>
    <w:rsid w:val="0039370E"/>
    <w:rsid w:val="003979DE"/>
    <w:rsid w:val="003B1248"/>
    <w:rsid w:val="003B4550"/>
    <w:rsid w:val="003D2A18"/>
    <w:rsid w:val="003D2EA4"/>
    <w:rsid w:val="003D6064"/>
    <w:rsid w:val="003E07D9"/>
    <w:rsid w:val="00413386"/>
    <w:rsid w:val="004152F1"/>
    <w:rsid w:val="0044240C"/>
    <w:rsid w:val="00446BBE"/>
    <w:rsid w:val="00461253"/>
    <w:rsid w:val="0047018B"/>
    <w:rsid w:val="004858F5"/>
    <w:rsid w:val="004A2814"/>
    <w:rsid w:val="004A366B"/>
    <w:rsid w:val="004A4B01"/>
    <w:rsid w:val="004B10E7"/>
    <w:rsid w:val="004B3B13"/>
    <w:rsid w:val="004C0622"/>
    <w:rsid w:val="004C0760"/>
    <w:rsid w:val="004F73D0"/>
    <w:rsid w:val="0050402A"/>
    <w:rsid w:val="005042C2"/>
    <w:rsid w:val="005110F3"/>
    <w:rsid w:val="005153E4"/>
    <w:rsid w:val="00516173"/>
    <w:rsid w:val="00572D6D"/>
    <w:rsid w:val="005809F4"/>
    <w:rsid w:val="0058392B"/>
    <w:rsid w:val="00595112"/>
    <w:rsid w:val="00595C55"/>
    <w:rsid w:val="005A1BF2"/>
    <w:rsid w:val="005A1C27"/>
    <w:rsid w:val="005A3B9D"/>
    <w:rsid w:val="005C3F53"/>
    <w:rsid w:val="005C70FD"/>
    <w:rsid w:val="005E716E"/>
    <w:rsid w:val="005F3CE0"/>
    <w:rsid w:val="0060395F"/>
    <w:rsid w:val="00620BE9"/>
    <w:rsid w:val="006431BA"/>
    <w:rsid w:val="006476E1"/>
    <w:rsid w:val="006604DF"/>
    <w:rsid w:val="00671529"/>
    <w:rsid w:val="006940B0"/>
    <w:rsid w:val="006A6910"/>
    <w:rsid w:val="006B5A8C"/>
    <w:rsid w:val="006B69A4"/>
    <w:rsid w:val="006B7121"/>
    <w:rsid w:val="006B75AD"/>
    <w:rsid w:val="006D458E"/>
    <w:rsid w:val="006F1684"/>
    <w:rsid w:val="006F1EF5"/>
    <w:rsid w:val="0070489D"/>
    <w:rsid w:val="007139BD"/>
    <w:rsid w:val="007200A1"/>
    <w:rsid w:val="007268F9"/>
    <w:rsid w:val="00750282"/>
    <w:rsid w:val="00750D5E"/>
    <w:rsid w:val="00756BF8"/>
    <w:rsid w:val="00764440"/>
    <w:rsid w:val="00765010"/>
    <w:rsid w:val="0076706D"/>
    <w:rsid w:val="0077101B"/>
    <w:rsid w:val="00785B39"/>
    <w:rsid w:val="00793B46"/>
    <w:rsid w:val="007C52B0"/>
    <w:rsid w:val="007C6033"/>
    <w:rsid w:val="007F3784"/>
    <w:rsid w:val="008147C8"/>
    <w:rsid w:val="00815063"/>
    <w:rsid w:val="0081753A"/>
    <w:rsid w:val="00817713"/>
    <w:rsid w:val="00827299"/>
    <w:rsid w:val="0085123A"/>
    <w:rsid w:val="00857D23"/>
    <w:rsid w:val="00871A81"/>
    <w:rsid w:val="00873E8B"/>
    <w:rsid w:val="00876F04"/>
    <w:rsid w:val="00883E68"/>
    <w:rsid w:val="008923C4"/>
    <w:rsid w:val="008B6E83"/>
    <w:rsid w:val="008C131C"/>
    <w:rsid w:val="008D2289"/>
    <w:rsid w:val="008D51A7"/>
    <w:rsid w:val="008E51C3"/>
    <w:rsid w:val="008F4AE9"/>
    <w:rsid w:val="009411B4"/>
    <w:rsid w:val="00946F1D"/>
    <w:rsid w:val="009502AA"/>
    <w:rsid w:val="00987F92"/>
    <w:rsid w:val="0099436D"/>
    <w:rsid w:val="009A0A7F"/>
    <w:rsid w:val="009A1E66"/>
    <w:rsid w:val="009A25A3"/>
    <w:rsid w:val="009C02D0"/>
    <w:rsid w:val="009C0A57"/>
    <w:rsid w:val="009C2025"/>
    <w:rsid w:val="009C3369"/>
    <w:rsid w:val="009C4EFF"/>
    <w:rsid w:val="009D0139"/>
    <w:rsid w:val="009D717D"/>
    <w:rsid w:val="009F5CDC"/>
    <w:rsid w:val="009F7E47"/>
    <w:rsid w:val="00A072D7"/>
    <w:rsid w:val="00A461A2"/>
    <w:rsid w:val="00A775CF"/>
    <w:rsid w:val="00A81FF2"/>
    <w:rsid w:val="00A90C31"/>
    <w:rsid w:val="00A945EB"/>
    <w:rsid w:val="00AA3FA0"/>
    <w:rsid w:val="00AA601F"/>
    <w:rsid w:val="00AA74D9"/>
    <w:rsid w:val="00AD141E"/>
    <w:rsid w:val="00AD1A9C"/>
    <w:rsid w:val="00AF1608"/>
    <w:rsid w:val="00AF5DE1"/>
    <w:rsid w:val="00B06045"/>
    <w:rsid w:val="00B206DD"/>
    <w:rsid w:val="00B31A1A"/>
    <w:rsid w:val="00B52EF4"/>
    <w:rsid w:val="00B55DFE"/>
    <w:rsid w:val="00B618F1"/>
    <w:rsid w:val="00B703C4"/>
    <w:rsid w:val="00B777AD"/>
    <w:rsid w:val="00B804A2"/>
    <w:rsid w:val="00B8395E"/>
    <w:rsid w:val="00BA2C79"/>
    <w:rsid w:val="00BE4C22"/>
    <w:rsid w:val="00BF519D"/>
    <w:rsid w:val="00C019E3"/>
    <w:rsid w:val="00C03015"/>
    <w:rsid w:val="00C0358D"/>
    <w:rsid w:val="00C35A27"/>
    <w:rsid w:val="00C45ABA"/>
    <w:rsid w:val="00C47B2E"/>
    <w:rsid w:val="00C512AD"/>
    <w:rsid w:val="00C544C4"/>
    <w:rsid w:val="00C637FA"/>
    <w:rsid w:val="00C7275C"/>
    <w:rsid w:val="00C84422"/>
    <w:rsid w:val="00C96282"/>
    <w:rsid w:val="00CA1A36"/>
    <w:rsid w:val="00CC5C16"/>
    <w:rsid w:val="00CC7758"/>
    <w:rsid w:val="00CF5A5B"/>
    <w:rsid w:val="00CF638E"/>
    <w:rsid w:val="00D02176"/>
    <w:rsid w:val="00D02DC7"/>
    <w:rsid w:val="00D1625A"/>
    <w:rsid w:val="00D41E65"/>
    <w:rsid w:val="00D63CD2"/>
    <w:rsid w:val="00D70E96"/>
    <w:rsid w:val="00D77868"/>
    <w:rsid w:val="00D85308"/>
    <w:rsid w:val="00D87DC2"/>
    <w:rsid w:val="00D93887"/>
    <w:rsid w:val="00D94B05"/>
    <w:rsid w:val="00D9541C"/>
    <w:rsid w:val="00DA36E8"/>
    <w:rsid w:val="00DB4D23"/>
    <w:rsid w:val="00DB52EE"/>
    <w:rsid w:val="00DB71A2"/>
    <w:rsid w:val="00DC7379"/>
    <w:rsid w:val="00DE5139"/>
    <w:rsid w:val="00DE60E7"/>
    <w:rsid w:val="00E02C2B"/>
    <w:rsid w:val="00E050E4"/>
    <w:rsid w:val="00E14B48"/>
    <w:rsid w:val="00E21C27"/>
    <w:rsid w:val="00E26BCF"/>
    <w:rsid w:val="00E26C01"/>
    <w:rsid w:val="00E51935"/>
    <w:rsid w:val="00E52109"/>
    <w:rsid w:val="00E55302"/>
    <w:rsid w:val="00E74576"/>
    <w:rsid w:val="00E75317"/>
    <w:rsid w:val="00E816EC"/>
    <w:rsid w:val="00E86D77"/>
    <w:rsid w:val="00E93072"/>
    <w:rsid w:val="00EB7201"/>
    <w:rsid w:val="00EC0CE6"/>
    <w:rsid w:val="00EC7C1D"/>
    <w:rsid w:val="00ED6C48"/>
    <w:rsid w:val="00ED744F"/>
    <w:rsid w:val="00EE3045"/>
    <w:rsid w:val="00EE5FFB"/>
    <w:rsid w:val="00EE699E"/>
    <w:rsid w:val="00EF1ECC"/>
    <w:rsid w:val="00F13BB0"/>
    <w:rsid w:val="00F15871"/>
    <w:rsid w:val="00F21781"/>
    <w:rsid w:val="00F23D06"/>
    <w:rsid w:val="00F26186"/>
    <w:rsid w:val="00F26C33"/>
    <w:rsid w:val="00F65F5D"/>
    <w:rsid w:val="00F66365"/>
    <w:rsid w:val="00F86A3A"/>
    <w:rsid w:val="00F90EE7"/>
    <w:rsid w:val="00FA2B35"/>
    <w:rsid w:val="00FA42DA"/>
    <w:rsid w:val="00FD50DF"/>
    <w:rsid w:val="00FD51FE"/>
    <w:rsid w:val="00FD7048"/>
    <w:rsid w:val="00FE2073"/>
    <w:rsid w:val="00FE281D"/>
    <w:rsid w:val="00FE2AC5"/>
    <w:rsid w:val="00FE34C7"/>
    <w:rsid w:val="00FF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448AB4"/>
  <w15:docId w15:val="{991EB97B-FBC0-4302-AA3E-DA97C2303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iPriority="0" w:unhideWhenUsed="1" w:qFormat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7379"/>
  </w:style>
  <w:style w:type="paragraph" w:styleId="Heading1">
    <w:name w:val="heading 1"/>
    <w:aliases w:val="Table_G"/>
    <w:basedOn w:val="SingleTxtG"/>
    <w:next w:val="SingleTxtG"/>
    <w:link w:val="Heading1Char"/>
    <w:qFormat/>
    <w:rsid w:val="004A28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4A2814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semiHidden/>
    <w:rsid w:val="004A2814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semiHidden/>
    <w:rsid w:val="004A2814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semiHidden/>
    <w:rsid w:val="004A2814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semiHidden/>
    <w:rsid w:val="004A2814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semiHidden/>
    <w:rsid w:val="004A2814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semiHidden/>
    <w:rsid w:val="004A2814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semiHidden/>
    <w:rsid w:val="004A28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qFormat/>
    <w:rsid w:val="004A281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3B4550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link w:val="FooterChar"/>
    <w:qFormat/>
    <w:rsid w:val="004A281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4A2814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4A2814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4A281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4A28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4A28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4A28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A28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A2814"/>
    <w:pPr>
      <w:numPr>
        <w:numId w:val="10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A2814"/>
    <w:pPr>
      <w:numPr>
        <w:numId w:val="11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FA42DA"/>
    <w:pPr>
      <w:numPr>
        <w:numId w:val="13"/>
      </w:numPr>
      <w:tabs>
        <w:tab w:val="left" w:pos="1701"/>
        <w:tab w:val="left" w:pos="2268"/>
        <w:tab w:val="left" w:pos="2835"/>
      </w:tabs>
      <w:spacing w:after="120"/>
      <w:ind w:right="1134"/>
      <w:jc w:val="both"/>
    </w:pPr>
    <w:rPr>
      <w:rFonts w:eastAsia="Times New Roman"/>
    </w:r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qFormat/>
    <w:rsid w:val="004A281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qFormat/>
    <w:rsid w:val="004A28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DC7379"/>
    <w:rPr>
      <w:sz w:val="18"/>
    </w:rPr>
  </w:style>
  <w:style w:type="paragraph" w:styleId="EndnoteText">
    <w:name w:val="endnote text"/>
    <w:aliases w:val="2_G"/>
    <w:basedOn w:val="FootnoteText"/>
    <w:link w:val="EndnoteTextChar"/>
    <w:qFormat/>
    <w:rsid w:val="004A2814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FootnoteReference">
    <w:name w:val="footnote reference"/>
    <w:aliases w:val="4_G"/>
    <w:qFormat/>
    <w:rsid w:val="004A2814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styleId="PageNumber">
    <w:name w:val="page number"/>
    <w:aliases w:val="7_G"/>
    <w:rsid w:val="004A2814"/>
    <w:rPr>
      <w:rFonts w:ascii="Times New Roman" w:hAnsi="Times New Roman"/>
      <w:b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1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109"/>
    <w:rPr>
      <w:rFonts w:ascii="Tahoma" w:eastAsia="Times New Roman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EC0CE6"/>
    <w:rPr>
      <w:color w:val="0000FF"/>
      <w:u w:val="none"/>
    </w:rPr>
  </w:style>
  <w:style w:type="character" w:styleId="FollowedHyperlink">
    <w:name w:val="FollowedHyperlink"/>
    <w:basedOn w:val="DefaultParagraphFont"/>
    <w:rsid w:val="00EC0CE6"/>
    <w:rPr>
      <w:color w:val="0000FF"/>
      <w:u w:val="none"/>
    </w:rPr>
  </w:style>
  <w:style w:type="table" w:styleId="TableGrid">
    <w:name w:val="Table Grid"/>
    <w:basedOn w:val="TableNormal"/>
    <w:rsid w:val="004A2814"/>
    <w:pPr>
      <w:suppressAutoHyphens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BodyText">
    <w:name w:val="Body Text"/>
    <w:basedOn w:val="Normal"/>
    <w:next w:val="Normal"/>
    <w:link w:val="BodyTextChar"/>
    <w:semiHidden/>
    <w:rsid w:val="00CF5A5B"/>
    <w:pPr>
      <w:suppressAutoHyphens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CF5A5B"/>
    <w:rPr>
      <w:rFonts w:eastAsia="Times New Roman"/>
      <w:lang w:eastAsia="en-US"/>
    </w:rPr>
  </w:style>
  <w:style w:type="character" w:customStyle="1" w:styleId="HChGChar">
    <w:name w:val="_ H _Ch_G Char"/>
    <w:link w:val="HChG"/>
    <w:qFormat/>
    <w:rsid w:val="00CF5A5B"/>
    <w:rPr>
      <w:b/>
      <w:sz w:val="28"/>
    </w:rPr>
  </w:style>
  <w:style w:type="character" w:customStyle="1" w:styleId="SingleTxtGChar">
    <w:name w:val="_ Single Txt_G Char"/>
    <w:link w:val="SingleTxtG"/>
    <w:qFormat/>
    <w:locked/>
    <w:rsid w:val="00CF5A5B"/>
  </w:style>
  <w:style w:type="character" w:customStyle="1" w:styleId="H1GChar">
    <w:name w:val="_ H_1_G Char"/>
    <w:link w:val="H1G"/>
    <w:qFormat/>
    <w:rsid w:val="00CF5A5B"/>
    <w:rPr>
      <w:b/>
      <w:sz w:val="24"/>
    </w:rPr>
  </w:style>
  <w:style w:type="paragraph" w:styleId="Revision">
    <w:name w:val="Revision"/>
    <w:hidden/>
    <w:uiPriority w:val="99"/>
    <w:semiHidden/>
    <w:rsid w:val="005A1BF2"/>
    <w:pPr>
      <w:spacing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446BB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C4E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C4EF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9C4EF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4E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4EFF"/>
    <w:rPr>
      <w:b/>
      <w:bCs/>
    </w:rPr>
  </w:style>
  <w:style w:type="paragraph" w:customStyle="1" w:styleId="Default">
    <w:name w:val="Default"/>
    <w:rsid w:val="005110F3"/>
    <w:pPr>
      <w:autoSpaceDE w:val="0"/>
      <w:autoSpaceDN w:val="0"/>
      <w:adjustRightInd w:val="0"/>
      <w:spacing w:line="240" w:lineRule="auto"/>
    </w:pPr>
    <w:rPr>
      <w:rFonts w:eastAsia="Times New Roman"/>
      <w:color w:val="000000"/>
      <w:sz w:val="24"/>
      <w:szCs w:val="24"/>
    </w:rPr>
  </w:style>
  <w:style w:type="paragraph" w:styleId="ListBullet">
    <w:name w:val="List Bullet"/>
    <w:basedOn w:val="Normal"/>
    <w:semiHidden/>
    <w:rsid w:val="005110F3"/>
    <w:pPr>
      <w:numPr>
        <w:numId w:val="16"/>
      </w:numPr>
      <w:suppressAutoHyphens/>
    </w:pPr>
    <w:rPr>
      <w:rFonts w:eastAsia="Batang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2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RCA-GARCIA\United%20Nations\UNOG_DCM-Macros%20-%20UNECE\Templates\ST\SGAC10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  <SharedWithUsers xmlns="4b4a1c0d-4a69-4996-a84a-fc699b9f49de">
      <UserInfo>
        <DisplayName>Romain Hubert</DisplayName>
        <AccountId>40</AccountId>
        <AccountType/>
      </UserInfo>
      <UserInfo>
        <DisplayName>Alicia Dorca Garcia</DisplayName>
        <AccountId>1313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0C699A-3081-464D-8175-18FB791049CF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  <ds:schemaRef ds:uri="4b4a1c0d-4a69-4996-a84a-fc699b9f49de"/>
  </ds:schemaRefs>
</ds:datastoreItem>
</file>

<file path=customXml/itemProps2.xml><?xml version="1.0" encoding="utf-8"?>
<ds:datastoreItem xmlns:ds="http://schemas.openxmlformats.org/officeDocument/2006/customXml" ds:itemID="{63518F60-7DA2-420D-843C-E28B2BAD873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E96D6C7-A69F-4CC1-9C48-E5514C6CF91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E4AA0A8-7D92-4339-85D6-E15FA8EE9F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SGAC10_E.dotm</Template>
  <TotalTime>45</TotalTime>
  <Pages>2</Pages>
  <Words>744</Words>
  <Characters>4093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UN/SCETDG/64/INF.13</vt:lpstr>
      <vt:lpstr/>
    </vt:vector>
  </TitlesOfParts>
  <Company/>
  <LinksUpToDate>false</LinksUpToDate>
  <CharactersWithSpaces>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UN/SCETDG/64/INF.13</dc:title>
  <dc:subject/>
  <dc:creator>Alicia DORCA-GARCIA</dc:creator>
  <cp:keywords/>
  <cp:lastModifiedBy>Alicia Dorca Garcia</cp:lastModifiedBy>
  <cp:revision>41</cp:revision>
  <dcterms:created xsi:type="dcterms:W3CDTF">2024-05-17T18:35:00Z</dcterms:created>
  <dcterms:modified xsi:type="dcterms:W3CDTF">2024-06-06T15:03:00Z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MediaServiceImageTags">
    <vt:lpwstr/>
  </property>
  <property fmtid="{D5CDD505-2E9C-101B-9397-08002B2CF9AE}" pid="4" name="gba66df640194346a5267c50f24d4797">
    <vt:lpwstr/>
  </property>
  <property fmtid="{D5CDD505-2E9C-101B-9397-08002B2CF9AE}" pid="5" name="Office_x0020_of_x0020_Origin">
    <vt:lpwstr/>
  </property>
  <property fmtid="{D5CDD505-2E9C-101B-9397-08002B2CF9AE}" pid="6" name="Office of Origin">
    <vt:lpwstr/>
  </property>
</Properties>
</file>