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6B09EE15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C5EDB9A" w14:textId="77777777" w:rsidR="00F35BAF" w:rsidRPr="00DB58B5" w:rsidRDefault="00F35BAF" w:rsidP="00BB1184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E1B67F3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C6FE0A4" w14:textId="102D2998" w:rsidR="00F35BAF" w:rsidRPr="00DB58B5" w:rsidRDefault="00BB1184" w:rsidP="00BB1184">
            <w:pPr>
              <w:jc w:val="right"/>
            </w:pPr>
            <w:r w:rsidRPr="00BB1184">
              <w:rPr>
                <w:sz w:val="40"/>
              </w:rPr>
              <w:t>ECE</w:t>
            </w:r>
            <w:r>
              <w:t>/TRANS/WP.29/2024/67</w:t>
            </w:r>
            <w:r w:rsidR="00B60BF0" w:rsidRPr="00B60BF0">
              <w:rPr>
                <w:rStyle w:val="Appelnotedebasdep"/>
                <w:sz w:val="20"/>
                <w:vertAlign w:val="baseline"/>
              </w:rPr>
              <w:footnoteReference w:customMarkFollows="1" w:id="2"/>
              <w:t>*</w:t>
            </w:r>
          </w:p>
        </w:tc>
      </w:tr>
      <w:tr w:rsidR="00F35BAF" w:rsidRPr="00DB58B5" w14:paraId="1B5F76E7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6FF9B3B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714ECF5" wp14:editId="78D36AD0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F30D29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56565CD" w14:textId="77777777" w:rsidR="00F35BAF" w:rsidRDefault="00BB1184" w:rsidP="00C97039">
            <w:pPr>
              <w:spacing w:before="240"/>
            </w:pPr>
            <w:r>
              <w:t>Distr. générale</w:t>
            </w:r>
          </w:p>
          <w:p w14:paraId="012A8503" w14:textId="77777777" w:rsidR="00BB1184" w:rsidRDefault="00BB1184" w:rsidP="00BB1184">
            <w:pPr>
              <w:spacing w:line="240" w:lineRule="exact"/>
            </w:pPr>
            <w:r>
              <w:t>5 avril 2024</w:t>
            </w:r>
          </w:p>
          <w:p w14:paraId="16E8395A" w14:textId="77777777" w:rsidR="00BB1184" w:rsidRDefault="00BB1184" w:rsidP="00BB1184">
            <w:pPr>
              <w:spacing w:line="240" w:lineRule="exact"/>
            </w:pPr>
            <w:r>
              <w:t>Français</w:t>
            </w:r>
          </w:p>
          <w:p w14:paraId="754CB8EE" w14:textId="4C151B2C" w:rsidR="00BB1184" w:rsidRPr="00DB58B5" w:rsidRDefault="00BB1184" w:rsidP="00BB1184">
            <w:pPr>
              <w:spacing w:line="240" w:lineRule="exact"/>
            </w:pPr>
            <w:r>
              <w:t>Original : anglais</w:t>
            </w:r>
          </w:p>
        </w:tc>
      </w:tr>
    </w:tbl>
    <w:p w14:paraId="386139E2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04F67543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5ECC345D" w14:textId="77777777" w:rsidR="00BB1184" w:rsidRDefault="00BB1184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75BBED06" w14:textId="20DEB200" w:rsidR="00BB1184" w:rsidRDefault="00BB1184" w:rsidP="00BB1184">
      <w:pPr>
        <w:spacing w:before="120" w:line="240" w:lineRule="exact"/>
        <w:rPr>
          <w:b/>
        </w:rPr>
      </w:pPr>
      <w:r>
        <w:rPr>
          <w:b/>
        </w:rPr>
        <w:t>193</w:t>
      </w:r>
      <w:r w:rsidRPr="00BB1184">
        <w:rPr>
          <w:b/>
          <w:vertAlign w:val="superscript"/>
        </w:rPr>
        <w:t>e</w:t>
      </w:r>
      <w:r>
        <w:rPr>
          <w:b/>
        </w:rPr>
        <w:t xml:space="preserve"> session</w:t>
      </w:r>
    </w:p>
    <w:p w14:paraId="4580E382" w14:textId="77777777" w:rsidR="00BB1184" w:rsidRDefault="00BB1184" w:rsidP="00BB1184">
      <w:pPr>
        <w:spacing w:line="240" w:lineRule="exact"/>
      </w:pPr>
      <w:r>
        <w:t>Genève, 25-28 juin 2024</w:t>
      </w:r>
    </w:p>
    <w:p w14:paraId="7CA4D474" w14:textId="77777777" w:rsidR="00BB1184" w:rsidRDefault="00BB1184" w:rsidP="00BB1184">
      <w:pPr>
        <w:spacing w:line="240" w:lineRule="exact"/>
      </w:pPr>
      <w:r>
        <w:t>Point 4.9.5 de l’ordre du jour provisoire</w:t>
      </w:r>
    </w:p>
    <w:p w14:paraId="5A776B5D" w14:textId="77777777" w:rsidR="00BB1184" w:rsidRDefault="00BB1184" w:rsidP="00BB1184">
      <w:pPr>
        <w:rPr>
          <w:b/>
          <w:bCs/>
          <w:lang w:val="fr-FR"/>
        </w:rPr>
      </w:pPr>
      <w:r>
        <w:rPr>
          <w:b/>
          <w:bCs/>
          <w:lang w:val="fr-FR"/>
        </w:rPr>
        <w:t>Accord de 1958 :</w:t>
      </w:r>
    </w:p>
    <w:p w14:paraId="743E5661" w14:textId="3FEA5ACE" w:rsidR="00BB1184" w:rsidRPr="00C16C03" w:rsidRDefault="00BB1184" w:rsidP="00BB1184">
      <w:pPr>
        <w:rPr>
          <w:b/>
          <w:bCs/>
        </w:rPr>
      </w:pPr>
      <w:r w:rsidRPr="006D48B6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6D48B6">
        <w:rPr>
          <w:b/>
          <w:bCs/>
          <w:lang w:val="fr-FR"/>
        </w:rPr>
        <w:t>amendements à des Règlements ONU existants,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br/>
        <w:t>soumis par le GRBP</w:t>
      </w:r>
    </w:p>
    <w:p w14:paraId="1684CCB0" w14:textId="096B3019" w:rsidR="00BB1184" w:rsidRPr="00C16C03" w:rsidRDefault="00BB1184" w:rsidP="00BB1184">
      <w:pPr>
        <w:pStyle w:val="HChG"/>
        <w:rPr>
          <w:sz w:val="24"/>
          <w:szCs w:val="24"/>
        </w:rPr>
      </w:pPr>
      <w:r>
        <w:rPr>
          <w:lang w:val="fr-FR"/>
        </w:rPr>
        <w:tab/>
      </w:r>
      <w:r>
        <w:rPr>
          <w:lang w:val="fr-FR"/>
        </w:rPr>
        <w:tab/>
        <w:t>Proposition de complément 26 à la série 02 d’amendements au Règlement ONU n</w:t>
      </w:r>
      <w:r w:rsidRPr="008648C6">
        <w:rPr>
          <w:vertAlign w:val="superscript"/>
          <w:lang w:val="fr-FR"/>
        </w:rPr>
        <w:t>o</w:t>
      </w:r>
      <w:r>
        <w:rPr>
          <w:lang w:val="fr-FR"/>
        </w:rPr>
        <w:t> 30 (</w:t>
      </w:r>
      <w:r w:rsidRPr="00FF626D">
        <w:rPr>
          <w:lang w:val="fr-FR"/>
        </w:rPr>
        <w:t>Pneumatiques pour les voitures particulières et leurs remorques</w:t>
      </w:r>
      <w:r>
        <w:rPr>
          <w:lang w:val="fr-FR"/>
        </w:rPr>
        <w:t>)</w:t>
      </w:r>
    </w:p>
    <w:p w14:paraId="7FAD42BE" w14:textId="4E737281" w:rsidR="00BB1184" w:rsidRPr="00C16C03" w:rsidRDefault="00BB1184" w:rsidP="00BB1184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 xml:space="preserve">Communication du </w:t>
      </w:r>
      <w:r w:rsidRPr="00924697">
        <w:rPr>
          <w:lang w:val="fr-FR"/>
        </w:rPr>
        <w:t>Groupe de travail du bruit et des pneumatiques</w:t>
      </w:r>
      <w:r w:rsidRPr="008648C6">
        <w:rPr>
          <w:rStyle w:val="Appelnotedebasdep"/>
          <w:b w:val="0"/>
          <w:bCs/>
          <w:sz w:val="20"/>
          <w:vertAlign w:val="baseline"/>
        </w:rPr>
        <w:footnoteReference w:customMarkFollows="1" w:id="3"/>
        <w:t>*</w:t>
      </w:r>
      <w:r w:rsidR="00B60BF0">
        <w:rPr>
          <w:b w:val="0"/>
          <w:bCs/>
          <w:sz w:val="20"/>
        </w:rPr>
        <w:t>*</w:t>
      </w:r>
    </w:p>
    <w:p w14:paraId="34E665D1" w14:textId="678A91F3" w:rsidR="00BB1184" w:rsidRDefault="00BB1184" w:rsidP="00BB1184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Le texte ci-après, adopté par le </w:t>
      </w:r>
      <w:r w:rsidRPr="00924697">
        <w:rPr>
          <w:lang w:val="fr-FR"/>
        </w:rPr>
        <w:t xml:space="preserve">Groupe de travail du bruit et des pneumatiques </w:t>
      </w:r>
      <w:r>
        <w:rPr>
          <w:lang w:val="fr-FR"/>
        </w:rPr>
        <w:t>(GRBP) à sa soixante-dix-neuvième session (</w:t>
      </w:r>
      <w:r w:rsidRPr="00842D98">
        <w:rPr>
          <w:lang w:val="fr-FR"/>
        </w:rPr>
        <w:t>ECE/TRANS/WP.29/GRBP/77, par. 17)</w:t>
      </w:r>
      <w:r>
        <w:rPr>
          <w:lang w:val="fr-FR"/>
        </w:rPr>
        <w:t xml:space="preserve">, est fondé sur le document </w:t>
      </w:r>
      <w:r w:rsidRPr="00842D98">
        <w:rPr>
          <w:lang w:val="fr-FR"/>
        </w:rPr>
        <w:t xml:space="preserve">ECE/TRANS/WP.29/GRBP/2024/15. </w:t>
      </w:r>
      <w:r w:rsidRPr="00FD405B">
        <w:rPr>
          <w:lang w:val="fr-FR"/>
        </w:rPr>
        <w:t>Il est soumis au Forum mondial de l</w:t>
      </w:r>
      <w:r>
        <w:rPr>
          <w:lang w:val="fr-FR"/>
        </w:rPr>
        <w:t>’</w:t>
      </w:r>
      <w:r w:rsidRPr="00FD405B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FD405B">
        <w:rPr>
          <w:lang w:val="fr-FR"/>
        </w:rPr>
        <w:t>administration de l</w:t>
      </w:r>
      <w:r>
        <w:rPr>
          <w:lang w:val="fr-FR"/>
        </w:rPr>
        <w:t>’</w:t>
      </w:r>
      <w:r w:rsidRPr="00FD405B">
        <w:rPr>
          <w:lang w:val="fr-FR"/>
        </w:rPr>
        <w:t>Accord de 1958 (AC.1) pour examen à leurs sessions de juin</w:t>
      </w:r>
      <w:r>
        <w:rPr>
          <w:lang w:val="fr-FR"/>
        </w:rPr>
        <w:t> </w:t>
      </w:r>
      <w:r w:rsidRPr="00FD405B">
        <w:rPr>
          <w:lang w:val="fr-FR"/>
        </w:rPr>
        <w:t>2024.</w:t>
      </w:r>
    </w:p>
    <w:p w14:paraId="05DCC0E5" w14:textId="77777777" w:rsidR="00BB1184" w:rsidRDefault="00BB1184" w:rsidP="00BB1184">
      <w:pPr>
        <w:rPr>
          <w:lang w:val="fr-FR"/>
        </w:rPr>
      </w:pPr>
      <w:r>
        <w:rPr>
          <w:lang w:val="fr-FR"/>
        </w:rPr>
        <w:br w:type="page"/>
      </w:r>
    </w:p>
    <w:p w14:paraId="00E0CCFD" w14:textId="1712791A" w:rsidR="00BB1184" w:rsidRPr="00C16C03" w:rsidRDefault="00BB1184" w:rsidP="00BB1184">
      <w:pPr>
        <w:pStyle w:val="SingleTxtG"/>
      </w:pPr>
      <w:r w:rsidRPr="00BB1184">
        <w:rPr>
          <w:i/>
          <w:iCs/>
          <w:lang w:val="fr-FR"/>
        </w:rPr>
        <w:lastRenderedPageBreak/>
        <w:t>Paragraphe 1 et les notes de bas de page correspondantes</w:t>
      </w:r>
      <w:r>
        <w:rPr>
          <w:lang w:val="fr-FR"/>
        </w:rPr>
        <w:t>, lire :</w:t>
      </w:r>
    </w:p>
    <w:p w14:paraId="4B24B770" w14:textId="730B3779" w:rsidR="00BB1184" w:rsidRPr="001763A7" w:rsidRDefault="00BB1184" w:rsidP="00BB1184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</w:t>
      </w:r>
      <w:r w:rsidRPr="001763A7">
        <w:rPr>
          <w:lang w:val="fr-FR"/>
        </w:rPr>
        <w:t>1.</w:t>
      </w:r>
      <w:r w:rsidRPr="001763A7">
        <w:rPr>
          <w:lang w:val="fr-FR"/>
        </w:rPr>
        <w:tab/>
        <w:t>DOMAINE D</w:t>
      </w:r>
      <w:r>
        <w:rPr>
          <w:lang w:val="fr-FR"/>
        </w:rPr>
        <w:t>’</w:t>
      </w:r>
      <w:r w:rsidRPr="001763A7">
        <w:rPr>
          <w:lang w:val="fr-FR"/>
        </w:rPr>
        <w:t>APPLICATION</w:t>
      </w:r>
    </w:p>
    <w:p w14:paraId="5A9E2000" w14:textId="2455F1E2" w:rsidR="00BB1184" w:rsidRPr="000D2DB8" w:rsidRDefault="00BB1184" w:rsidP="00BB1184">
      <w:pPr>
        <w:pStyle w:val="Retraitcorpsdetexte3"/>
        <w:ind w:left="2268" w:right="1134"/>
        <w:jc w:val="both"/>
        <w:rPr>
          <w:sz w:val="20"/>
          <w:szCs w:val="20"/>
          <w:lang w:val="fr-FR"/>
        </w:rPr>
      </w:pPr>
      <w:r w:rsidRPr="001763A7">
        <w:rPr>
          <w:sz w:val="20"/>
          <w:szCs w:val="20"/>
          <w:lang w:val="fr-FR"/>
        </w:rPr>
        <w:t>Le présent Règlement s</w:t>
      </w:r>
      <w:r>
        <w:rPr>
          <w:sz w:val="20"/>
          <w:szCs w:val="20"/>
          <w:lang w:val="fr-FR"/>
        </w:rPr>
        <w:t>’</w:t>
      </w:r>
      <w:r w:rsidRPr="001763A7">
        <w:rPr>
          <w:sz w:val="20"/>
          <w:szCs w:val="20"/>
          <w:lang w:val="fr-FR"/>
        </w:rPr>
        <w:t>applique aux pneumatiques neufs conçus principalement</w:t>
      </w:r>
      <w:r>
        <w:rPr>
          <w:sz w:val="20"/>
          <w:szCs w:val="20"/>
          <w:lang w:val="fr-FR"/>
        </w:rPr>
        <w:t xml:space="preserve"> </w:t>
      </w:r>
      <w:r w:rsidRPr="001763A7">
        <w:rPr>
          <w:sz w:val="20"/>
          <w:szCs w:val="20"/>
          <w:lang w:val="fr-FR"/>
        </w:rPr>
        <w:t>pour les véhicules des catégories</w:t>
      </w:r>
      <w:r>
        <w:rPr>
          <w:sz w:val="20"/>
          <w:szCs w:val="20"/>
          <w:lang w:val="fr-FR"/>
        </w:rPr>
        <w:t> </w:t>
      </w:r>
      <w:r w:rsidRPr="001763A7">
        <w:rPr>
          <w:sz w:val="20"/>
          <w:szCs w:val="20"/>
          <w:lang w:val="fr-FR"/>
        </w:rPr>
        <w:t>M</w:t>
      </w:r>
      <w:r w:rsidRPr="00BB1184">
        <w:rPr>
          <w:sz w:val="20"/>
          <w:szCs w:val="20"/>
          <w:vertAlign w:val="subscript"/>
          <w:lang w:val="fr-FR"/>
        </w:rPr>
        <w:t>1</w:t>
      </w:r>
      <w:r w:rsidRPr="001763A7">
        <w:rPr>
          <w:sz w:val="20"/>
          <w:szCs w:val="20"/>
          <w:lang w:val="fr-FR"/>
        </w:rPr>
        <w:t xml:space="preserve">, </w:t>
      </w:r>
      <w:r w:rsidR="00B60BF0">
        <w:rPr>
          <w:sz w:val="20"/>
          <w:szCs w:val="20"/>
          <w:lang w:val="fr-FR"/>
        </w:rPr>
        <w:t>N</w:t>
      </w:r>
      <w:r w:rsidR="00B60BF0" w:rsidRPr="00B60BF0">
        <w:rPr>
          <w:sz w:val="20"/>
          <w:szCs w:val="20"/>
          <w:vertAlign w:val="subscript"/>
          <w:lang w:val="fr-FR"/>
        </w:rPr>
        <w:t>1</w:t>
      </w:r>
      <w:r w:rsidR="00B60BF0">
        <w:rPr>
          <w:sz w:val="20"/>
          <w:szCs w:val="20"/>
          <w:lang w:val="fr-FR"/>
        </w:rPr>
        <w:t xml:space="preserve">, </w:t>
      </w:r>
      <w:r w:rsidRPr="001763A7">
        <w:rPr>
          <w:sz w:val="20"/>
          <w:szCs w:val="20"/>
          <w:lang w:val="fr-FR"/>
        </w:rPr>
        <w:t>O</w:t>
      </w:r>
      <w:r w:rsidRPr="00BB1184">
        <w:rPr>
          <w:sz w:val="20"/>
          <w:szCs w:val="20"/>
          <w:vertAlign w:val="subscript"/>
          <w:lang w:val="fr-FR"/>
        </w:rPr>
        <w:t>1</w:t>
      </w:r>
      <w:r w:rsidRPr="001763A7">
        <w:rPr>
          <w:sz w:val="20"/>
          <w:szCs w:val="20"/>
          <w:lang w:val="fr-FR"/>
        </w:rPr>
        <w:t xml:space="preserve"> et O</w:t>
      </w:r>
      <w:r w:rsidRPr="00BB1184">
        <w:rPr>
          <w:sz w:val="20"/>
          <w:szCs w:val="20"/>
          <w:vertAlign w:val="subscript"/>
          <w:lang w:val="fr-FR"/>
        </w:rPr>
        <w:t>2</w:t>
      </w:r>
      <w:r w:rsidRPr="00BB1184">
        <w:rPr>
          <w:sz w:val="18"/>
          <w:szCs w:val="18"/>
          <w:vertAlign w:val="superscript"/>
          <w:lang w:val="fr-FR"/>
        </w:rPr>
        <w:t>1, 2</w:t>
      </w:r>
      <w:r w:rsidRPr="00842D98">
        <w:rPr>
          <w:sz w:val="20"/>
          <w:szCs w:val="20"/>
          <w:lang w:val="fr-FR"/>
        </w:rPr>
        <w:t>.</w:t>
      </w:r>
    </w:p>
    <w:p w14:paraId="7F3E7CE8" w14:textId="77777777" w:rsidR="00BB1184" w:rsidRPr="001763A7" w:rsidRDefault="00BB1184" w:rsidP="00BB1184">
      <w:pPr>
        <w:pStyle w:val="Retraitcorpsdetexte3"/>
        <w:ind w:left="2268" w:right="1134"/>
        <w:jc w:val="both"/>
        <w:rPr>
          <w:sz w:val="20"/>
          <w:szCs w:val="20"/>
          <w:lang w:val="fr-FR"/>
        </w:rPr>
      </w:pPr>
      <w:r w:rsidRPr="000D2DB8">
        <w:rPr>
          <w:sz w:val="20"/>
          <w:szCs w:val="20"/>
          <w:lang w:val="fr-FR"/>
        </w:rPr>
        <w:t>Il ne s</w:t>
      </w:r>
      <w:r>
        <w:rPr>
          <w:sz w:val="20"/>
          <w:szCs w:val="20"/>
          <w:lang w:val="fr-FR"/>
        </w:rPr>
        <w:t>’</w:t>
      </w:r>
      <w:r w:rsidRPr="000D2DB8">
        <w:rPr>
          <w:sz w:val="20"/>
          <w:szCs w:val="20"/>
          <w:lang w:val="fr-FR"/>
        </w:rPr>
        <w:t>applique pas aux pneumatiques conçus principalement pour :</w:t>
      </w:r>
    </w:p>
    <w:p w14:paraId="1B4AD97A" w14:textId="77777777" w:rsidR="00BB1184" w:rsidRPr="001763A7" w:rsidRDefault="00BB1184" w:rsidP="00BB1184">
      <w:pPr>
        <w:pStyle w:val="SingleTxtG"/>
        <w:ind w:left="2268" w:hanging="1134"/>
        <w:rPr>
          <w:lang w:val="fr-FR"/>
        </w:rPr>
      </w:pPr>
      <w:r w:rsidRPr="001763A7">
        <w:rPr>
          <w:lang w:val="fr-FR"/>
        </w:rPr>
        <w:t>1.1</w:t>
      </w:r>
      <w:r w:rsidRPr="001763A7">
        <w:rPr>
          <w:lang w:val="fr-FR"/>
        </w:rPr>
        <w:tab/>
        <w:t>Équiper les voitures de collection</w:t>
      </w:r>
      <w:r>
        <w:rPr>
          <w:lang w:val="fr-FR"/>
        </w:rPr>
        <w:t> </w:t>
      </w:r>
      <w:r w:rsidRPr="001763A7">
        <w:rPr>
          <w:lang w:val="fr-FR"/>
        </w:rPr>
        <w:t>;</w:t>
      </w:r>
    </w:p>
    <w:p w14:paraId="2185E747" w14:textId="2C76345A" w:rsidR="00BB1184" w:rsidRDefault="00BB1184" w:rsidP="00BB1184">
      <w:pPr>
        <w:pStyle w:val="SingleTxtG"/>
        <w:ind w:left="2268" w:hanging="1134"/>
        <w:rPr>
          <w:lang w:val="fr-FR"/>
        </w:rPr>
      </w:pPr>
      <w:r>
        <w:rPr>
          <w:lang w:val="fr-FR"/>
        </w:rPr>
        <w:t>1.2</w:t>
      </w:r>
      <w:r>
        <w:rPr>
          <w:lang w:val="fr-FR"/>
        </w:rPr>
        <w:tab/>
      </w:r>
      <w:r w:rsidRPr="001763A7">
        <w:rPr>
          <w:lang w:val="fr-FR"/>
        </w:rPr>
        <w:t>La compétition.</w:t>
      </w:r>
    </w:p>
    <w:p w14:paraId="29064CFC" w14:textId="77777777" w:rsidR="00BB1184" w:rsidRPr="001047F8" w:rsidRDefault="00BB1184" w:rsidP="00BB1184">
      <w:pPr>
        <w:suppressAutoHyphens w:val="0"/>
        <w:spacing w:after="120" w:line="240" w:lineRule="auto"/>
        <w:ind w:right="1134"/>
        <w:mirrorIndents/>
        <w:jc w:val="both"/>
        <w:rPr>
          <w:b/>
          <w:bCs/>
          <w:i/>
          <w:iCs/>
          <w:u w:val="single"/>
          <w:lang w:val="fr-FR"/>
        </w:rPr>
      </w:pPr>
      <w:r w:rsidRPr="00697E2A">
        <w:separator/>
      </w:r>
    </w:p>
    <w:p w14:paraId="71C4303E" w14:textId="715DF4A7" w:rsidR="00BB1184" w:rsidRPr="00BB1184" w:rsidRDefault="00BB1184" w:rsidP="00BB1184">
      <w:pPr>
        <w:pStyle w:val="Retraitcorpsdetexte3"/>
        <w:ind w:left="1134" w:right="1134"/>
        <w:rPr>
          <w:sz w:val="18"/>
          <w:szCs w:val="18"/>
          <w:lang w:val="fr-CH"/>
        </w:rPr>
      </w:pPr>
      <w:r w:rsidRPr="00BB1184">
        <w:rPr>
          <w:sz w:val="18"/>
          <w:szCs w:val="18"/>
          <w:vertAlign w:val="superscript"/>
          <w:lang w:val="fr-FR"/>
        </w:rPr>
        <w:t>1</w:t>
      </w:r>
      <w:r w:rsidRPr="00BB1184">
        <w:rPr>
          <w:sz w:val="18"/>
          <w:szCs w:val="18"/>
          <w:lang w:val="fr-FR"/>
        </w:rPr>
        <w:t xml:space="preserve">  Selon les définitions figurant dans la Résolution d’ensemble sur la construction des véhicules (R.E.3).</w:t>
      </w:r>
    </w:p>
    <w:p w14:paraId="0E7BAC6B" w14:textId="6EDA730C" w:rsidR="00BB1184" w:rsidRPr="00BB1184" w:rsidRDefault="00BB1184" w:rsidP="00BB1184">
      <w:pPr>
        <w:pStyle w:val="Retraitcorpsdetexte3"/>
        <w:ind w:left="1134" w:right="1134"/>
        <w:rPr>
          <w:iCs/>
          <w:sz w:val="18"/>
          <w:szCs w:val="18"/>
          <w:lang w:val="fr-CH"/>
        </w:rPr>
      </w:pPr>
      <w:r w:rsidRPr="00BB1184">
        <w:rPr>
          <w:sz w:val="18"/>
          <w:szCs w:val="18"/>
          <w:vertAlign w:val="superscript"/>
          <w:lang w:val="fr-FR"/>
        </w:rPr>
        <w:t>2</w:t>
      </w:r>
      <w:r w:rsidRPr="00BB1184">
        <w:rPr>
          <w:sz w:val="18"/>
          <w:szCs w:val="18"/>
          <w:lang w:val="fr-FR"/>
        </w:rPr>
        <w:t xml:space="preserve">  Le présent Règlement établit des prescriptions applicables aux pneumatiques en tant que composants. Il ne limite pas leur montage à une catégorie de véhicules en particulier. </w:t>
      </w:r>
      <w:r w:rsidRPr="00BB1184">
        <w:rPr>
          <w:sz w:val="20"/>
          <w:szCs w:val="20"/>
          <w:lang w:val="fr-FR"/>
        </w:rPr>
        <w:t>».</w:t>
      </w:r>
    </w:p>
    <w:p w14:paraId="39923BF2" w14:textId="77777777" w:rsidR="00BB1184" w:rsidRPr="00C16C03" w:rsidRDefault="00BB1184" w:rsidP="00BB1184">
      <w:pPr>
        <w:pStyle w:val="SingleTxtG"/>
      </w:pPr>
      <w:bookmarkStart w:id="0" w:name="_Hlk99098290"/>
      <w:r>
        <w:rPr>
          <w:i/>
          <w:iCs/>
          <w:lang w:val="fr-FR"/>
        </w:rPr>
        <w:t>Paragraphe 6.1.4.2.4</w:t>
      </w:r>
      <w:r>
        <w:rPr>
          <w:lang w:val="fr-FR"/>
        </w:rPr>
        <w:t>, lire :</w:t>
      </w:r>
    </w:p>
    <w:bookmarkEnd w:id="0"/>
    <w:p w14:paraId="3A1279CC" w14:textId="77777777" w:rsidR="00BB1184" w:rsidRPr="00C16C03" w:rsidRDefault="00BB1184" w:rsidP="00BB1184">
      <w:pPr>
        <w:pStyle w:val="SingleTxtG"/>
        <w:ind w:left="2268" w:hanging="1134"/>
        <w:rPr>
          <w:i/>
          <w:iCs/>
        </w:rPr>
      </w:pPr>
      <w:r>
        <w:rPr>
          <w:lang w:val="fr-FR"/>
        </w:rPr>
        <w:t>« 6.1.4.2.4</w:t>
      </w:r>
      <w:r>
        <w:rPr>
          <w:lang w:val="fr-FR"/>
        </w:rPr>
        <w:tab/>
      </w:r>
      <w:r w:rsidRPr="00842D98">
        <w:rPr>
          <w:lang w:val="fr-FR"/>
        </w:rPr>
        <w:t>Sans préjudice de ce qui précède</w:t>
      </w:r>
      <w:r w:rsidRPr="00527919">
        <w:rPr>
          <w:lang w:val="fr-FR"/>
        </w:rPr>
        <w:t>,</w:t>
      </w:r>
      <w:r>
        <w:rPr>
          <w:lang w:val="fr-FR"/>
        </w:rPr>
        <w:t xml:space="preserve"> pour les pneumatiques identifiés par la mention “montage pneumatique/jante” (voir le paragraphe 2.27.1), symbole “A” ou “U”, la grosseur hors tout </w:t>
      </w:r>
      <w:r w:rsidRPr="00842D98">
        <w:rPr>
          <w:lang w:val="fr-FR"/>
        </w:rPr>
        <w:t>maximale</w:t>
      </w:r>
      <w:r>
        <w:rPr>
          <w:lang w:val="fr-FR"/>
        </w:rPr>
        <w:t xml:space="preserve"> du pneumatique, dans sa partie inférieure, est égale à la largeur nominale de la jante sur laquelle le pneumatique est monté, telle qu’indiquée par le fabricant dans la notice descriptive, majorée de 20 </w:t>
      </w:r>
      <w:proofErr w:type="spellStart"/>
      <w:r>
        <w:rPr>
          <w:lang w:val="fr-FR"/>
        </w:rPr>
        <w:t>mm.</w:t>
      </w:r>
      <w:proofErr w:type="spellEnd"/>
      <w:r>
        <w:rPr>
          <w:lang w:val="fr-FR"/>
        </w:rPr>
        <w:t> ».</w:t>
      </w:r>
    </w:p>
    <w:p w14:paraId="71D75A80" w14:textId="77777777" w:rsidR="00BB1184" w:rsidRPr="001763A7" w:rsidRDefault="00BB1184" w:rsidP="00BB1184">
      <w:pPr>
        <w:pStyle w:val="SingleTxtG"/>
        <w:rPr>
          <w:iCs/>
        </w:rPr>
      </w:pPr>
      <w:r>
        <w:rPr>
          <w:i/>
          <w:iCs/>
          <w:lang w:val="fr-FR"/>
        </w:rPr>
        <w:t>Annexe 6, paragraphe 4</w:t>
      </w:r>
      <w:r>
        <w:rPr>
          <w:lang w:val="fr-FR"/>
        </w:rPr>
        <w:t>, lire :</w:t>
      </w:r>
    </w:p>
    <w:p w14:paraId="6DB7E712" w14:textId="77777777" w:rsidR="00BB1184" w:rsidRPr="00C16C03" w:rsidRDefault="00BB1184" w:rsidP="00BB1184">
      <w:pPr>
        <w:pStyle w:val="SingleTxtG"/>
        <w:ind w:left="2268" w:hanging="1134"/>
        <w:rPr>
          <w:b/>
          <w:bCs/>
        </w:rPr>
      </w:pPr>
      <w:r>
        <w:rPr>
          <w:lang w:val="fr-FR"/>
        </w:rPr>
        <w:t>« 4.</w:t>
      </w:r>
      <w:r>
        <w:rPr>
          <w:lang w:val="fr-FR"/>
        </w:rPr>
        <w:tab/>
        <w:t>Mesurer, en tenant compte de l’épaisseur des nervures ou cordons de protection, la grosseur hors tout en six points régulièrement espacés ; retenir comme grosseur hors tout la valeur maximale mesurée. ».</w:t>
      </w:r>
    </w:p>
    <w:p w14:paraId="48D673D3" w14:textId="41885076" w:rsidR="00F9573C" w:rsidRPr="00BB1184" w:rsidRDefault="00BB1184" w:rsidP="00BB118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BB1184" w:rsidSect="00BB118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576E" w14:textId="77777777" w:rsidR="00011DB3" w:rsidRDefault="00011DB3" w:rsidP="00F95C08">
      <w:pPr>
        <w:spacing w:line="240" w:lineRule="auto"/>
      </w:pPr>
    </w:p>
  </w:endnote>
  <w:endnote w:type="continuationSeparator" w:id="0">
    <w:p w14:paraId="150F2B08" w14:textId="77777777" w:rsidR="00011DB3" w:rsidRPr="00AC3823" w:rsidRDefault="00011DB3" w:rsidP="00AC3823">
      <w:pPr>
        <w:pStyle w:val="Pieddepage"/>
      </w:pPr>
    </w:p>
  </w:endnote>
  <w:endnote w:type="continuationNotice" w:id="1">
    <w:p w14:paraId="535DAAF5" w14:textId="77777777" w:rsidR="00011DB3" w:rsidRDefault="00011D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123E" w14:textId="777BCD0C" w:rsidR="00BB1184" w:rsidRPr="00BB1184" w:rsidRDefault="00BB1184" w:rsidP="00BB1184">
    <w:pPr>
      <w:pStyle w:val="Pieddepage"/>
      <w:tabs>
        <w:tab w:val="right" w:pos="9638"/>
      </w:tabs>
    </w:pPr>
    <w:r w:rsidRPr="00BB1184">
      <w:rPr>
        <w:b/>
        <w:sz w:val="18"/>
      </w:rPr>
      <w:fldChar w:fldCharType="begin"/>
    </w:r>
    <w:r w:rsidRPr="00BB1184">
      <w:rPr>
        <w:b/>
        <w:sz w:val="18"/>
      </w:rPr>
      <w:instrText xml:space="preserve"> PAGE  \* MERGEFORMAT </w:instrText>
    </w:r>
    <w:r w:rsidRPr="00BB1184">
      <w:rPr>
        <w:b/>
        <w:sz w:val="18"/>
      </w:rPr>
      <w:fldChar w:fldCharType="separate"/>
    </w:r>
    <w:r w:rsidRPr="00BB1184">
      <w:rPr>
        <w:b/>
        <w:noProof/>
        <w:sz w:val="18"/>
      </w:rPr>
      <w:t>2</w:t>
    </w:r>
    <w:r w:rsidRPr="00BB1184">
      <w:rPr>
        <w:b/>
        <w:sz w:val="18"/>
      </w:rPr>
      <w:fldChar w:fldCharType="end"/>
    </w:r>
    <w:r>
      <w:rPr>
        <w:b/>
        <w:sz w:val="18"/>
      </w:rPr>
      <w:tab/>
    </w:r>
    <w:r>
      <w:t>GE.24-06182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CE69" w14:textId="3CE1ADBD" w:rsidR="00BB1184" w:rsidRPr="00BB1184" w:rsidRDefault="00BB1184" w:rsidP="00BB1184">
    <w:pPr>
      <w:pStyle w:val="Pieddepage"/>
      <w:tabs>
        <w:tab w:val="right" w:pos="9638"/>
      </w:tabs>
      <w:rPr>
        <w:b/>
        <w:sz w:val="18"/>
      </w:rPr>
    </w:pPr>
    <w:r>
      <w:t>GE.24-06182</w:t>
    </w:r>
    <w:r>
      <w:tab/>
    </w:r>
    <w:r w:rsidRPr="00BB1184">
      <w:rPr>
        <w:b/>
        <w:sz w:val="18"/>
      </w:rPr>
      <w:fldChar w:fldCharType="begin"/>
    </w:r>
    <w:r w:rsidRPr="00BB1184">
      <w:rPr>
        <w:b/>
        <w:sz w:val="18"/>
      </w:rPr>
      <w:instrText xml:space="preserve"> PAGE  \* MERGEFORMAT </w:instrText>
    </w:r>
    <w:r w:rsidRPr="00BB1184">
      <w:rPr>
        <w:b/>
        <w:sz w:val="18"/>
      </w:rPr>
      <w:fldChar w:fldCharType="separate"/>
    </w:r>
    <w:r w:rsidRPr="00BB1184">
      <w:rPr>
        <w:b/>
        <w:noProof/>
        <w:sz w:val="18"/>
      </w:rPr>
      <w:t>3</w:t>
    </w:r>
    <w:r w:rsidRPr="00BB118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BB28" w14:textId="203CE164" w:rsidR="007F20FA" w:rsidRPr="00BB1184" w:rsidRDefault="00BB1184" w:rsidP="00BB1184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69F40C05" wp14:editId="10CAC05D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24-06182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7D40567" wp14:editId="47B76555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080524    080524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987C" w14:textId="77777777" w:rsidR="00011DB3" w:rsidRPr="00AC3823" w:rsidRDefault="00011DB3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1E516B0" w14:textId="77777777" w:rsidR="00011DB3" w:rsidRPr="00AC3823" w:rsidRDefault="00011DB3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1EE6B20" w14:textId="77777777" w:rsidR="00011DB3" w:rsidRPr="00AC3823" w:rsidRDefault="00011DB3">
      <w:pPr>
        <w:spacing w:line="240" w:lineRule="auto"/>
        <w:rPr>
          <w:sz w:val="2"/>
          <w:szCs w:val="2"/>
        </w:rPr>
      </w:pPr>
    </w:p>
  </w:footnote>
  <w:footnote w:id="2">
    <w:p w14:paraId="2FA1726E" w14:textId="1876DB0A" w:rsidR="00B60BF0" w:rsidRPr="00B60BF0" w:rsidRDefault="00B60BF0">
      <w:pPr>
        <w:pStyle w:val="Notedebasdepage"/>
      </w:pPr>
      <w:r>
        <w:rPr>
          <w:rStyle w:val="Appelnotedebasdep"/>
        </w:rPr>
        <w:tab/>
      </w:r>
      <w:r w:rsidRPr="00B60BF0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B60BF0">
        <w:rPr>
          <w:szCs w:val="18"/>
        </w:rPr>
        <w:t>Nouveau tirage pour raisons techniques (12 juin 2024).</w:t>
      </w:r>
    </w:p>
  </w:footnote>
  <w:footnote w:id="3">
    <w:p w14:paraId="03C606FD" w14:textId="731D51E8" w:rsidR="00BB1184" w:rsidRPr="008648C6" w:rsidRDefault="00BB1184" w:rsidP="00BB1184">
      <w:pPr>
        <w:pStyle w:val="Notedebasdepage"/>
      </w:pPr>
      <w:r>
        <w:rPr>
          <w:rStyle w:val="Appelnotedebasdep"/>
        </w:rPr>
        <w:tab/>
      </w:r>
      <w:r w:rsidR="00B60BF0" w:rsidRPr="00B60BF0">
        <w:rPr>
          <w:rStyle w:val="Appelnotedebasdep"/>
          <w:sz w:val="20"/>
          <w:vertAlign w:val="baseline"/>
        </w:rPr>
        <w:t>*</w:t>
      </w:r>
      <w:r w:rsidRPr="008648C6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 20), par. 20.5),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649C" w14:textId="630C0582" w:rsidR="00BB1184" w:rsidRPr="00BB1184" w:rsidRDefault="00302AE1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 w:rsidR="00BB1184">
      <w:t>ECE/TRANS/WP.29/2024/67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3A32" w14:textId="4EA3C5FA" w:rsidR="00BB1184" w:rsidRPr="00BB1184" w:rsidRDefault="00302AE1" w:rsidP="00BB1184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B1184">
      <w:t>ECE/TRANS/WP.29/2024/67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345716117">
    <w:abstractNumId w:val="12"/>
  </w:num>
  <w:num w:numId="2" w16cid:durableId="15428145">
    <w:abstractNumId w:val="11"/>
  </w:num>
  <w:num w:numId="3" w16cid:durableId="1582830599">
    <w:abstractNumId w:val="10"/>
  </w:num>
  <w:num w:numId="4" w16cid:durableId="1417706908">
    <w:abstractNumId w:val="8"/>
  </w:num>
  <w:num w:numId="5" w16cid:durableId="533079112">
    <w:abstractNumId w:val="3"/>
  </w:num>
  <w:num w:numId="6" w16cid:durableId="1455102372">
    <w:abstractNumId w:val="2"/>
  </w:num>
  <w:num w:numId="7" w16cid:durableId="20593823">
    <w:abstractNumId w:val="1"/>
  </w:num>
  <w:num w:numId="8" w16cid:durableId="735588428">
    <w:abstractNumId w:val="0"/>
  </w:num>
  <w:num w:numId="9" w16cid:durableId="524902254">
    <w:abstractNumId w:val="9"/>
  </w:num>
  <w:num w:numId="10" w16cid:durableId="446316015">
    <w:abstractNumId w:val="7"/>
  </w:num>
  <w:num w:numId="11" w16cid:durableId="1812021820">
    <w:abstractNumId w:val="6"/>
  </w:num>
  <w:num w:numId="12" w16cid:durableId="1766263771">
    <w:abstractNumId w:val="5"/>
  </w:num>
  <w:num w:numId="13" w16cid:durableId="1365473468">
    <w:abstractNumId w:val="4"/>
  </w:num>
  <w:num w:numId="14" w16cid:durableId="282463045">
    <w:abstractNumId w:val="12"/>
  </w:num>
  <w:num w:numId="15" w16cid:durableId="533660574">
    <w:abstractNumId w:val="11"/>
  </w:num>
  <w:num w:numId="16" w16cid:durableId="204484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B3"/>
    <w:rsid w:val="00011DB3"/>
    <w:rsid w:val="00017F94"/>
    <w:rsid w:val="00023842"/>
    <w:rsid w:val="000334F9"/>
    <w:rsid w:val="00045FEB"/>
    <w:rsid w:val="0007796D"/>
    <w:rsid w:val="000B7790"/>
    <w:rsid w:val="00111F2F"/>
    <w:rsid w:val="00130767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5B4EBF"/>
    <w:rsid w:val="005E0117"/>
    <w:rsid w:val="0071601D"/>
    <w:rsid w:val="007A62E6"/>
    <w:rsid w:val="007E0C85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71BC1"/>
    <w:rsid w:val="00AC3823"/>
    <w:rsid w:val="00AE323C"/>
    <w:rsid w:val="00AF0CB5"/>
    <w:rsid w:val="00B00181"/>
    <w:rsid w:val="00B00B0D"/>
    <w:rsid w:val="00B45F2E"/>
    <w:rsid w:val="00B60BF0"/>
    <w:rsid w:val="00B765F7"/>
    <w:rsid w:val="00B77993"/>
    <w:rsid w:val="00BA0CA9"/>
    <w:rsid w:val="00BB1184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6E578"/>
  <w15:docId w15:val="{96135AFC-2AC6-4D95-B990-B14928E1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link w:val="paraChar"/>
    <w:qFormat/>
    <w:rsid w:val="00BB1184"/>
    <w:pPr>
      <w:spacing w:after="120"/>
      <w:ind w:left="2268" w:right="1134" w:hanging="1134"/>
      <w:jc w:val="both"/>
    </w:pPr>
    <w:rPr>
      <w:kern w:val="2"/>
      <w:lang w:val="en-GB"/>
      <w14:ligatures w14:val="standardContextual"/>
    </w:rPr>
  </w:style>
  <w:style w:type="character" w:customStyle="1" w:styleId="paraChar">
    <w:name w:val="para Char"/>
    <w:link w:val="para"/>
    <w:rsid w:val="00BB1184"/>
    <w:rPr>
      <w:rFonts w:ascii="Times New Roman" w:eastAsiaTheme="minorHAnsi" w:hAnsi="Times New Roman" w:cs="Times New Roman"/>
      <w:kern w:val="2"/>
      <w:sz w:val="20"/>
      <w:szCs w:val="20"/>
      <w:lang w:val="en-GB" w:eastAsia="en-US"/>
      <w14:ligatures w14:val="standardContextual"/>
    </w:rPr>
  </w:style>
  <w:style w:type="paragraph" w:styleId="Retraitcorpsdetexte3">
    <w:name w:val="Body Text Indent 3"/>
    <w:basedOn w:val="Normal"/>
    <w:link w:val="Retraitcorpsdetexte3Car"/>
    <w:rsid w:val="00BB1184"/>
    <w:pPr>
      <w:spacing w:after="120"/>
      <w:ind w:left="283"/>
    </w:pPr>
    <w:rPr>
      <w:kern w:val="2"/>
      <w:sz w:val="16"/>
      <w:szCs w:val="16"/>
      <w:lang w:val="en-GB"/>
      <w14:ligatures w14:val="standardContextual"/>
    </w:rPr>
  </w:style>
  <w:style w:type="character" w:customStyle="1" w:styleId="Retraitcorpsdetexte3Car">
    <w:name w:val="Retrait corps de texte 3 Car"/>
    <w:basedOn w:val="Policepardfaut"/>
    <w:link w:val="Retraitcorpsdetexte3"/>
    <w:rsid w:val="00BB1184"/>
    <w:rPr>
      <w:rFonts w:ascii="Times New Roman" w:eastAsiaTheme="minorHAnsi" w:hAnsi="Times New Roman" w:cs="Times New Roman"/>
      <w:kern w:val="2"/>
      <w:sz w:val="16"/>
      <w:szCs w:val="16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547C8-E701-49D8-8B19-1980270C0C71}"/>
</file>

<file path=customXml/itemProps2.xml><?xml version="1.0" encoding="utf-8"?>
<ds:datastoreItem xmlns:ds="http://schemas.openxmlformats.org/officeDocument/2006/customXml" ds:itemID="{118579DF-7F46-4BC1-8FB3-DD5C8769B40E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ECE/TRANS/WP.29/2024/67</vt:lpstr>
    </vt:vector>
  </TitlesOfParts>
  <Company>DCM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ECE/TRANS/WP.29/2024/67</dc:title>
  <dc:subject/>
  <dc:creator>Sandrine CLERE</dc:creator>
  <cp:keywords/>
  <cp:lastModifiedBy>Sandrine Clere</cp:lastModifiedBy>
  <cp:revision>2</cp:revision>
  <cp:lastPrinted>2014-05-14T10:59:00Z</cp:lastPrinted>
  <dcterms:created xsi:type="dcterms:W3CDTF">2024-06-12T13:28:00Z</dcterms:created>
  <dcterms:modified xsi:type="dcterms:W3CDTF">2024-06-12T13:28:00Z</dcterms:modified>
</cp:coreProperties>
</file>