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1939D5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95D3AC5" w14:textId="77777777" w:rsidR="00F35BAF" w:rsidRPr="00DB58B5" w:rsidRDefault="00F35BAF" w:rsidP="00696F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8A4612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52FB084" w14:textId="75A22BDB" w:rsidR="00F35BAF" w:rsidRPr="00DB58B5" w:rsidRDefault="00696F58" w:rsidP="00696F58">
            <w:pPr>
              <w:jc w:val="right"/>
            </w:pPr>
            <w:r w:rsidRPr="00696F58">
              <w:rPr>
                <w:sz w:val="40"/>
              </w:rPr>
              <w:t>ECE</w:t>
            </w:r>
            <w:r>
              <w:t>/TRANS/WP.15/AC.2/2024/56</w:t>
            </w:r>
          </w:p>
        </w:tc>
      </w:tr>
      <w:tr w:rsidR="00F35BAF" w:rsidRPr="00DB58B5" w14:paraId="0D18914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707968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E9E6129" wp14:editId="1D025DA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25976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BE24BD" w14:textId="77777777" w:rsidR="00F35BAF" w:rsidRDefault="00696F58" w:rsidP="00C97039">
            <w:pPr>
              <w:spacing w:before="240"/>
            </w:pPr>
            <w:r>
              <w:t>Distr. générale</w:t>
            </w:r>
          </w:p>
          <w:p w14:paraId="6479E5BB" w14:textId="77777777" w:rsidR="00696F58" w:rsidRDefault="00696F58" w:rsidP="00696F58">
            <w:pPr>
              <w:spacing w:line="240" w:lineRule="exact"/>
            </w:pPr>
            <w:r>
              <w:t>10 juin 2024</w:t>
            </w:r>
          </w:p>
          <w:p w14:paraId="2FF7971A" w14:textId="77777777" w:rsidR="00696F58" w:rsidRDefault="00696F58" w:rsidP="00696F58">
            <w:pPr>
              <w:spacing w:line="240" w:lineRule="exact"/>
            </w:pPr>
            <w:r>
              <w:t>Français</w:t>
            </w:r>
          </w:p>
          <w:p w14:paraId="722EEBCA" w14:textId="08EC19C2" w:rsidR="00696F58" w:rsidRPr="00DB58B5" w:rsidRDefault="00696F58" w:rsidP="00696F58">
            <w:pPr>
              <w:spacing w:line="240" w:lineRule="exact"/>
            </w:pPr>
            <w:r>
              <w:t>Original : anglais</w:t>
            </w:r>
          </w:p>
        </w:tc>
      </w:tr>
    </w:tbl>
    <w:p w14:paraId="0289419C" w14:textId="6900AB4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96F5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6A6ACB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17FD317" w14:textId="77777777" w:rsidR="00696F58" w:rsidRPr="009E01B8" w:rsidRDefault="00696F58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0FD1DDD8" w14:textId="193E3AF7" w:rsidR="00696F58" w:rsidRPr="004812F5" w:rsidRDefault="00696F58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 xml:space="preserve">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 w:rsidR="00E004EE"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 w:rsidR="00E004EE"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 w:rsidR="00E004EE"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01385BB3" w14:textId="6BC9CD6D" w:rsidR="00696F58" w:rsidRPr="00234E40" w:rsidRDefault="00696F58" w:rsidP="00AF0CB5">
      <w:pPr>
        <w:spacing w:before="120"/>
        <w:rPr>
          <w:b/>
        </w:rPr>
      </w:pPr>
      <w:r>
        <w:rPr>
          <w:b/>
          <w:bCs/>
          <w:lang w:val="fr-FR"/>
        </w:rPr>
        <w:t>Quarante-quatrième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14:paraId="6A22864A" w14:textId="03FB4E7F" w:rsidR="00696F58" w:rsidRDefault="00696F58" w:rsidP="00AF0CB5">
      <w:r>
        <w:t xml:space="preserve">Genève, </w:t>
      </w:r>
      <w:r>
        <w:rPr>
          <w:lang w:val="fr-FR"/>
        </w:rPr>
        <w:t>26-30 août 2024</w:t>
      </w:r>
    </w:p>
    <w:p w14:paraId="4986C1CA" w14:textId="765A4D4B" w:rsidR="00696F58" w:rsidRDefault="00696F58" w:rsidP="00AF0CB5">
      <w:r w:rsidRPr="00B93E72">
        <w:t xml:space="preserve">Point </w:t>
      </w:r>
      <w:r>
        <w:rPr>
          <w:lang w:val="fr-FR"/>
        </w:rPr>
        <w:t>4 b)</w:t>
      </w:r>
      <w:r w:rsidRPr="00B93E72">
        <w:t xml:space="preserve"> de l</w:t>
      </w:r>
      <w:r>
        <w:t>’</w:t>
      </w:r>
      <w:r w:rsidRPr="00B93E72">
        <w:t>ordre du jour provisoire</w:t>
      </w:r>
    </w:p>
    <w:p w14:paraId="3823DC94" w14:textId="170541FD" w:rsidR="00696F58" w:rsidRPr="009112AA" w:rsidRDefault="00696F58" w:rsidP="00696F58">
      <w:pPr>
        <w:rPr>
          <w:b/>
          <w:lang w:val="fr-FR"/>
        </w:rPr>
      </w:pPr>
      <w:r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 Règlement annexé à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ADN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52D1EC56" w14:textId="77777777" w:rsidR="00696F58" w:rsidRPr="009112AA" w:rsidRDefault="00696F58" w:rsidP="00696F58">
      <w:pPr>
        <w:rPr>
          <w:b/>
          <w:lang w:val="fr-FR"/>
        </w:rPr>
      </w:pPr>
      <w:r>
        <w:rPr>
          <w:b/>
          <w:bCs/>
          <w:lang w:val="fr-FR"/>
        </w:rPr>
        <w:t>autres propositions</w:t>
      </w:r>
    </w:p>
    <w:p w14:paraId="5A647F86" w14:textId="4DC37E2B" w:rsidR="00696F58" w:rsidRPr="009112AA" w:rsidRDefault="00696F58" w:rsidP="00696F5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</w:t>
      </w:r>
      <w:r>
        <w:rPr>
          <w:lang w:val="fr-FR"/>
        </w:rPr>
        <w:t>’</w:t>
      </w:r>
      <w:r>
        <w:rPr>
          <w:lang w:val="fr-FR"/>
        </w:rPr>
        <w:t xml:space="preserve">amendements concernant la référence faite </w:t>
      </w:r>
      <w:r w:rsidR="00E004EE">
        <w:rPr>
          <w:lang w:val="fr-FR"/>
        </w:rPr>
        <w:br/>
      </w:r>
      <w:r>
        <w:rPr>
          <w:lang w:val="fr-FR"/>
        </w:rPr>
        <w:t xml:space="preserve">à la Convention internationale sur la sécurité </w:t>
      </w:r>
      <w:r w:rsidR="00E004EE">
        <w:rPr>
          <w:lang w:val="fr-FR"/>
        </w:rPr>
        <w:br/>
      </w:r>
      <w:r>
        <w:rPr>
          <w:lang w:val="fr-FR"/>
        </w:rPr>
        <w:t>des conteneurs et au Code IMDG</w:t>
      </w:r>
    </w:p>
    <w:p w14:paraId="5C7D212D" w14:textId="0CAA5EBA" w:rsidR="00696F58" w:rsidRPr="009112AA" w:rsidRDefault="00696F58" w:rsidP="00696F58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belge</w:t>
      </w:r>
      <w:r w:rsidR="00E004EE" w:rsidRPr="00E004EE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E004EE">
        <w:rPr>
          <w:b w:val="0"/>
          <w:bCs/>
          <w:sz w:val="20"/>
          <w:vertAlign w:val="superscript"/>
          <w:lang w:val="fr-FR"/>
        </w:rPr>
        <w:t>,</w:t>
      </w:r>
      <w:r w:rsidR="00E004EE" w:rsidRPr="00E004EE">
        <w:rPr>
          <w:rFonts w:eastAsia="Calibri"/>
          <w:b w:val="0"/>
          <w:bCs/>
          <w:sz w:val="20"/>
          <w:lang w:val="fr-FR"/>
        </w:rPr>
        <w:t xml:space="preserve"> </w:t>
      </w:r>
      <w:r w:rsidR="00E004EE" w:rsidRPr="00E004EE">
        <w:rPr>
          <w:rStyle w:val="Appelnotedebasdep"/>
          <w:rFonts w:eastAsia="Calibri"/>
          <w:b w:val="0"/>
          <w:bCs/>
          <w:sz w:val="20"/>
          <w:vertAlign w:val="baseline"/>
        </w:rPr>
        <w:footnoteReference w:customMarkFollows="1" w:id="3"/>
        <w:t>**</w:t>
      </w:r>
    </w:p>
    <w:p w14:paraId="476EB1F6" w14:textId="77777777" w:rsidR="00696F58" w:rsidRPr="009112AA" w:rsidRDefault="00696F58" w:rsidP="00696F5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7CADF272" w14:textId="1687E983" w:rsidR="00696F58" w:rsidRPr="009112AA" w:rsidRDefault="00696F58" w:rsidP="00696F58">
      <w:pPr>
        <w:pStyle w:val="SingleTxtG"/>
        <w:rPr>
          <w:lang w:val="fr-FR"/>
        </w:rPr>
      </w:pPr>
      <w:bookmarkStart w:id="0" w:name="_Hlk87882230"/>
      <w:r>
        <w:rPr>
          <w:lang w:val="fr-FR"/>
        </w:rPr>
        <w:t>1.</w:t>
      </w:r>
      <w:r>
        <w:rPr>
          <w:lang w:val="fr-FR"/>
        </w:rPr>
        <w:tab/>
        <w:t>Il arrive régulièrement qu</w:t>
      </w:r>
      <w:r>
        <w:rPr>
          <w:lang w:val="fr-FR"/>
        </w:rPr>
        <w:t>’</w:t>
      </w:r>
      <w:r>
        <w:rPr>
          <w:lang w:val="fr-FR"/>
        </w:rPr>
        <w:t>un conteneur endommagé, déchargé d</w:t>
      </w:r>
      <w:r>
        <w:rPr>
          <w:lang w:val="fr-FR"/>
        </w:rPr>
        <w:t>’</w:t>
      </w:r>
      <w:r>
        <w:rPr>
          <w:lang w:val="fr-FR"/>
        </w:rPr>
        <w:t>un navire de mer, se retrouve dans un terminal portuaire d</w:t>
      </w:r>
      <w:r>
        <w:rPr>
          <w:lang w:val="fr-FR"/>
        </w:rPr>
        <w:t>’</w:t>
      </w:r>
      <w:r>
        <w:rPr>
          <w:lang w:val="fr-FR"/>
        </w:rPr>
        <w:t>Anvers ou de Zeebrugge. En principe, le transport de ce conteneur vers une destination à l</w:t>
      </w:r>
      <w:r>
        <w:rPr>
          <w:lang w:val="fr-FR"/>
        </w:rPr>
        <w:t>’</w:t>
      </w:r>
      <w:r>
        <w:rPr>
          <w:lang w:val="fr-FR"/>
        </w:rPr>
        <w:t>intérieur des terres est interdit sans l</w:t>
      </w:r>
      <w:r>
        <w:rPr>
          <w:lang w:val="fr-FR"/>
        </w:rPr>
        <w:t>’</w:t>
      </w:r>
      <w:r>
        <w:rPr>
          <w:lang w:val="fr-FR"/>
        </w:rPr>
        <w:t>accord de l</w:t>
      </w:r>
      <w:r>
        <w:rPr>
          <w:lang w:val="fr-FR"/>
        </w:rPr>
        <w:t>’</w:t>
      </w:r>
      <w:r>
        <w:rPr>
          <w:lang w:val="fr-FR"/>
        </w:rPr>
        <w:t>autorité compétente. Le Règlement annexé à l</w:t>
      </w:r>
      <w:r>
        <w:rPr>
          <w:lang w:val="fr-FR"/>
        </w:rPr>
        <w:t>’</w:t>
      </w:r>
      <w:r>
        <w:rPr>
          <w:lang w:val="fr-FR"/>
        </w:rPr>
        <w:t>ADR (tout comme le RID) contient des dispositions faisant référence à la Convention internationale sur la sécurité des conteneurs (CSC), mais aucune disposition de ce type ne figure dans l</w:t>
      </w:r>
      <w:r>
        <w:rPr>
          <w:lang w:val="fr-FR"/>
        </w:rPr>
        <w:t>’</w:t>
      </w:r>
      <w:r>
        <w:rPr>
          <w:lang w:val="fr-FR"/>
        </w:rPr>
        <w:t>ADN, à l</w:t>
      </w:r>
      <w:r>
        <w:rPr>
          <w:lang w:val="fr-FR"/>
        </w:rPr>
        <w:t>’</w:t>
      </w:r>
      <w:r>
        <w:rPr>
          <w:lang w:val="fr-FR"/>
        </w:rPr>
        <w:t>exception de la définition de la CSC, au 1.2.1. Il est donc difficile de savoir sur quelle base juridique se fonder pour autoriser le transport par bateau de navigation intérieure d</w:t>
      </w:r>
      <w:r>
        <w:rPr>
          <w:lang w:val="fr-FR"/>
        </w:rPr>
        <w:t>’</w:t>
      </w:r>
      <w:r>
        <w:rPr>
          <w:lang w:val="fr-FR"/>
        </w:rPr>
        <w:t>un conteneur endommagé contenant des marchandises dangereuses. De plus, il n</w:t>
      </w:r>
      <w:r>
        <w:rPr>
          <w:lang w:val="fr-FR"/>
        </w:rPr>
        <w:t>’</w:t>
      </w:r>
      <w:r>
        <w:rPr>
          <w:lang w:val="fr-FR"/>
        </w:rPr>
        <w:t>est pas clairement indiqué dans l</w:t>
      </w:r>
      <w:r>
        <w:rPr>
          <w:lang w:val="fr-FR"/>
        </w:rPr>
        <w:t>’</w:t>
      </w:r>
      <w:r>
        <w:rPr>
          <w:lang w:val="fr-FR"/>
        </w:rPr>
        <w:t>ADN qu</w:t>
      </w:r>
      <w:r>
        <w:rPr>
          <w:lang w:val="fr-FR"/>
        </w:rPr>
        <w:t>’</w:t>
      </w:r>
      <w:r>
        <w:rPr>
          <w:lang w:val="fr-FR"/>
        </w:rPr>
        <w:t>un tel conteneur doit être conforme aux prescriptions de la CSC.</w:t>
      </w:r>
      <w:bookmarkStart w:id="1" w:name="_Hlk167369826"/>
      <w:bookmarkEnd w:id="1"/>
    </w:p>
    <w:bookmarkEnd w:id="0"/>
    <w:p w14:paraId="383AF594" w14:textId="77777777" w:rsidR="00696F58" w:rsidRPr="009112AA" w:rsidRDefault="00696F58" w:rsidP="00C14092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  <w:t>Description du problème</w:t>
      </w:r>
    </w:p>
    <w:p w14:paraId="48EBF37A" w14:textId="5F09A33B" w:rsidR="00696F58" w:rsidRPr="009112AA" w:rsidRDefault="00696F58" w:rsidP="00C14092">
      <w:pPr>
        <w:pStyle w:val="SingleTxtG"/>
        <w:keepNext/>
        <w:keepLines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Dans le Règlement annexé à l</w:t>
      </w:r>
      <w:r>
        <w:rPr>
          <w:lang w:val="fr-FR"/>
        </w:rPr>
        <w:t>’</w:t>
      </w:r>
      <w:r>
        <w:rPr>
          <w:lang w:val="fr-FR"/>
        </w:rPr>
        <w:t>ADR (et dans le RID), la section 7.1.3 dispose que les conteneurs doivent satisfaire aux prescriptions de la CSC :</w:t>
      </w:r>
    </w:p>
    <w:p w14:paraId="1EE85874" w14:textId="06F8C20F" w:rsidR="00696F58" w:rsidRPr="00B97377" w:rsidRDefault="00C14092" w:rsidP="00C14092">
      <w:pPr>
        <w:pStyle w:val="SingleTxtG"/>
        <w:keepNext/>
        <w:keepLines/>
        <w:ind w:left="1701"/>
        <w:rPr>
          <w:lang w:val="fr-FR"/>
        </w:rPr>
      </w:pPr>
      <w:bookmarkStart w:id="2" w:name="_Hlk167354770"/>
      <w:r>
        <w:rPr>
          <w:lang w:val="fr-FR"/>
        </w:rPr>
        <w:t>« </w:t>
      </w:r>
      <w:r w:rsidR="00696F58">
        <w:rPr>
          <w:lang w:val="fr-FR"/>
        </w:rPr>
        <w:t xml:space="preserve">Les grands conteneurs, les citernes mobiles, les CGEM et les conteneurs-citernes qui répondent à la définition du </w:t>
      </w:r>
      <w:r>
        <w:rPr>
          <w:lang w:val="fr-FR"/>
        </w:rPr>
        <w:t>“</w:t>
      </w:r>
      <w:r w:rsidR="00696F58">
        <w:rPr>
          <w:lang w:val="fr-FR"/>
        </w:rPr>
        <w:t>conteneur</w:t>
      </w:r>
      <w:r>
        <w:rPr>
          <w:lang w:val="fr-FR"/>
        </w:rPr>
        <w:t>”</w:t>
      </w:r>
      <w:r w:rsidR="00696F58">
        <w:rPr>
          <w:lang w:val="fr-FR"/>
        </w:rPr>
        <w:t xml:space="preserve"> donnée dans la CSC (1972), telle que modifiée ou dans les IRS 50591 (Caisses amovibles pour transbordement horizontal </w:t>
      </w:r>
      <w:r>
        <w:rPr>
          <w:lang w:val="fr-FR"/>
        </w:rPr>
        <w:t>− </w:t>
      </w:r>
      <w:r w:rsidR="00696F58">
        <w:rPr>
          <w:lang w:val="fr-FR"/>
        </w:rPr>
        <w:t>Conditions techniques à remplir pour l</w:t>
      </w:r>
      <w:r w:rsidR="00696F58">
        <w:rPr>
          <w:lang w:val="fr-FR"/>
        </w:rPr>
        <w:t>’</w:t>
      </w:r>
      <w:r w:rsidR="00696F58">
        <w:rPr>
          <w:lang w:val="fr-FR"/>
        </w:rPr>
        <w:t>utilisation en trafic international) et 50592 (Unités de Transport Intermodal à transbordement vertical, autres que semi</w:t>
      </w:r>
      <w:r>
        <w:rPr>
          <w:lang w:val="fr-FR"/>
        </w:rPr>
        <w:noBreakHyphen/>
      </w:r>
      <w:r w:rsidR="00696F58">
        <w:rPr>
          <w:lang w:val="fr-FR"/>
        </w:rPr>
        <w:t xml:space="preserve">remorques, aptes au transport sur wagons </w:t>
      </w:r>
      <w:r w:rsidR="00B97377">
        <w:rPr>
          <w:lang w:val="fr-FR"/>
        </w:rPr>
        <w:t>−</w:t>
      </w:r>
      <w:r w:rsidR="00696F58">
        <w:rPr>
          <w:lang w:val="fr-FR"/>
        </w:rPr>
        <w:t xml:space="preserve"> Exigences minimales) publiés par l</w:t>
      </w:r>
      <w:r w:rsidR="00696F58">
        <w:rPr>
          <w:lang w:val="fr-FR"/>
        </w:rPr>
        <w:t>’</w:t>
      </w:r>
      <w:r w:rsidR="00696F58">
        <w:rPr>
          <w:lang w:val="fr-FR"/>
        </w:rPr>
        <w:t>UIC ne peuvent être utilisés pour le transport des marchandises dangereuses que si le grand conteneur ou le cadre de la citerne mobile, du CGEM ou du conteneur-citerne répond aux dispositions de la CSC ou des IRS 50591 et 50592 de l</w:t>
      </w:r>
      <w:r w:rsidR="00696F58">
        <w:rPr>
          <w:lang w:val="fr-FR"/>
        </w:rPr>
        <w:t>’</w:t>
      </w:r>
      <w:r w:rsidR="00696F58">
        <w:rPr>
          <w:lang w:val="fr-FR"/>
        </w:rPr>
        <w:t>UIC.</w:t>
      </w:r>
      <w:r>
        <w:rPr>
          <w:lang w:val="fr-FR"/>
        </w:rPr>
        <w:t> ».</w:t>
      </w:r>
      <w:bookmarkEnd w:id="2"/>
    </w:p>
    <w:p w14:paraId="52961868" w14:textId="1E0D9FF8" w:rsidR="00696F58" w:rsidRPr="009112AA" w:rsidRDefault="00696F58" w:rsidP="00696F58">
      <w:pPr>
        <w:pStyle w:val="SingleTxtG"/>
        <w:rPr>
          <w:lang w:val="fr-FR"/>
        </w:rPr>
      </w:pPr>
      <w:r>
        <w:rPr>
          <w:lang w:val="fr-FR"/>
        </w:rPr>
        <w:t>Des dispositions similaires existent dans les chapitres 6.7, 6.9 et 6.11 de l</w:t>
      </w:r>
      <w:r>
        <w:rPr>
          <w:lang w:val="fr-FR"/>
        </w:rPr>
        <w:t>’</w:t>
      </w:r>
      <w:r>
        <w:rPr>
          <w:lang w:val="fr-FR"/>
        </w:rPr>
        <w:t>ADR et il est clairement fait référence à chacun de ces chapitres dans le chapitre 6.1 du Règlement annexé à l</w:t>
      </w:r>
      <w:r>
        <w:rPr>
          <w:lang w:val="fr-FR"/>
        </w:rPr>
        <w:t>’</w:t>
      </w:r>
      <w:r>
        <w:rPr>
          <w:lang w:val="fr-FR"/>
        </w:rPr>
        <w:t>ADN, mais seulement en ce qui concerne la construction et les épreuves et pas en ce qui concerne les conditions d</w:t>
      </w:r>
      <w:r>
        <w:rPr>
          <w:lang w:val="fr-FR"/>
        </w:rPr>
        <w:t>’</w:t>
      </w:r>
      <w:r>
        <w:rPr>
          <w:lang w:val="fr-FR"/>
        </w:rPr>
        <w:t>utilisation (partie 7).</w:t>
      </w:r>
    </w:p>
    <w:p w14:paraId="63332572" w14:textId="0F6FA478" w:rsidR="00696F58" w:rsidRPr="002F092F" w:rsidRDefault="00696F58" w:rsidP="00696F58">
      <w:pPr>
        <w:pStyle w:val="SingleTxtG"/>
        <w:rPr>
          <w:lang w:val="fr-FR"/>
        </w:rPr>
      </w:pPr>
      <w:r w:rsidRPr="002F092F">
        <w:rPr>
          <w:lang w:val="fr-FR"/>
        </w:rPr>
        <w:t>3.</w:t>
      </w:r>
      <w:r w:rsidRPr="002F092F">
        <w:rPr>
          <w:lang w:val="fr-FR"/>
        </w:rPr>
        <w:tab/>
        <w:t>Le Code maritime international des marchandises dangereuses (Code IMDG) (Amendement 41-22) fait également clairement référence à la CSC dans sa sous</w:t>
      </w:r>
      <w:r w:rsidR="002F092F">
        <w:rPr>
          <w:lang w:val="fr-FR"/>
        </w:rPr>
        <w:noBreakHyphen/>
      </w:r>
      <w:r w:rsidRPr="002F092F">
        <w:rPr>
          <w:lang w:val="fr-FR"/>
        </w:rPr>
        <w:t>section</w:t>
      </w:r>
      <w:r w:rsidR="002F092F">
        <w:rPr>
          <w:lang w:val="fr-FR"/>
        </w:rPr>
        <w:t> </w:t>
      </w:r>
      <w:r w:rsidRPr="002F092F">
        <w:rPr>
          <w:lang w:val="fr-FR"/>
        </w:rPr>
        <w:t>7.3.2.2 :</w:t>
      </w:r>
    </w:p>
    <w:p w14:paraId="3C30742F" w14:textId="5982779C" w:rsidR="00696F58" w:rsidRPr="009112AA" w:rsidRDefault="00280211" w:rsidP="00696F58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 w:rsidR="00696F58">
        <w:rPr>
          <w:lang w:val="fr-FR"/>
        </w:rPr>
        <w:t>Sauf indication contraire, les dispositions applicables énoncées dans la Convention internationale de 1972 sur la sécurité des conteneurs (Convention CSC), telle que modifiée, doivent être respectées lors de l</w:t>
      </w:r>
      <w:r w:rsidR="00696F58">
        <w:rPr>
          <w:lang w:val="fr-FR"/>
        </w:rPr>
        <w:t>’</w:t>
      </w:r>
      <w:r w:rsidR="00696F58">
        <w:rPr>
          <w:lang w:val="fr-FR"/>
        </w:rPr>
        <w:t xml:space="preserve">utilisation de tout engin de transport répondant à la définition de </w:t>
      </w:r>
      <w:r>
        <w:rPr>
          <w:lang w:val="fr-FR"/>
        </w:rPr>
        <w:t>“</w:t>
      </w:r>
      <w:r w:rsidR="00696F58">
        <w:rPr>
          <w:lang w:val="fr-FR"/>
        </w:rPr>
        <w:t>conteneur</w:t>
      </w:r>
      <w:r>
        <w:rPr>
          <w:lang w:val="fr-FR"/>
        </w:rPr>
        <w:t>”</w:t>
      </w:r>
      <w:r w:rsidR="00696F58">
        <w:rPr>
          <w:lang w:val="fr-FR"/>
        </w:rPr>
        <w:t xml:space="preserve"> aux termes de cette convention.</w:t>
      </w:r>
      <w:r>
        <w:rPr>
          <w:lang w:val="fr-FR"/>
        </w:rPr>
        <w:t> ».</w:t>
      </w:r>
    </w:p>
    <w:p w14:paraId="29E60CE3" w14:textId="77777777" w:rsidR="00696F58" w:rsidRPr="009112AA" w:rsidRDefault="00696F58" w:rsidP="00696F58">
      <w:pPr>
        <w:pStyle w:val="SingleTxtG"/>
        <w:rPr>
          <w:lang w:val="fr-FR"/>
        </w:rPr>
      </w:pPr>
      <w:r>
        <w:rPr>
          <w:lang w:val="fr-FR"/>
        </w:rPr>
        <w:t>Une possibilité de dérogation à la CSC est même prévue au 7.3.2.3 :</w:t>
      </w:r>
    </w:p>
    <w:p w14:paraId="798923D2" w14:textId="54CD01B6" w:rsidR="00696F58" w:rsidRPr="009112AA" w:rsidRDefault="00696F58" w:rsidP="00696F58">
      <w:pPr>
        <w:pStyle w:val="SingleTxtG"/>
        <w:ind w:left="1701"/>
        <w:rPr>
          <w:lang w:val="fr-FR"/>
        </w:rPr>
      </w:pPr>
      <w:r>
        <w:rPr>
          <w:lang w:val="fr-FR"/>
        </w:rPr>
        <w:t>« La Convention internationale de 1972 sur la sécurité des conteneurs (Convention CSC) ne s</w:t>
      </w:r>
      <w:r>
        <w:rPr>
          <w:lang w:val="fr-FR"/>
        </w:rPr>
        <w:t>’</w:t>
      </w:r>
      <w:r>
        <w:rPr>
          <w:lang w:val="fr-FR"/>
        </w:rPr>
        <w:t>applique pas aux conteneurs offshore qui sont manutentionnés en haute mer. La conception et la mise à l</w:t>
      </w:r>
      <w:r>
        <w:rPr>
          <w:lang w:val="fr-FR"/>
        </w:rPr>
        <w:t>’</w:t>
      </w:r>
      <w:r>
        <w:rPr>
          <w:lang w:val="fr-FR"/>
        </w:rPr>
        <w:t>épreuve des conteneurs offshore doivent tenir compte des forces dynamiques de levage et d</w:t>
      </w:r>
      <w:r>
        <w:rPr>
          <w:lang w:val="fr-FR"/>
        </w:rPr>
        <w:t>’</w:t>
      </w:r>
      <w:r>
        <w:rPr>
          <w:lang w:val="fr-FR"/>
        </w:rPr>
        <w:t>impact susceptibles de s</w:t>
      </w:r>
      <w:r>
        <w:rPr>
          <w:lang w:val="fr-FR"/>
        </w:rPr>
        <w:t>’</w:t>
      </w:r>
      <w:r>
        <w:rPr>
          <w:lang w:val="fr-FR"/>
        </w:rPr>
        <w:t>exercer lorsqu</w:t>
      </w:r>
      <w:r>
        <w:rPr>
          <w:lang w:val="fr-FR"/>
        </w:rPr>
        <w:t>’</w:t>
      </w:r>
      <w:r>
        <w:rPr>
          <w:lang w:val="fr-FR"/>
        </w:rPr>
        <w:t>un conteneur est manutentionné en haute mer dans des conditions météorologiques et des états de mer défavorables. Les dispositions applicables à ces conteneurs devraient être définies par l</w:t>
      </w:r>
      <w:r>
        <w:rPr>
          <w:lang w:val="fr-FR"/>
        </w:rPr>
        <w:t>’</w:t>
      </w:r>
      <w:r>
        <w:rPr>
          <w:lang w:val="fr-FR"/>
        </w:rPr>
        <w:t>autorité compétente qui accorde l</w:t>
      </w:r>
      <w:r>
        <w:rPr>
          <w:lang w:val="fr-FR"/>
        </w:rPr>
        <w:t>’</w:t>
      </w:r>
      <w:r>
        <w:rPr>
          <w:lang w:val="fr-FR"/>
        </w:rPr>
        <w:t xml:space="preserve">agrément. Ces dispositions devraient être fondées sur les </w:t>
      </w:r>
      <w:r w:rsidR="00280211">
        <w:rPr>
          <w:lang w:val="fr-FR"/>
        </w:rPr>
        <w:t>“</w:t>
      </w:r>
      <w:r>
        <w:rPr>
          <w:lang w:val="fr-FR"/>
        </w:rPr>
        <w:t>Directives pour l</w:t>
      </w:r>
      <w:r>
        <w:rPr>
          <w:lang w:val="fr-FR"/>
        </w:rPr>
        <w:t>’</w:t>
      </w:r>
      <w:r>
        <w:rPr>
          <w:lang w:val="fr-FR"/>
        </w:rPr>
        <w:t>agrément des conteneurs offshore manutentionnés au large</w:t>
      </w:r>
      <w:r w:rsidR="00280211">
        <w:rPr>
          <w:lang w:val="fr-FR"/>
        </w:rPr>
        <w:t>”</w:t>
      </w:r>
      <w:r>
        <w:rPr>
          <w:lang w:val="fr-FR"/>
        </w:rPr>
        <w:t xml:space="preserve">, qui figurent dans la circulaire MSC/Circ.860. La mention </w:t>
      </w:r>
      <w:r w:rsidR="00280211">
        <w:rPr>
          <w:lang w:val="fr-FR"/>
        </w:rPr>
        <w:t>“</w:t>
      </w:r>
      <w:r>
        <w:rPr>
          <w:lang w:val="fr-FR"/>
        </w:rPr>
        <w:t>CONTENEUR OFFSHORE</w:t>
      </w:r>
      <w:r w:rsidR="00280211">
        <w:rPr>
          <w:lang w:val="fr-FR"/>
        </w:rPr>
        <w:t>”</w:t>
      </w:r>
      <w:r>
        <w:rPr>
          <w:lang w:val="fr-FR"/>
        </w:rPr>
        <w:t xml:space="preserve"> devrait être inscrite de manière visible sur la plaque d</w:t>
      </w:r>
      <w:r>
        <w:rPr>
          <w:lang w:val="fr-FR"/>
        </w:rPr>
        <w:t>’</w:t>
      </w:r>
      <w:r>
        <w:rPr>
          <w:lang w:val="fr-FR"/>
        </w:rPr>
        <w:t>agrément aux fins de la sécurité. »</w:t>
      </w:r>
      <w:r w:rsidR="00280211">
        <w:rPr>
          <w:lang w:val="fr-FR"/>
        </w:rPr>
        <w:t>.</w:t>
      </w:r>
    </w:p>
    <w:p w14:paraId="1D303ACF" w14:textId="182DB0F0" w:rsidR="00696F58" w:rsidRPr="009112AA" w:rsidRDefault="00696F58" w:rsidP="00696F58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Dans le chapitre 7.1 du Règlement annexé à l</w:t>
      </w:r>
      <w:r>
        <w:rPr>
          <w:lang w:val="fr-FR"/>
        </w:rPr>
        <w:t>’</w:t>
      </w:r>
      <w:r>
        <w:rPr>
          <w:lang w:val="fr-FR"/>
        </w:rPr>
        <w:t>ADN, il n</w:t>
      </w:r>
      <w:r>
        <w:rPr>
          <w:lang w:val="fr-FR"/>
        </w:rPr>
        <w:t>’</w:t>
      </w:r>
      <w:r>
        <w:rPr>
          <w:lang w:val="fr-FR"/>
        </w:rPr>
        <w:t>est pas fait référence à la CSC, et même la partie 4 ne fait pas clairement référence à la section 7.1.3 de l</w:t>
      </w:r>
      <w:r>
        <w:rPr>
          <w:lang w:val="fr-FR"/>
        </w:rPr>
        <w:t>’</w:t>
      </w:r>
      <w:r>
        <w:rPr>
          <w:lang w:val="fr-FR"/>
        </w:rPr>
        <w:t>ADR (ou du RID). En l</w:t>
      </w:r>
      <w:r>
        <w:rPr>
          <w:lang w:val="fr-FR"/>
        </w:rPr>
        <w:t>’</w:t>
      </w:r>
      <w:r>
        <w:rPr>
          <w:lang w:val="fr-FR"/>
        </w:rPr>
        <w:t>absence de disposition appropriée dans le Règlement annexé à l</w:t>
      </w:r>
      <w:r>
        <w:rPr>
          <w:lang w:val="fr-FR"/>
        </w:rPr>
        <w:t>’</w:t>
      </w:r>
      <w:r>
        <w:rPr>
          <w:lang w:val="fr-FR"/>
        </w:rPr>
        <w:t>ADN, l</w:t>
      </w:r>
      <w:r>
        <w:rPr>
          <w:lang w:val="fr-FR"/>
        </w:rPr>
        <w:t>’</w:t>
      </w:r>
      <w:r>
        <w:rPr>
          <w:lang w:val="fr-FR"/>
        </w:rPr>
        <w:t>autorité compétente ne peut pas accorder de dérogation.</w:t>
      </w:r>
    </w:p>
    <w:p w14:paraId="5E4CD311" w14:textId="7C50DDEA" w:rsidR="00696F58" w:rsidRPr="009112AA" w:rsidRDefault="00696F58" w:rsidP="00696F58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La délégation belge a également relevé qu</w:t>
      </w:r>
      <w:r>
        <w:rPr>
          <w:lang w:val="fr-FR"/>
        </w:rPr>
        <w:t>’</w:t>
      </w:r>
      <w:r>
        <w:rPr>
          <w:lang w:val="fr-FR"/>
        </w:rPr>
        <w:t>au 4.1.4, il était fait référence à l</w:t>
      </w:r>
      <w:r>
        <w:rPr>
          <w:lang w:val="fr-FR"/>
        </w:rPr>
        <w:t>’</w:t>
      </w:r>
      <w:r>
        <w:rPr>
          <w:lang w:val="fr-FR"/>
        </w:rPr>
        <w:t>ADR et au RID mais pas à la partie 6 du Code IMDG :</w:t>
      </w:r>
    </w:p>
    <w:p w14:paraId="444A1209" w14:textId="47228032" w:rsidR="00696F58" w:rsidRPr="009112AA" w:rsidRDefault="00280211" w:rsidP="00696F58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 w:rsidR="00696F58">
        <w:rPr>
          <w:lang w:val="fr-FR"/>
        </w:rPr>
        <w:t>Seuls peuvent être utilisés des emballages et citernes qui répondent aux prescriptions de la partie 6 de l</w:t>
      </w:r>
      <w:r w:rsidR="00696F58">
        <w:rPr>
          <w:lang w:val="fr-FR"/>
        </w:rPr>
        <w:t>’</w:t>
      </w:r>
      <w:r w:rsidR="00696F58">
        <w:rPr>
          <w:lang w:val="fr-FR"/>
        </w:rPr>
        <w:t>ADR ou du RID.</w:t>
      </w:r>
      <w:r>
        <w:rPr>
          <w:lang w:val="fr-FR"/>
        </w:rPr>
        <w:t> ».</w:t>
      </w:r>
    </w:p>
    <w:p w14:paraId="68A2BB75" w14:textId="3EED64D8" w:rsidR="00696F58" w:rsidRPr="009112AA" w:rsidRDefault="00696F58" w:rsidP="00696F58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Pr="006B72AF">
        <w:rPr>
          <w:lang w:val="fr-FR"/>
        </w:rPr>
        <w:t>Le 6.1.2 de l</w:t>
      </w:r>
      <w:r w:rsidRPr="006B72AF">
        <w:rPr>
          <w:lang w:val="fr-FR"/>
        </w:rPr>
        <w:t>’</w:t>
      </w:r>
      <w:r w:rsidRPr="006B72AF">
        <w:rPr>
          <w:lang w:val="fr-FR"/>
        </w:rPr>
        <w:t>ADN renvoie</w:t>
      </w:r>
      <w:r>
        <w:rPr>
          <w:lang w:val="fr-FR"/>
        </w:rPr>
        <w:t xml:space="preserve"> au chapitre 6.7 du Code IMDG ou, le cas échéant, au chapitre 6.9. Or, le chapitre 6.9 a trait aux conteneurs pour vrac (BK1/BK2/BK3) et ne concerne en rien les citernes mobiles. La délégation belge a également relevé qu</w:t>
      </w:r>
      <w:r>
        <w:rPr>
          <w:lang w:val="fr-FR"/>
        </w:rPr>
        <w:t>’</w:t>
      </w:r>
      <w:r>
        <w:rPr>
          <w:lang w:val="fr-FR"/>
        </w:rPr>
        <w:t>il n</w:t>
      </w:r>
      <w:r>
        <w:rPr>
          <w:lang w:val="fr-FR"/>
        </w:rPr>
        <w:t>’</w:t>
      </w:r>
      <w:r>
        <w:rPr>
          <w:lang w:val="fr-FR"/>
        </w:rPr>
        <w:t>était pas fait référence aux prescriptions relatives à la conception et à la construction des citernes mobiles dont les réservoirs sont en matière plastique renforcée de fibres (</w:t>
      </w:r>
      <w:r w:rsidR="006B72AF">
        <w:rPr>
          <w:lang w:val="fr-FR"/>
        </w:rPr>
        <w:t>PRF</w:t>
      </w:r>
      <w:r>
        <w:rPr>
          <w:lang w:val="fr-FR"/>
        </w:rPr>
        <w:t>) et aux contrôles et épreuves qu</w:t>
      </w:r>
      <w:r>
        <w:rPr>
          <w:lang w:val="fr-FR"/>
        </w:rPr>
        <w:t>’</w:t>
      </w:r>
      <w:r>
        <w:rPr>
          <w:lang w:val="fr-FR"/>
        </w:rPr>
        <w:t>elles doivent subir énoncées au chapitre 6.10 du Code IMDG.</w:t>
      </w:r>
    </w:p>
    <w:p w14:paraId="45FE6FB0" w14:textId="447CFD6A" w:rsidR="00696F58" w:rsidRPr="009112AA" w:rsidRDefault="00280211" w:rsidP="00696F58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 w:rsidR="00696F58">
        <w:rPr>
          <w:lang w:val="fr-FR"/>
        </w:rPr>
        <w:t>Les citernes mobiles peuvent également répondre aux prescriptions du chapitre</w:t>
      </w:r>
      <w:r>
        <w:rPr>
          <w:lang w:val="fr-FR"/>
        </w:rPr>
        <w:t> </w:t>
      </w:r>
      <w:r w:rsidR="00696F58">
        <w:rPr>
          <w:lang w:val="fr-FR"/>
        </w:rPr>
        <w:t>6.7 ou, le cas échéant, du chapitre</w:t>
      </w:r>
      <w:r>
        <w:rPr>
          <w:lang w:val="fr-FR"/>
        </w:rPr>
        <w:t> </w:t>
      </w:r>
      <w:r w:rsidR="00696F58">
        <w:rPr>
          <w:lang w:val="fr-FR"/>
        </w:rPr>
        <w:t>6.9 du Code IMDG.</w:t>
      </w:r>
      <w:r>
        <w:rPr>
          <w:lang w:val="fr-FR"/>
        </w:rPr>
        <w:t> »</w:t>
      </w:r>
    </w:p>
    <w:p w14:paraId="4D0F9A43" w14:textId="6972E419" w:rsidR="00696F58" w:rsidRPr="009112AA" w:rsidRDefault="00696F58" w:rsidP="00696F58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  <w:t>Proposition d</w:t>
      </w:r>
      <w:r>
        <w:rPr>
          <w:lang w:val="fr-FR"/>
        </w:rPr>
        <w:t>’</w:t>
      </w:r>
      <w:r>
        <w:rPr>
          <w:lang w:val="fr-FR"/>
        </w:rPr>
        <w:t>amendement</w:t>
      </w:r>
    </w:p>
    <w:p w14:paraId="6A9DE8AF" w14:textId="0AA2BEE2" w:rsidR="00696F58" w:rsidRPr="009112AA" w:rsidRDefault="00696F58" w:rsidP="00696F58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La délégation belge propose d</w:t>
      </w:r>
      <w:r>
        <w:rPr>
          <w:lang w:val="fr-FR"/>
        </w:rPr>
        <w:t>’</w:t>
      </w:r>
      <w:r>
        <w:rPr>
          <w:lang w:val="fr-FR"/>
        </w:rPr>
        <w:t>ajouter une sous-section 7.1.3.2 et de modifier les sous</w:t>
      </w:r>
      <w:r w:rsidR="00280211">
        <w:rPr>
          <w:lang w:val="fr-FR"/>
        </w:rPr>
        <w:noBreakHyphen/>
      </w:r>
      <w:r>
        <w:rPr>
          <w:lang w:val="fr-FR"/>
        </w:rPr>
        <w:t>sections réservées comme suit (les modifications figurent en caractères gras pour les ajouts et biffés pour les suppressions) :</w:t>
      </w:r>
    </w:p>
    <w:p w14:paraId="46F47470" w14:textId="77777777" w:rsidR="00696F58" w:rsidRPr="00696F58" w:rsidRDefault="00696F58" w:rsidP="00696F58">
      <w:pPr>
        <w:pStyle w:val="SingleTxtG"/>
        <w:rPr>
          <w:strike/>
          <w:lang w:val="fr-FR"/>
        </w:rPr>
      </w:pPr>
      <w:r w:rsidRPr="00696F58">
        <w:rPr>
          <w:strike/>
          <w:lang w:val="fr-FR"/>
        </w:rPr>
        <w:t>7.1.3.2 à 7.1.3.14</w:t>
      </w:r>
      <w:r w:rsidRPr="00696F58">
        <w:rPr>
          <w:strike/>
          <w:lang w:val="fr-FR"/>
        </w:rPr>
        <w:tab/>
        <w:t>(Réservés)</w:t>
      </w:r>
    </w:p>
    <w:p w14:paraId="2B23D7FD" w14:textId="750258BD" w:rsidR="00696F58" w:rsidRPr="009112AA" w:rsidRDefault="00696F58" w:rsidP="00696F58">
      <w:pPr>
        <w:pStyle w:val="SingleTxtG"/>
        <w:ind w:left="2268" w:hanging="1134"/>
        <w:rPr>
          <w:lang w:val="fr-FR"/>
        </w:rPr>
      </w:pPr>
      <w:r w:rsidRPr="00696F58">
        <w:rPr>
          <w:b/>
          <w:bCs/>
          <w:lang w:val="fr-FR"/>
        </w:rPr>
        <w:t>7.1.3.2</w:t>
      </w:r>
      <w:r w:rsidRPr="00696F58">
        <w:rPr>
          <w:b/>
          <w:bCs/>
          <w:lang w:val="fr-FR"/>
        </w:rPr>
        <w:tab/>
        <w:t>Les grands conteneurs, les citernes mobiles, les CGEM et les conteneurs</w:t>
      </w:r>
      <w:r w:rsidR="00280211">
        <w:rPr>
          <w:b/>
          <w:bCs/>
          <w:lang w:val="fr-FR"/>
        </w:rPr>
        <w:noBreakHyphen/>
      </w:r>
      <w:r w:rsidRPr="00696F58">
        <w:rPr>
          <w:b/>
          <w:bCs/>
          <w:lang w:val="fr-FR"/>
        </w:rPr>
        <w:t>citernes qui répondent à la définition du «</w:t>
      </w:r>
      <w:r w:rsidR="00280211">
        <w:rPr>
          <w:b/>
          <w:bCs/>
          <w:lang w:val="fr-FR"/>
        </w:rPr>
        <w:t> </w:t>
      </w:r>
      <w:r w:rsidRPr="00696F58">
        <w:rPr>
          <w:b/>
          <w:bCs/>
          <w:lang w:val="fr-FR"/>
        </w:rPr>
        <w:t>conteneur</w:t>
      </w:r>
      <w:r w:rsidR="00280211">
        <w:rPr>
          <w:b/>
          <w:bCs/>
          <w:lang w:val="fr-FR"/>
        </w:rPr>
        <w:t> </w:t>
      </w:r>
      <w:r w:rsidRPr="00696F58">
        <w:rPr>
          <w:b/>
          <w:bCs/>
          <w:lang w:val="fr-FR"/>
        </w:rPr>
        <w:t xml:space="preserve">» donnée dans la CSC (1972), telle que modifiée ou dans les IRS 50591 (Caisses amovibles pour transbordement horizontal </w:t>
      </w:r>
      <w:r w:rsidR="00280211">
        <w:rPr>
          <w:b/>
          <w:bCs/>
          <w:lang w:val="fr-FR"/>
        </w:rPr>
        <w:t>−</w:t>
      </w:r>
      <w:r w:rsidRPr="00696F58">
        <w:rPr>
          <w:b/>
          <w:bCs/>
          <w:lang w:val="fr-FR"/>
        </w:rPr>
        <w:t xml:space="preserve"> Conditions techniques à remplir pour l</w:t>
      </w:r>
      <w:r>
        <w:rPr>
          <w:b/>
          <w:bCs/>
          <w:lang w:val="fr-FR"/>
        </w:rPr>
        <w:t>’</w:t>
      </w:r>
      <w:r w:rsidRPr="00696F58">
        <w:rPr>
          <w:b/>
          <w:bCs/>
          <w:lang w:val="fr-FR"/>
        </w:rPr>
        <w:t>utilisation en trafic international)</w:t>
      </w:r>
      <w:r w:rsidRPr="00280211">
        <w:rPr>
          <w:b/>
          <w:bCs/>
          <w:sz w:val="18"/>
          <w:szCs w:val="18"/>
          <w:vertAlign w:val="superscript"/>
          <w:lang w:val="fr-FR"/>
        </w:rPr>
        <w:t>1</w:t>
      </w:r>
      <w:r w:rsidRPr="00696F58">
        <w:rPr>
          <w:b/>
          <w:bCs/>
          <w:lang w:val="fr-FR"/>
        </w:rPr>
        <w:t xml:space="preserve"> et 50592 (Unités de Transport Intermodal à transbordement vertical, autres que semi</w:t>
      </w:r>
      <w:r w:rsidR="00280211">
        <w:rPr>
          <w:b/>
          <w:bCs/>
          <w:lang w:val="fr-FR"/>
        </w:rPr>
        <w:noBreakHyphen/>
      </w:r>
      <w:r w:rsidRPr="00696F58">
        <w:rPr>
          <w:b/>
          <w:bCs/>
          <w:lang w:val="fr-FR"/>
        </w:rPr>
        <w:t xml:space="preserve">remorques, aptes au transport sur wagons </w:t>
      </w:r>
      <w:r w:rsidR="00280211">
        <w:rPr>
          <w:b/>
          <w:bCs/>
          <w:lang w:val="fr-FR"/>
        </w:rPr>
        <w:t>−</w:t>
      </w:r>
      <w:r w:rsidRPr="00696F58">
        <w:rPr>
          <w:b/>
          <w:bCs/>
          <w:lang w:val="fr-FR"/>
        </w:rPr>
        <w:t xml:space="preserve"> Exigences minimales)</w:t>
      </w:r>
      <w:r w:rsidRPr="00280211">
        <w:rPr>
          <w:b/>
          <w:bCs/>
          <w:sz w:val="18"/>
          <w:szCs w:val="18"/>
          <w:vertAlign w:val="superscript"/>
          <w:lang w:val="fr-FR"/>
        </w:rPr>
        <w:t>2</w:t>
      </w:r>
      <w:r w:rsidRPr="00696F58">
        <w:rPr>
          <w:b/>
          <w:bCs/>
          <w:lang w:val="fr-FR"/>
        </w:rPr>
        <w:t xml:space="preserve"> publiés par l</w:t>
      </w:r>
      <w:r>
        <w:rPr>
          <w:b/>
          <w:bCs/>
          <w:lang w:val="fr-FR"/>
        </w:rPr>
        <w:t>’</w:t>
      </w:r>
      <w:r w:rsidRPr="00696F58">
        <w:rPr>
          <w:b/>
          <w:bCs/>
          <w:lang w:val="fr-FR"/>
        </w:rPr>
        <w:t>UIC ne peuvent être utilisés pour le transport des marchandises dangereuses que si le grand conteneur ou le cadre de la citerne mobile, du CGEM ou du conteneur-citerne répond aux dispositions de la CSC ou des IRS 50591 et 50592 de l</w:t>
      </w:r>
      <w:r>
        <w:rPr>
          <w:b/>
          <w:bCs/>
          <w:lang w:val="fr-FR"/>
        </w:rPr>
        <w:t>’</w:t>
      </w:r>
      <w:r w:rsidRPr="00696F58">
        <w:rPr>
          <w:b/>
          <w:bCs/>
          <w:lang w:val="fr-FR"/>
        </w:rPr>
        <w:t>UIC.</w:t>
      </w:r>
    </w:p>
    <w:p w14:paraId="1921BC96" w14:textId="77777777" w:rsidR="00696F58" w:rsidRPr="009112AA" w:rsidRDefault="00696F58" w:rsidP="00696F58">
      <w:pPr>
        <w:pStyle w:val="SingleTxtG"/>
        <w:rPr>
          <w:b/>
          <w:bCs/>
          <w:lang w:val="fr-FR"/>
        </w:rPr>
      </w:pPr>
      <w:r>
        <w:rPr>
          <w:b/>
          <w:bCs/>
          <w:lang w:val="fr-FR"/>
        </w:rPr>
        <w:t>7.1.3.3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à 7.1.3.14</w:t>
      </w:r>
      <w:r>
        <w:rPr>
          <w:lang w:val="fr-FR"/>
        </w:rPr>
        <w:tab/>
      </w:r>
      <w:r>
        <w:rPr>
          <w:b/>
          <w:bCs/>
          <w:lang w:val="fr-FR"/>
        </w:rPr>
        <w:t>(Réservés)</w:t>
      </w:r>
    </w:p>
    <w:p w14:paraId="3E4C7865" w14:textId="77777777" w:rsidR="00696F58" w:rsidRPr="009112AA" w:rsidRDefault="00696F58" w:rsidP="00696F58">
      <w:pPr>
        <w:pStyle w:val="SingleTxtG"/>
        <w:rPr>
          <w:lang w:val="fr-FR"/>
        </w:rPr>
      </w:pPr>
      <w:r>
        <w:rPr>
          <w:lang w:val="fr-FR"/>
        </w:rPr>
        <w:t>et ajouter les notes de bas de page 1 et 2, libellées comme suit :</w:t>
      </w:r>
    </w:p>
    <w:p w14:paraId="16B3937C" w14:textId="128D71CB" w:rsidR="00696F58" w:rsidRPr="009112AA" w:rsidRDefault="00696F58" w:rsidP="00696F58">
      <w:pPr>
        <w:pStyle w:val="SingleTxtG"/>
        <w:ind w:left="1701" w:hanging="567"/>
        <w:rPr>
          <w:b/>
          <w:bCs/>
          <w:lang w:val="fr-FR"/>
        </w:rPr>
      </w:pPr>
      <w:r w:rsidRPr="00280211">
        <w:rPr>
          <w:b/>
          <w:bCs/>
          <w:sz w:val="18"/>
          <w:szCs w:val="18"/>
          <w:vertAlign w:val="superscript"/>
          <w:lang w:val="fr-FR"/>
        </w:rPr>
        <w:t>1</w:t>
      </w:r>
      <w:r>
        <w:rPr>
          <w:lang w:val="fr-FR"/>
        </w:rPr>
        <w:tab/>
      </w:r>
      <w:r w:rsidRPr="00280211">
        <w:rPr>
          <w:b/>
          <w:bCs/>
          <w:sz w:val="18"/>
          <w:szCs w:val="18"/>
          <w:lang w:val="fr-FR"/>
        </w:rPr>
        <w:t>Première édition de l</w:t>
      </w:r>
      <w:r w:rsidRPr="00280211">
        <w:rPr>
          <w:b/>
          <w:bCs/>
          <w:sz w:val="18"/>
          <w:szCs w:val="18"/>
          <w:lang w:val="fr-FR"/>
        </w:rPr>
        <w:t>’</w:t>
      </w:r>
      <w:r w:rsidRPr="00280211">
        <w:rPr>
          <w:b/>
          <w:bCs/>
          <w:sz w:val="18"/>
          <w:szCs w:val="18"/>
          <w:lang w:val="fr-FR"/>
        </w:rPr>
        <w:t>IRS (International Railway Solution) applicable à partir du 1</w:t>
      </w:r>
      <w:r w:rsidRPr="00280211">
        <w:rPr>
          <w:b/>
          <w:bCs/>
          <w:sz w:val="18"/>
          <w:szCs w:val="18"/>
          <w:vertAlign w:val="superscript"/>
          <w:lang w:val="fr-FR"/>
        </w:rPr>
        <w:t>er</w:t>
      </w:r>
      <w:r w:rsidR="00280211">
        <w:rPr>
          <w:b/>
          <w:bCs/>
          <w:sz w:val="18"/>
          <w:szCs w:val="18"/>
          <w:lang w:val="fr-FR"/>
        </w:rPr>
        <w:t> </w:t>
      </w:r>
      <w:r w:rsidRPr="00280211">
        <w:rPr>
          <w:b/>
          <w:bCs/>
          <w:sz w:val="18"/>
          <w:szCs w:val="18"/>
          <w:lang w:val="fr-FR"/>
        </w:rPr>
        <w:t>juin</w:t>
      </w:r>
      <w:r w:rsidR="006B72AF">
        <w:rPr>
          <w:b/>
          <w:bCs/>
          <w:sz w:val="18"/>
          <w:szCs w:val="18"/>
          <w:lang w:val="fr-FR"/>
        </w:rPr>
        <w:t> </w:t>
      </w:r>
      <w:r w:rsidRPr="00280211">
        <w:rPr>
          <w:b/>
          <w:bCs/>
          <w:sz w:val="18"/>
          <w:szCs w:val="18"/>
          <w:lang w:val="fr-FR"/>
        </w:rPr>
        <w:t>2020.</w:t>
      </w:r>
    </w:p>
    <w:p w14:paraId="022DB8E5" w14:textId="5AA12739" w:rsidR="00696F58" w:rsidRPr="009112AA" w:rsidRDefault="00696F58" w:rsidP="00696F58">
      <w:pPr>
        <w:pStyle w:val="SingleTxtG"/>
        <w:ind w:left="1701" w:hanging="567"/>
        <w:rPr>
          <w:b/>
          <w:bCs/>
          <w:lang w:val="fr-FR"/>
        </w:rPr>
      </w:pPr>
      <w:r w:rsidRPr="00280211">
        <w:rPr>
          <w:b/>
          <w:bCs/>
          <w:sz w:val="18"/>
          <w:szCs w:val="18"/>
          <w:vertAlign w:val="superscript"/>
          <w:lang w:val="fr-FR"/>
        </w:rPr>
        <w:t>2</w:t>
      </w:r>
      <w:r>
        <w:rPr>
          <w:lang w:val="fr-FR"/>
        </w:rPr>
        <w:tab/>
      </w:r>
      <w:r w:rsidRPr="00280211">
        <w:rPr>
          <w:b/>
          <w:bCs/>
          <w:sz w:val="18"/>
          <w:szCs w:val="18"/>
          <w:lang w:val="fr-FR"/>
        </w:rPr>
        <w:t>Deuxième édition de l</w:t>
      </w:r>
      <w:r w:rsidRPr="00280211">
        <w:rPr>
          <w:b/>
          <w:bCs/>
          <w:sz w:val="18"/>
          <w:szCs w:val="18"/>
          <w:lang w:val="fr-FR"/>
        </w:rPr>
        <w:t>’</w:t>
      </w:r>
      <w:r w:rsidRPr="00280211">
        <w:rPr>
          <w:b/>
          <w:bCs/>
          <w:sz w:val="18"/>
          <w:szCs w:val="18"/>
          <w:lang w:val="fr-FR"/>
        </w:rPr>
        <w:t>IRS (International Railway Solution) applicable à partir du 1</w:t>
      </w:r>
      <w:r w:rsidRPr="00280211">
        <w:rPr>
          <w:b/>
          <w:bCs/>
          <w:sz w:val="18"/>
          <w:szCs w:val="18"/>
          <w:vertAlign w:val="superscript"/>
          <w:lang w:val="fr-FR"/>
        </w:rPr>
        <w:t>er</w:t>
      </w:r>
      <w:r w:rsidR="00280211">
        <w:rPr>
          <w:b/>
          <w:bCs/>
          <w:sz w:val="18"/>
          <w:szCs w:val="18"/>
          <w:lang w:val="fr-FR"/>
        </w:rPr>
        <w:t> </w:t>
      </w:r>
      <w:r w:rsidRPr="00280211">
        <w:rPr>
          <w:b/>
          <w:bCs/>
          <w:sz w:val="18"/>
          <w:szCs w:val="18"/>
          <w:lang w:val="fr-FR"/>
        </w:rPr>
        <w:t>décembre 2020.</w:t>
      </w:r>
    </w:p>
    <w:p w14:paraId="2F1AC930" w14:textId="77777777" w:rsidR="00696F58" w:rsidRPr="009112AA" w:rsidRDefault="00696F58" w:rsidP="00696F58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La délégation belge propose de modifier le 4.1.4 comme suit (les modifications figurent en caractères gras soulignés) :</w:t>
      </w:r>
      <w:bookmarkStart w:id="3" w:name="_Hlk167367819"/>
      <w:bookmarkEnd w:id="3"/>
    </w:p>
    <w:p w14:paraId="31A4FF6C" w14:textId="695E38B0" w:rsidR="00696F58" w:rsidRPr="009112AA" w:rsidRDefault="00696F58" w:rsidP="00696F58">
      <w:pPr>
        <w:pStyle w:val="SingleTxtG"/>
        <w:ind w:left="2268" w:hanging="1134"/>
        <w:rPr>
          <w:lang w:val="fr-FR"/>
        </w:rPr>
      </w:pPr>
      <w:r>
        <w:rPr>
          <w:lang w:val="fr-FR"/>
        </w:rPr>
        <w:t>4.1.4</w:t>
      </w:r>
      <w:r>
        <w:rPr>
          <w:lang w:val="fr-FR"/>
        </w:rPr>
        <w:tab/>
      </w:r>
      <w:r w:rsidR="006B72AF">
        <w:rPr>
          <w:lang w:val="fr-FR"/>
        </w:rPr>
        <w:t>« </w:t>
      </w:r>
      <w:r>
        <w:rPr>
          <w:lang w:val="fr-FR"/>
        </w:rPr>
        <w:t>Seuls peuvent être utilisés des emballages et citernes qui répondent aux prescriptions de la partie 6 de l</w:t>
      </w:r>
      <w:r>
        <w:rPr>
          <w:lang w:val="fr-FR"/>
        </w:rPr>
        <w:t>’</w:t>
      </w:r>
      <w:r>
        <w:rPr>
          <w:lang w:val="fr-FR"/>
        </w:rPr>
        <w:t>ADR</w:t>
      </w:r>
      <w:r>
        <w:rPr>
          <w:u w:val="single"/>
          <w:lang w:val="fr-FR"/>
        </w:rPr>
        <w:t>,</w:t>
      </w:r>
      <w:r>
        <w:rPr>
          <w:lang w:val="fr-FR"/>
        </w:rPr>
        <w:t xml:space="preserve"> du RID </w:t>
      </w:r>
      <w:r>
        <w:rPr>
          <w:b/>
          <w:bCs/>
          <w:u w:val="single"/>
          <w:lang w:val="fr-FR"/>
        </w:rPr>
        <w:t>ou du Code IMDG</w:t>
      </w:r>
      <w:r>
        <w:rPr>
          <w:lang w:val="fr-FR"/>
        </w:rPr>
        <w:t>.</w:t>
      </w:r>
      <w:r w:rsidR="006B72AF">
        <w:rPr>
          <w:lang w:val="fr-FR"/>
        </w:rPr>
        <w:t> ».</w:t>
      </w:r>
    </w:p>
    <w:p w14:paraId="21E79991" w14:textId="7889BA54" w:rsidR="00696F58" w:rsidRPr="009112AA" w:rsidRDefault="00696F58" w:rsidP="00696F58">
      <w:pPr>
        <w:pStyle w:val="SingleTxtG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La délégation belge propose de modifier le 6.12 comme suit (les modifications figurent en caractères gras soulignés pour les ajouts et biffés pour les suppressions)</w:t>
      </w:r>
      <w:r>
        <w:rPr>
          <w:lang w:val="fr-FR"/>
        </w:rPr>
        <w:t> </w:t>
      </w:r>
      <w:r>
        <w:rPr>
          <w:lang w:val="fr-FR"/>
        </w:rPr>
        <w:t>:</w:t>
      </w:r>
    </w:p>
    <w:p w14:paraId="4CFB2684" w14:textId="6000F0A2" w:rsidR="00696F58" w:rsidRPr="009112AA" w:rsidRDefault="00696F58" w:rsidP="00696F58">
      <w:pPr>
        <w:pStyle w:val="SingleTxtG"/>
        <w:ind w:left="2268" w:hanging="1134"/>
        <w:rPr>
          <w:lang w:val="fr-FR"/>
        </w:rPr>
      </w:pPr>
      <w:r>
        <w:rPr>
          <w:lang w:val="fr-FR"/>
        </w:rPr>
        <w:t>6.1.2</w:t>
      </w:r>
      <w:r>
        <w:rPr>
          <w:lang w:val="fr-FR"/>
        </w:rPr>
        <w:tab/>
        <w:t xml:space="preserve">Les citernes mobiles </w:t>
      </w:r>
      <w:r>
        <w:rPr>
          <w:b/>
          <w:bCs/>
          <w:u w:val="single"/>
          <w:lang w:val="fr-FR"/>
        </w:rPr>
        <w:t>et les CGEM</w:t>
      </w:r>
      <w:r>
        <w:rPr>
          <w:lang w:val="fr-FR"/>
        </w:rPr>
        <w:t xml:space="preserve"> peuvent également répondre aux prescriptions du chapitre 6.7 </w:t>
      </w:r>
      <w:r>
        <w:rPr>
          <w:strike/>
          <w:lang w:val="fr-FR"/>
        </w:rPr>
        <w:t xml:space="preserve">ou, le cas échéant, </w:t>
      </w:r>
      <w:r>
        <w:rPr>
          <w:b/>
          <w:bCs/>
          <w:u w:val="single"/>
          <w:lang w:val="fr-FR"/>
        </w:rPr>
        <w:t>du Code IMDG.</w:t>
      </w:r>
      <w:r>
        <w:rPr>
          <w:lang w:val="fr-FR"/>
        </w:rPr>
        <w:t xml:space="preserve"> </w:t>
      </w:r>
      <w:r>
        <w:rPr>
          <w:b/>
          <w:bCs/>
          <w:u w:val="single"/>
          <w:lang w:val="fr-FR"/>
        </w:rPr>
        <w:t>Les</w:t>
      </w:r>
      <w:r w:rsidR="006B72AF">
        <w:rPr>
          <w:b/>
          <w:bCs/>
          <w:u w:val="single"/>
          <w:lang w:val="fr-FR"/>
        </w:rPr>
        <w:t> </w:t>
      </w:r>
      <w:r>
        <w:rPr>
          <w:b/>
          <w:bCs/>
          <w:u w:val="single"/>
          <w:lang w:val="fr-FR"/>
        </w:rPr>
        <w:t xml:space="preserve">conteneurs pour vrac peuvent également répondre aux prescriptions du </w:t>
      </w:r>
      <w:r>
        <w:rPr>
          <w:lang w:val="fr-FR"/>
        </w:rPr>
        <w:t xml:space="preserve">chapitre 6.9 du Code IMDG. </w:t>
      </w:r>
      <w:r>
        <w:rPr>
          <w:b/>
          <w:bCs/>
          <w:u w:val="single"/>
          <w:lang w:val="fr-FR"/>
        </w:rPr>
        <w:t>Les citernes mobiles dont les réservoirs sont en matière plastique renforcée de fibres (PRF) peuvent également répondre aux prescriptions du chapitre 6.10 du Code IMDG.</w:t>
      </w:r>
      <w:bookmarkStart w:id="4" w:name="_Hlk167367456"/>
      <w:bookmarkEnd w:id="4"/>
    </w:p>
    <w:p w14:paraId="5A0183CC" w14:textId="77777777" w:rsidR="00696F58" w:rsidRPr="009112AA" w:rsidRDefault="00696F58" w:rsidP="00696F5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Justification</w:t>
      </w:r>
    </w:p>
    <w:p w14:paraId="072A0DE4" w14:textId="286439E1" w:rsidR="00696F58" w:rsidRPr="009112AA" w:rsidRDefault="00696F58" w:rsidP="00696F58">
      <w:pPr>
        <w:pStyle w:val="SingleTxtG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La délégation belge est d</w:t>
      </w:r>
      <w:r>
        <w:rPr>
          <w:lang w:val="fr-FR"/>
        </w:rPr>
        <w:t>’</w:t>
      </w:r>
      <w:r>
        <w:rPr>
          <w:lang w:val="fr-FR"/>
        </w:rPr>
        <w:t>avis qu</w:t>
      </w:r>
      <w:r>
        <w:rPr>
          <w:lang w:val="fr-FR"/>
        </w:rPr>
        <w:t>’</w:t>
      </w:r>
      <w:r>
        <w:rPr>
          <w:lang w:val="fr-FR"/>
        </w:rPr>
        <w:t>une simple définition de la Convention CSC ne constitue pas une base juridique suffisante pour l</w:t>
      </w:r>
      <w:r>
        <w:rPr>
          <w:lang w:val="fr-FR"/>
        </w:rPr>
        <w:t>’</w:t>
      </w:r>
      <w:r>
        <w:rPr>
          <w:lang w:val="fr-FR"/>
        </w:rPr>
        <w:t>utilisation de conteneurs lors du transport de marchandises dangereuses dans un bateau de navigation intérieure. Il convient donc d</w:t>
      </w:r>
      <w:r>
        <w:rPr>
          <w:lang w:val="fr-FR"/>
        </w:rPr>
        <w:t>’</w:t>
      </w:r>
      <w:r>
        <w:rPr>
          <w:lang w:val="fr-FR"/>
        </w:rPr>
        <w:t>ajouter les dispositions ci-dessus au chapitre 7 du Règlement annexé à l</w:t>
      </w:r>
      <w:r>
        <w:rPr>
          <w:lang w:val="fr-FR"/>
        </w:rPr>
        <w:t>’</w:t>
      </w:r>
      <w:r>
        <w:rPr>
          <w:lang w:val="fr-FR"/>
        </w:rPr>
        <w:t>ADN.</w:t>
      </w:r>
    </w:p>
    <w:p w14:paraId="7363A311" w14:textId="57A2F2CC" w:rsidR="00696F58" w:rsidRPr="009112AA" w:rsidRDefault="00696F58" w:rsidP="00696F58">
      <w:pPr>
        <w:pStyle w:val="SingleTxtG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  <w:t>En outre, la délégation belge fait référence aux objectifs de développement durable suivants</w:t>
      </w:r>
      <w:r>
        <w:rPr>
          <w:lang w:val="fr-FR"/>
        </w:rPr>
        <w:t> </w:t>
      </w:r>
      <w:r>
        <w:rPr>
          <w:lang w:val="fr-FR"/>
        </w:rPr>
        <w:t>:</w:t>
      </w:r>
    </w:p>
    <w:p w14:paraId="5073A8B4" w14:textId="3EF33F3C" w:rsidR="00696F58" w:rsidRPr="009112AA" w:rsidRDefault="00696F58" w:rsidP="00696F58">
      <w:pPr>
        <w:pStyle w:val="Bullet1G"/>
        <w:rPr>
          <w:lang w:val="fr-FR"/>
        </w:rPr>
      </w:pPr>
      <w:r>
        <w:rPr>
          <w:lang w:val="fr-FR"/>
        </w:rPr>
        <w:t>Objectif 3</w:t>
      </w:r>
      <w:r>
        <w:rPr>
          <w:lang w:val="fr-FR"/>
        </w:rPr>
        <w:t> </w:t>
      </w:r>
      <w:r>
        <w:rPr>
          <w:lang w:val="fr-FR"/>
        </w:rPr>
        <w:t xml:space="preserve">: </w:t>
      </w:r>
      <w:r>
        <w:rPr>
          <w:i/>
          <w:iCs/>
          <w:lang w:val="fr-FR"/>
        </w:rPr>
        <w:t>Bonne santé et bien-être</w:t>
      </w:r>
      <w:r>
        <w:rPr>
          <w:i/>
          <w:iCs/>
          <w:lang w:val="fr-FR"/>
        </w:rPr>
        <w:t> </w:t>
      </w:r>
      <w:r>
        <w:rPr>
          <w:lang w:val="fr-FR"/>
        </w:rPr>
        <w:t>; la proposition pourrait permettre de réduire les risques pour la santé liés aux matières dangereuses</w:t>
      </w:r>
      <w:r>
        <w:rPr>
          <w:lang w:val="fr-FR"/>
        </w:rPr>
        <w:t> </w:t>
      </w:r>
      <w:r>
        <w:rPr>
          <w:lang w:val="fr-FR"/>
        </w:rPr>
        <w:t>;</w:t>
      </w:r>
    </w:p>
    <w:p w14:paraId="001BE007" w14:textId="300878B8" w:rsidR="00696F58" w:rsidRPr="009112AA" w:rsidRDefault="00696F58" w:rsidP="00696F58">
      <w:pPr>
        <w:pStyle w:val="Bullet1G"/>
        <w:rPr>
          <w:lang w:val="fr-FR"/>
        </w:rPr>
      </w:pPr>
      <w:r>
        <w:rPr>
          <w:lang w:val="fr-FR"/>
        </w:rPr>
        <w:t>Objectif 8</w:t>
      </w:r>
      <w:r>
        <w:rPr>
          <w:lang w:val="fr-FR"/>
        </w:rPr>
        <w:t> </w:t>
      </w:r>
      <w:r>
        <w:rPr>
          <w:lang w:val="fr-FR"/>
        </w:rPr>
        <w:t xml:space="preserve">: </w:t>
      </w:r>
      <w:r>
        <w:rPr>
          <w:i/>
          <w:iCs/>
          <w:lang w:val="fr-FR"/>
        </w:rPr>
        <w:t>Travail décent et croissance économique</w:t>
      </w:r>
      <w:r>
        <w:rPr>
          <w:i/>
          <w:iCs/>
          <w:lang w:val="fr-FR"/>
        </w:rPr>
        <w:t> </w:t>
      </w:r>
      <w:r>
        <w:rPr>
          <w:lang w:val="fr-FR"/>
        </w:rPr>
        <w:t>; la sûreté et la sécurité de l</w:t>
      </w:r>
      <w:r>
        <w:rPr>
          <w:lang w:val="fr-FR"/>
        </w:rPr>
        <w:t>’</w:t>
      </w:r>
      <w:r>
        <w:rPr>
          <w:lang w:val="fr-FR"/>
        </w:rPr>
        <w:t>environnement de travail seront améliorées du fait de la suppression de l</w:t>
      </w:r>
      <w:r>
        <w:rPr>
          <w:lang w:val="fr-FR"/>
        </w:rPr>
        <w:t>’</w:t>
      </w:r>
      <w:r>
        <w:rPr>
          <w:lang w:val="fr-FR"/>
        </w:rPr>
        <w:t>obstacle réglementaire.</w:t>
      </w:r>
    </w:p>
    <w:p w14:paraId="486E2FD4" w14:textId="77777777" w:rsidR="00696F58" w:rsidRPr="009112AA" w:rsidRDefault="00696F58" w:rsidP="00696F58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bCs/>
          <w:lang w:val="fr-FR"/>
        </w:rPr>
        <w:t xml:space="preserve">Mesures à </w:t>
      </w:r>
      <w:r w:rsidRPr="00696F58">
        <w:rPr>
          <w:lang w:val="fr-FR"/>
        </w:rPr>
        <w:t>prendre</w:t>
      </w:r>
    </w:p>
    <w:p w14:paraId="631B62BF" w14:textId="7A4C6A81" w:rsidR="00F9573C" w:rsidRDefault="00696F58" w:rsidP="00696F58">
      <w:pPr>
        <w:pStyle w:val="SingleTxtG"/>
        <w:rPr>
          <w:lang w:val="fr-FR"/>
        </w:rPr>
      </w:pPr>
      <w:r>
        <w:rPr>
          <w:lang w:val="fr-FR"/>
        </w:rPr>
        <w:t>12.</w:t>
      </w:r>
      <w:r>
        <w:rPr>
          <w:lang w:val="fr-FR"/>
        </w:rPr>
        <w:tab/>
        <w:t>Le Comité de sécurité de l</w:t>
      </w:r>
      <w:r>
        <w:rPr>
          <w:lang w:val="fr-FR"/>
        </w:rPr>
        <w:t>’</w:t>
      </w:r>
      <w:r>
        <w:rPr>
          <w:lang w:val="fr-FR"/>
        </w:rPr>
        <w:t>ADN est invité à prendre connaissance des propositions d</w:t>
      </w:r>
      <w:r>
        <w:rPr>
          <w:lang w:val="fr-FR"/>
        </w:rPr>
        <w:t>’</w:t>
      </w:r>
      <w:r>
        <w:rPr>
          <w:lang w:val="fr-FR"/>
        </w:rPr>
        <w:t>amendements figurant dans les paragraphes</w:t>
      </w:r>
      <w:r w:rsidR="006B72AF">
        <w:rPr>
          <w:lang w:val="fr-FR"/>
        </w:rPr>
        <w:t> </w:t>
      </w:r>
      <w:r>
        <w:rPr>
          <w:lang w:val="fr-FR"/>
        </w:rPr>
        <w:t>7 à 9 ci-dessus et à y donner la suite qu</w:t>
      </w:r>
      <w:r>
        <w:rPr>
          <w:lang w:val="fr-FR"/>
        </w:rPr>
        <w:t>’</w:t>
      </w:r>
      <w:r>
        <w:rPr>
          <w:lang w:val="fr-FR"/>
        </w:rPr>
        <w:t>il jugera appropriée.</w:t>
      </w:r>
    </w:p>
    <w:p w14:paraId="17B596A1" w14:textId="2122D747" w:rsidR="00696F58" w:rsidRPr="00696F58" w:rsidRDefault="00696F58" w:rsidP="00696F5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96F58" w:rsidRPr="00696F58" w:rsidSect="00696F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41DF7" w14:textId="77777777" w:rsidR="00A12B32" w:rsidRDefault="00A12B32" w:rsidP="00F95C08">
      <w:pPr>
        <w:spacing w:line="240" w:lineRule="auto"/>
      </w:pPr>
    </w:p>
  </w:endnote>
  <w:endnote w:type="continuationSeparator" w:id="0">
    <w:p w14:paraId="1F238278" w14:textId="77777777" w:rsidR="00A12B32" w:rsidRPr="00AC3823" w:rsidRDefault="00A12B32" w:rsidP="00AC3823">
      <w:pPr>
        <w:pStyle w:val="Pieddepage"/>
      </w:pPr>
    </w:p>
  </w:endnote>
  <w:endnote w:type="continuationNotice" w:id="1">
    <w:p w14:paraId="2B2F8788" w14:textId="77777777" w:rsidR="00A12B32" w:rsidRDefault="00A12B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191E5" w14:textId="3BF3B159" w:rsidR="00696F58" w:rsidRPr="00696F58" w:rsidRDefault="00696F58" w:rsidP="00696F58">
    <w:pPr>
      <w:pStyle w:val="Pieddepage"/>
      <w:tabs>
        <w:tab w:val="right" w:pos="9638"/>
      </w:tabs>
    </w:pPr>
    <w:r w:rsidRPr="00696F58">
      <w:rPr>
        <w:b/>
        <w:sz w:val="18"/>
      </w:rPr>
      <w:fldChar w:fldCharType="begin"/>
    </w:r>
    <w:r w:rsidRPr="00696F58">
      <w:rPr>
        <w:b/>
        <w:sz w:val="18"/>
      </w:rPr>
      <w:instrText xml:space="preserve"> PAGE  \* MERGEFORMAT </w:instrText>
    </w:r>
    <w:r w:rsidRPr="00696F58">
      <w:rPr>
        <w:b/>
        <w:sz w:val="18"/>
      </w:rPr>
      <w:fldChar w:fldCharType="separate"/>
    </w:r>
    <w:r w:rsidRPr="00696F58">
      <w:rPr>
        <w:b/>
        <w:noProof/>
        <w:sz w:val="18"/>
      </w:rPr>
      <w:t>2</w:t>
    </w:r>
    <w:r w:rsidRPr="00696F58">
      <w:rPr>
        <w:b/>
        <w:sz w:val="18"/>
      </w:rPr>
      <w:fldChar w:fldCharType="end"/>
    </w:r>
    <w:r>
      <w:rPr>
        <w:b/>
        <w:sz w:val="18"/>
      </w:rPr>
      <w:tab/>
    </w:r>
    <w:r>
      <w:t>GE.24-10241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A8126" w14:textId="62A6A17E" w:rsidR="00696F58" w:rsidRPr="00696F58" w:rsidRDefault="00696F58" w:rsidP="00696F58">
    <w:pPr>
      <w:pStyle w:val="Pieddepage"/>
      <w:tabs>
        <w:tab w:val="right" w:pos="9638"/>
      </w:tabs>
      <w:rPr>
        <w:b/>
        <w:sz w:val="18"/>
      </w:rPr>
    </w:pPr>
    <w:r>
      <w:t>GE.24-10241</w:t>
    </w:r>
    <w:r>
      <w:tab/>
    </w:r>
    <w:r w:rsidRPr="00696F58">
      <w:rPr>
        <w:b/>
        <w:sz w:val="18"/>
      </w:rPr>
      <w:fldChar w:fldCharType="begin"/>
    </w:r>
    <w:r w:rsidRPr="00696F58">
      <w:rPr>
        <w:b/>
        <w:sz w:val="18"/>
      </w:rPr>
      <w:instrText xml:space="preserve"> PAGE  \* MERGEFORMAT </w:instrText>
    </w:r>
    <w:r w:rsidRPr="00696F58">
      <w:rPr>
        <w:b/>
        <w:sz w:val="18"/>
      </w:rPr>
      <w:fldChar w:fldCharType="separate"/>
    </w:r>
    <w:r w:rsidRPr="00696F58">
      <w:rPr>
        <w:b/>
        <w:noProof/>
        <w:sz w:val="18"/>
      </w:rPr>
      <w:t>3</w:t>
    </w:r>
    <w:r w:rsidRPr="00696F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DEB97" w14:textId="0B7AB51F" w:rsidR="007F20FA" w:rsidRPr="00696F58" w:rsidRDefault="00696F58" w:rsidP="00696F5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F802D03" wp14:editId="41D9886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24-10241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25AE3E7" wp14:editId="28BD282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6532993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180624    180624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C9FF5" w14:textId="77777777" w:rsidR="00A12B32" w:rsidRPr="00AC3823" w:rsidRDefault="00A12B3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529114" w14:textId="77777777" w:rsidR="00A12B32" w:rsidRPr="00AC3823" w:rsidRDefault="00A12B3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9043FA" w14:textId="77777777" w:rsidR="00A12B32" w:rsidRPr="00AC3823" w:rsidRDefault="00A12B32">
      <w:pPr>
        <w:spacing w:line="240" w:lineRule="auto"/>
        <w:rPr>
          <w:sz w:val="2"/>
          <w:szCs w:val="2"/>
        </w:rPr>
      </w:pPr>
    </w:p>
  </w:footnote>
  <w:footnote w:id="2">
    <w:p w14:paraId="2F431B62" w14:textId="1E714C68" w:rsidR="00E004EE" w:rsidRPr="00E004EE" w:rsidRDefault="00E004EE">
      <w:pPr>
        <w:pStyle w:val="Notedebasdepage"/>
      </w:pPr>
      <w:r>
        <w:rPr>
          <w:rStyle w:val="Appelnotedebasdep"/>
        </w:rPr>
        <w:tab/>
      </w:r>
      <w:r w:rsidRPr="00E004EE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Diffusé en allemand par la Commission centrale pour la navigation du Rhin sous </w:t>
      </w:r>
      <w:r>
        <w:rPr>
          <w:lang w:val="fr-FR"/>
        </w:rPr>
        <w:br/>
        <w:t>la cote CCNR-ZKR/ADN/WP.15/AC.2/2024/56.</w:t>
      </w:r>
    </w:p>
  </w:footnote>
  <w:footnote w:id="3">
    <w:p w14:paraId="7F00CE52" w14:textId="74C1B505" w:rsidR="00E004EE" w:rsidRPr="00E004EE" w:rsidRDefault="00E004EE">
      <w:pPr>
        <w:pStyle w:val="Notedebasdepage"/>
      </w:pPr>
      <w:r>
        <w:rPr>
          <w:rStyle w:val="Appelnotedebasdep"/>
        </w:rPr>
        <w:tab/>
      </w:r>
      <w:r w:rsidRPr="00E004EE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A/78/6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59AA7" w14:textId="4BEE4881" w:rsidR="00696F58" w:rsidRPr="00696F58" w:rsidRDefault="00696F58">
    <w:pPr>
      <w:pStyle w:val="En-tte"/>
    </w:pPr>
    <w:fldSimple w:instr=" TITLE  \* MERGEFORMAT ">
      <w:r w:rsidR="00B74D97">
        <w:t>ECE/TRANS/WP.15/AC.2/2024/56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B9666" w14:textId="7D7AEE1A" w:rsidR="00696F58" w:rsidRPr="00696F58" w:rsidRDefault="00696F58" w:rsidP="00696F58">
    <w:pPr>
      <w:pStyle w:val="En-tte"/>
      <w:jc w:val="right"/>
    </w:pPr>
    <w:fldSimple w:instr=" TITLE  \* MERGEFORMAT ">
      <w:r w:rsidR="00B74D97">
        <w:t>ECE/TRANS/WP.15/AC.2/2024/56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792362788">
    <w:abstractNumId w:val="12"/>
  </w:num>
  <w:num w:numId="2" w16cid:durableId="1879850330">
    <w:abstractNumId w:val="11"/>
  </w:num>
  <w:num w:numId="3" w16cid:durableId="1884099043">
    <w:abstractNumId w:val="10"/>
  </w:num>
  <w:num w:numId="4" w16cid:durableId="967903274">
    <w:abstractNumId w:val="8"/>
  </w:num>
  <w:num w:numId="5" w16cid:durableId="683745471">
    <w:abstractNumId w:val="3"/>
  </w:num>
  <w:num w:numId="6" w16cid:durableId="1153373861">
    <w:abstractNumId w:val="2"/>
  </w:num>
  <w:num w:numId="7" w16cid:durableId="2369110">
    <w:abstractNumId w:val="1"/>
  </w:num>
  <w:num w:numId="8" w16cid:durableId="1424691843">
    <w:abstractNumId w:val="0"/>
  </w:num>
  <w:num w:numId="9" w16cid:durableId="2063166731">
    <w:abstractNumId w:val="9"/>
  </w:num>
  <w:num w:numId="10" w16cid:durableId="542251600">
    <w:abstractNumId w:val="7"/>
  </w:num>
  <w:num w:numId="11" w16cid:durableId="1036201242">
    <w:abstractNumId w:val="6"/>
  </w:num>
  <w:num w:numId="12" w16cid:durableId="320890274">
    <w:abstractNumId w:val="5"/>
  </w:num>
  <w:num w:numId="13" w16cid:durableId="1407023654">
    <w:abstractNumId w:val="4"/>
  </w:num>
  <w:num w:numId="14" w16cid:durableId="1495099290">
    <w:abstractNumId w:val="12"/>
  </w:num>
  <w:num w:numId="15" w16cid:durableId="1198009359">
    <w:abstractNumId w:val="11"/>
  </w:num>
  <w:num w:numId="16" w16cid:durableId="1191256874">
    <w:abstractNumId w:val="10"/>
  </w:num>
  <w:num w:numId="17" w16cid:durableId="3949334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3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0211"/>
    <w:rsid w:val="002832AC"/>
    <w:rsid w:val="002D7C93"/>
    <w:rsid w:val="002F092F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96F58"/>
    <w:rsid w:val="006B72AF"/>
    <w:rsid w:val="0071601D"/>
    <w:rsid w:val="007A62E6"/>
    <w:rsid w:val="007F20FA"/>
    <w:rsid w:val="0080684C"/>
    <w:rsid w:val="00871C75"/>
    <w:rsid w:val="008776DC"/>
    <w:rsid w:val="008C6600"/>
    <w:rsid w:val="008D5EF9"/>
    <w:rsid w:val="009446C0"/>
    <w:rsid w:val="009705C8"/>
    <w:rsid w:val="009C1CF4"/>
    <w:rsid w:val="009F6B74"/>
    <w:rsid w:val="00A12B32"/>
    <w:rsid w:val="00A3029F"/>
    <w:rsid w:val="00A30353"/>
    <w:rsid w:val="00AC3823"/>
    <w:rsid w:val="00AE323C"/>
    <w:rsid w:val="00AF0CB5"/>
    <w:rsid w:val="00B00181"/>
    <w:rsid w:val="00B00B0D"/>
    <w:rsid w:val="00B45F2E"/>
    <w:rsid w:val="00B74D97"/>
    <w:rsid w:val="00B765F7"/>
    <w:rsid w:val="00B77993"/>
    <w:rsid w:val="00B97377"/>
    <w:rsid w:val="00BA0CA9"/>
    <w:rsid w:val="00BA71EA"/>
    <w:rsid w:val="00C02897"/>
    <w:rsid w:val="00C14092"/>
    <w:rsid w:val="00C97039"/>
    <w:rsid w:val="00D3439C"/>
    <w:rsid w:val="00D7622E"/>
    <w:rsid w:val="00DB1831"/>
    <w:rsid w:val="00DD3BFD"/>
    <w:rsid w:val="00DF6678"/>
    <w:rsid w:val="00E004EE"/>
    <w:rsid w:val="00E0299A"/>
    <w:rsid w:val="00E85C74"/>
    <w:rsid w:val="00EA6547"/>
    <w:rsid w:val="00ED7237"/>
    <w:rsid w:val="00EF2E22"/>
    <w:rsid w:val="00F35A0D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234A5"/>
  <w15:docId w15:val="{611C3458-2434-4F21-9143-9876315F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2EF50-F588-4CA9-8948-5F0E3FD887E5}"/>
</file>

<file path=customXml/itemProps2.xml><?xml version="1.0" encoding="utf-8"?>
<ds:datastoreItem xmlns:ds="http://schemas.openxmlformats.org/officeDocument/2006/customXml" ds:itemID="{21BE3AC8-3C56-4A5F-9584-8297DB4529FF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4</Pages>
  <Words>1372</Words>
  <Characters>7387</Characters>
  <Application>Microsoft Office Word</Application>
  <DocSecurity>0</DocSecurity>
  <Lines>434</Lines>
  <Paragraphs>437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ECE/TRANS/WP.15/AC.2/2024/56</vt:lpstr>
    </vt:vector>
  </TitlesOfParts>
  <Company>DCM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ECE/TRANS/WP.15/AC.2/2024/56</dc:title>
  <dc:subject/>
  <dc:creator>Julien OKRZESIK</dc:creator>
  <cp:keywords/>
  <cp:lastModifiedBy>Julien OKRZESIK</cp:lastModifiedBy>
  <cp:revision>3</cp:revision>
  <cp:lastPrinted>2024-06-18T12:49:00Z</cp:lastPrinted>
  <dcterms:created xsi:type="dcterms:W3CDTF">2024-06-18T12:49:00Z</dcterms:created>
  <dcterms:modified xsi:type="dcterms:W3CDTF">2024-06-18T12:52:00Z</dcterms:modified>
</cp:coreProperties>
</file>