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90F2BDC" w14:textId="77777777" w:rsidTr="00B20551">
        <w:trPr>
          <w:cantSplit/>
          <w:trHeight w:hRule="exact" w:val="851"/>
        </w:trPr>
        <w:tc>
          <w:tcPr>
            <w:tcW w:w="1276" w:type="dxa"/>
            <w:tcBorders>
              <w:bottom w:val="single" w:sz="4" w:space="0" w:color="auto"/>
            </w:tcBorders>
            <w:vAlign w:val="bottom"/>
          </w:tcPr>
          <w:p w14:paraId="05D63101" w14:textId="77777777" w:rsidR="009E6CB7" w:rsidRDefault="009E6CB7" w:rsidP="00B20551">
            <w:pPr>
              <w:spacing w:after="80"/>
            </w:pPr>
          </w:p>
        </w:tc>
        <w:tc>
          <w:tcPr>
            <w:tcW w:w="2268" w:type="dxa"/>
            <w:tcBorders>
              <w:bottom w:val="single" w:sz="4" w:space="0" w:color="auto"/>
            </w:tcBorders>
            <w:vAlign w:val="bottom"/>
          </w:tcPr>
          <w:p w14:paraId="0522B7DA"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FF3DA6C" w14:textId="6E78C2A9" w:rsidR="009E6CB7" w:rsidRPr="00D47EEA" w:rsidRDefault="00BF75B5" w:rsidP="00BF75B5">
            <w:pPr>
              <w:jc w:val="right"/>
            </w:pPr>
            <w:r w:rsidRPr="00BF75B5">
              <w:rPr>
                <w:sz w:val="40"/>
              </w:rPr>
              <w:t>ECE</w:t>
            </w:r>
            <w:r>
              <w:t>/TRANS/WP.15/AC.2/2024/56</w:t>
            </w:r>
          </w:p>
        </w:tc>
      </w:tr>
      <w:tr w:rsidR="009E6CB7" w14:paraId="78DD664D" w14:textId="77777777" w:rsidTr="00B20551">
        <w:trPr>
          <w:cantSplit/>
          <w:trHeight w:hRule="exact" w:val="2835"/>
        </w:trPr>
        <w:tc>
          <w:tcPr>
            <w:tcW w:w="1276" w:type="dxa"/>
            <w:tcBorders>
              <w:top w:val="single" w:sz="4" w:space="0" w:color="auto"/>
              <w:bottom w:val="single" w:sz="12" w:space="0" w:color="auto"/>
            </w:tcBorders>
          </w:tcPr>
          <w:p w14:paraId="061293D5" w14:textId="77777777" w:rsidR="009E6CB7" w:rsidRDefault="00686A48" w:rsidP="00B20551">
            <w:pPr>
              <w:spacing w:before="120"/>
            </w:pPr>
            <w:r>
              <w:rPr>
                <w:noProof/>
                <w:lang w:val="fr-CH" w:eastAsia="fr-CH"/>
              </w:rPr>
              <w:drawing>
                <wp:inline distT="0" distB="0" distL="0" distR="0" wp14:anchorId="09B9DDD3" wp14:editId="3A7FA37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1BDFDFE"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167F716" w14:textId="77777777" w:rsidR="009E6CB7" w:rsidRDefault="00BF75B5" w:rsidP="00BF75B5">
            <w:pPr>
              <w:spacing w:before="240" w:line="240" w:lineRule="exact"/>
            </w:pPr>
            <w:r>
              <w:t>Distr.: General</w:t>
            </w:r>
          </w:p>
          <w:p w14:paraId="75CE829B" w14:textId="227A9537" w:rsidR="00BF75B5" w:rsidRDefault="00CC08F2" w:rsidP="00BF75B5">
            <w:pPr>
              <w:spacing w:line="240" w:lineRule="exact"/>
            </w:pPr>
            <w:r>
              <w:t>10</w:t>
            </w:r>
            <w:r w:rsidR="00BF75B5">
              <w:t xml:space="preserve"> June 2024</w:t>
            </w:r>
          </w:p>
          <w:p w14:paraId="4B9350DF" w14:textId="77777777" w:rsidR="00BF75B5" w:rsidRDefault="00BF75B5" w:rsidP="00BF75B5">
            <w:pPr>
              <w:spacing w:line="240" w:lineRule="exact"/>
            </w:pPr>
          </w:p>
          <w:p w14:paraId="40C5A1CF" w14:textId="6D924D21" w:rsidR="00BF75B5" w:rsidRDefault="00BF75B5" w:rsidP="00BF75B5">
            <w:pPr>
              <w:spacing w:line="240" w:lineRule="exact"/>
            </w:pPr>
            <w:r>
              <w:t>Original: English</w:t>
            </w:r>
          </w:p>
        </w:tc>
      </w:tr>
    </w:tbl>
    <w:p w14:paraId="53A903BE" w14:textId="77777777" w:rsidR="00BF75B5" w:rsidRPr="003134DF" w:rsidRDefault="00BF75B5" w:rsidP="00C411EB">
      <w:pPr>
        <w:spacing w:before="120"/>
        <w:rPr>
          <w:b/>
          <w:sz w:val="28"/>
          <w:szCs w:val="28"/>
        </w:rPr>
      </w:pPr>
      <w:r w:rsidRPr="003134DF">
        <w:rPr>
          <w:b/>
          <w:sz w:val="28"/>
          <w:szCs w:val="28"/>
        </w:rPr>
        <w:t>Economic Commission for Europe</w:t>
      </w:r>
    </w:p>
    <w:p w14:paraId="16017E2C" w14:textId="77777777" w:rsidR="00BF75B5" w:rsidRPr="003134DF" w:rsidRDefault="00BF75B5" w:rsidP="00C411EB">
      <w:pPr>
        <w:spacing w:before="120"/>
        <w:rPr>
          <w:sz w:val="28"/>
          <w:szCs w:val="28"/>
        </w:rPr>
      </w:pPr>
      <w:r w:rsidRPr="003134DF">
        <w:rPr>
          <w:sz w:val="28"/>
          <w:szCs w:val="28"/>
        </w:rPr>
        <w:t>Inland Transport Committee</w:t>
      </w:r>
    </w:p>
    <w:p w14:paraId="525211E9" w14:textId="77777777" w:rsidR="00BF75B5" w:rsidRPr="003134DF" w:rsidRDefault="00BF75B5" w:rsidP="00C411EB">
      <w:pPr>
        <w:spacing w:before="120"/>
        <w:rPr>
          <w:b/>
          <w:sz w:val="24"/>
          <w:szCs w:val="24"/>
        </w:rPr>
      </w:pPr>
      <w:r w:rsidRPr="003134DF">
        <w:rPr>
          <w:b/>
          <w:sz w:val="24"/>
          <w:szCs w:val="24"/>
        </w:rPr>
        <w:t>Working Party on the Transport of Dangerous Goods</w:t>
      </w:r>
    </w:p>
    <w:p w14:paraId="3185ECC4" w14:textId="77777777" w:rsidR="00BF75B5" w:rsidRPr="003134DF" w:rsidRDefault="00BF75B5" w:rsidP="00C411EB">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79D8DBDD" w14:textId="73EDBC5A" w:rsidR="00BF75B5" w:rsidRPr="003134DF" w:rsidRDefault="00842E16" w:rsidP="00C411EB">
      <w:pPr>
        <w:spacing w:before="120"/>
        <w:rPr>
          <w:b/>
        </w:rPr>
      </w:pPr>
      <w:r>
        <w:rPr>
          <w:b/>
        </w:rPr>
        <w:t>Forty</w:t>
      </w:r>
      <w:r w:rsidR="00DE3291">
        <w:rPr>
          <w:b/>
        </w:rPr>
        <w:t>-</w:t>
      </w:r>
      <w:r>
        <w:rPr>
          <w:b/>
        </w:rPr>
        <w:t>fourth</w:t>
      </w:r>
      <w:r w:rsidR="00DE3291">
        <w:rPr>
          <w:b/>
        </w:rPr>
        <w:t xml:space="preserve"> </w:t>
      </w:r>
      <w:r w:rsidR="00BF75B5" w:rsidRPr="003134DF">
        <w:rPr>
          <w:b/>
        </w:rPr>
        <w:t>session</w:t>
      </w:r>
    </w:p>
    <w:p w14:paraId="0F77A420" w14:textId="2A2EA7D5" w:rsidR="00BF75B5" w:rsidRDefault="00BF75B5" w:rsidP="00C411EB">
      <w:r w:rsidRPr="003134DF">
        <w:t xml:space="preserve">Geneva, </w:t>
      </w:r>
      <w:r w:rsidR="00DE3291">
        <w:t>26–</w:t>
      </w:r>
      <w:r w:rsidR="00CE3FE6">
        <w:t>30 August 2024</w:t>
      </w:r>
    </w:p>
    <w:p w14:paraId="7BE01665" w14:textId="215C4E92" w:rsidR="00BF75B5" w:rsidRPr="003134DF" w:rsidRDefault="00BF75B5" w:rsidP="00C411EB">
      <w:r>
        <w:t xml:space="preserve">Item </w:t>
      </w:r>
      <w:r w:rsidR="00CE3FE6">
        <w:t>4 (b)</w:t>
      </w:r>
      <w:r>
        <w:t xml:space="preserve"> </w:t>
      </w:r>
      <w:r w:rsidRPr="003134DF">
        <w:t>of the provisional agenda</w:t>
      </w:r>
    </w:p>
    <w:p w14:paraId="046CFA1C" w14:textId="77777777" w:rsidR="00CF6ED8" w:rsidRPr="006852FE" w:rsidRDefault="00CF6ED8" w:rsidP="00CF6ED8">
      <w:pPr>
        <w:rPr>
          <w:b/>
        </w:rPr>
      </w:pPr>
      <w:r w:rsidRPr="006852FE">
        <w:rPr>
          <w:b/>
        </w:rPr>
        <w:t>Proposals for amendments to the Regulations annexed to ADN:</w:t>
      </w:r>
    </w:p>
    <w:p w14:paraId="63C3B134" w14:textId="77777777" w:rsidR="00CF6ED8" w:rsidRPr="006852FE" w:rsidRDefault="00CF6ED8" w:rsidP="00CF6ED8">
      <w:pPr>
        <w:rPr>
          <w:b/>
        </w:rPr>
      </w:pPr>
      <w:r w:rsidRPr="006852FE">
        <w:rPr>
          <w:b/>
        </w:rPr>
        <w:t>other proposals</w:t>
      </w:r>
    </w:p>
    <w:p w14:paraId="27D5FAD2" w14:textId="77777777" w:rsidR="00966F19" w:rsidRPr="006852FE" w:rsidRDefault="00966F19" w:rsidP="00966F19">
      <w:pPr>
        <w:pStyle w:val="HChG"/>
      </w:pPr>
      <w:r w:rsidRPr="006852FE">
        <w:tab/>
      </w:r>
      <w:r w:rsidRPr="006852FE">
        <w:tab/>
        <w:t xml:space="preserve">Proposal for </w:t>
      </w:r>
      <w:r>
        <w:t xml:space="preserve">amendments concerning the reference to the </w:t>
      </w:r>
      <w:r w:rsidRPr="00C061E5">
        <w:t>Convention for Safe Containers</w:t>
      </w:r>
      <w:r>
        <w:t xml:space="preserve"> and the IMDG code</w:t>
      </w:r>
    </w:p>
    <w:p w14:paraId="570421BB" w14:textId="53BB1DC5" w:rsidR="00966F19" w:rsidRPr="006852FE" w:rsidRDefault="00966F19" w:rsidP="00966F19">
      <w:pPr>
        <w:pStyle w:val="H1G"/>
      </w:pPr>
      <w:r w:rsidRPr="006852FE">
        <w:tab/>
      </w:r>
      <w:r w:rsidRPr="006852FE">
        <w:tab/>
        <w:t>Transmitted by the Government of Belgium</w:t>
      </w:r>
      <w:r w:rsidR="00F13FB4" w:rsidRPr="0097044D">
        <w:rPr>
          <w:rFonts w:eastAsia="Calibri"/>
          <w:b w:val="0"/>
          <w:bCs/>
          <w:sz w:val="20"/>
        </w:rPr>
        <w:footnoteReference w:customMarkFollows="1" w:id="2"/>
        <w:t>*</w:t>
      </w:r>
      <w:r w:rsidR="00F13FB4" w:rsidRPr="0097044D">
        <w:rPr>
          <w:b w:val="0"/>
          <w:bCs/>
          <w:position w:val="8"/>
          <w:sz w:val="20"/>
        </w:rPr>
        <w:t>,</w:t>
      </w:r>
      <w:r w:rsidR="00F13FB4" w:rsidRPr="0097044D">
        <w:rPr>
          <w:b w:val="0"/>
          <w:bCs/>
          <w:sz w:val="20"/>
        </w:rPr>
        <w:t xml:space="preserve"> </w:t>
      </w:r>
      <w:r w:rsidR="00F13FB4" w:rsidRPr="0097044D">
        <w:rPr>
          <w:rFonts w:eastAsia="Calibri"/>
          <w:b w:val="0"/>
          <w:bCs/>
          <w:sz w:val="20"/>
        </w:rPr>
        <w:footnoteReference w:customMarkFollows="1" w:id="3"/>
        <w:t>**</w:t>
      </w:r>
    </w:p>
    <w:p w14:paraId="548EDBCC" w14:textId="77777777" w:rsidR="00966F19" w:rsidRPr="006852FE" w:rsidRDefault="00966F19" w:rsidP="00966F19">
      <w:pPr>
        <w:pStyle w:val="HChG"/>
      </w:pPr>
      <w:r w:rsidRPr="006852FE">
        <w:tab/>
      </w:r>
      <w:r w:rsidRPr="006852FE">
        <w:tab/>
        <w:t>Introduction</w:t>
      </w:r>
    </w:p>
    <w:p w14:paraId="07930B49" w14:textId="4C71F0A6" w:rsidR="00966F19" w:rsidRPr="00966F19" w:rsidRDefault="00966F19" w:rsidP="00966F19">
      <w:pPr>
        <w:pStyle w:val="SingleTxtG"/>
      </w:pPr>
      <w:bookmarkStart w:id="0" w:name="_Hlk87882230"/>
      <w:r w:rsidRPr="00966F19">
        <w:t>1.</w:t>
      </w:r>
      <w:r w:rsidRPr="00966F19">
        <w:tab/>
        <w:t xml:space="preserve">It regularly happens that a damaged container unloaded from a seagoing vessel ends up at a terminal in the port of Antwerp or Zeebrugge. In principle, it is not allowed to transport this container towards an inland destination without the permission of the competent authority. The regulation annexed to the ADR (or RID) contains provisions referring to the </w:t>
      </w:r>
      <w:bookmarkStart w:id="1" w:name="_Hlk167369826"/>
      <w:r w:rsidRPr="00966F19">
        <w:t xml:space="preserve">Convention for Safe Containers </w:t>
      </w:r>
      <w:bookmarkEnd w:id="1"/>
      <w:r w:rsidRPr="00966F19">
        <w:t>(CSC), but no such provisions appear in the ADN. Reference is made only to the definition of CSC under 1.2.1 of the ADN. This makes it difficult to handle according to a legal basis under which the transport of a damaged container with dangerous goods by an inland waterway vessel</w:t>
      </w:r>
      <w:r w:rsidR="006113D3">
        <w:t xml:space="preserve"> is allowed</w:t>
      </w:r>
      <w:r w:rsidRPr="00966F19">
        <w:t>. Moreover, it is not clearly stipulated in the ADN that such container should meet the requirements of CSC.</w:t>
      </w:r>
    </w:p>
    <w:bookmarkEnd w:id="0"/>
    <w:p w14:paraId="2F24B1C2" w14:textId="77777777" w:rsidR="00966F19" w:rsidRPr="006852FE" w:rsidRDefault="00966F19" w:rsidP="00966F19">
      <w:pPr>
        <w:pStyle w:val="HChG"/>
      </w:pPr>
      <w:r w:rsidRPr="006852FE">
        <w:tab/>
      </w:r>
      <w:r w:rsidRPr="006852FE">
        <w:tab/>
      </w:r>
      <w:r>
        <w:t xml:space="preserve">Problem </w:t>
      </w:r>
      <w:r w:rsidRPr="00966F19">
        <w:t>description</w:t>
      </w:r>
    </w:p>
    <w:p w14:paraId="2DC428D5" w14:textId="77777777" w:rsidR="00966F19" w:rsidRDefault="00966F19" w:rsidP="00966F19">
      <w:pPr>
        <w:pStyle w:val="SingleTxtG"/>
      </w:pPr>
      <w:r>
        <w:t>2</w:t>
      </w:r>
      <w:r w:rsidRPr="006852FE">
        <w:t>.</w:t>
      </w:r>
      <w:r w:rsidRPr="006852FE">
        <w:tab/>
      </w:r>
      <w:r>
        <w:t xml:space="preserve">In the </w:t>
      </w:r>
      <w:r w:rsidRPr="00966F19">
        <w:t>regulation</w:t>
      </w:r>
      <w:r>
        <w:t xml:space="preserve"> annexed to the ADR (or RID) we notice a prescription in section 7.1.3 which provides an obligation to meet the requirements of CSC:</w:t>
      </w:r>
    </w:p>
    <w:p w14:paraId="595F468C" w14:textId="0F2DB5DE" w:rsidR="00966F19" w:rsidRPr="00966F19" w:rsidRDefault="005A006F" w:rsidP="002D5A8F">
      <w:pPr>
        <w:pStyle w:val="SingleTxtG"/>
        <w:ind w:left="1701"/>
      </w:pPr>
      <w:bookmarkStart w:id="2" w:name="_Hlk167354770"/>
      <w:r>
        <w:t>"</w:t>
      </w:r>
      <w:r w:rsidR="00966F19" w:rsidRPr="00966F19">
        <w:t xml:space="preserve">Large containers, portable tanks, MEGCs and tank-containers which meet the definition of </w:t>
      </w:r>
      <w:r w:rsidR="00584E5D">
        <w:t>'</w:t>
      </w:r>
      <w:r w:rsidR="00966F19" w:rsidRPr="00966F19">
        <w:t>container</w:t>
      </w:r>
      <w:r w:rsidR="00584E5D">
        <w:t>'</w:t>
      </w:r>
      <w:r w:rsidR="00966F19" w:rsidRPr="00966F19">
        <w:t xml:space="preserve"> given in the CSC (1972), as amended, or in IRS 50591 (Roller units for horizontal transhipment </w:t>
      </w:r>
      <w:r w:rsidR="00EB2A92" w:rsidRPr="00567118">
        <w:rPr>
          <w:lang w:val="en-US"/>
        </w:rPr>
        <w:t>—</w:t>
      </w:r>
      <w:r w:rsidR="00966F19" w:rsidRPr="00966F19">
        <w:t xml:space="preserve"> Technical conditions governing their use in </w:t>
      </w:r>
      <w:r w:rsidR="00966F19" w:rsidRPr="00966F19">
        <w:lastRenderedPageBreak/>
        <w:t xml:space="preserve">international traffic)1 and IRS 50592 (Intermodal Transport Units (other than semi-trailers) for vertical transhipment and suitable for carriage on wagons </w:t>
      </w:r>
      <w:r w:rsidR="00EB2A92">
        <w:t>—</w:t>
      </w:r>
      <w:r w:rsidR="00966F19" w:rsidRPr="00966F19">
        <w:t xml:space="preserve"> Minimum requirements)</w:t>
      </w:r>
      <w:r w:rsidR="00966F19" w:rsidRPr="002E2065">
        <w:rPr>
          <w:vertAlign w:val="superscript"/>
        </w:rPr>
        <w:t>2</w:t>
      </w:r>
      <w:r w:rsidR="00966F19" w:rsidRPr="00966F19">
        <w:t xml:space="preserve"> published by UIC may not be used to carry dangerous goods unless the large container or the frame of the portable tank, MEGC or tank-container satisfies the provisions of the CSC or of IRS 50591 and IRS 50592 of UIC.</w:t>
      </w:r>
      <w:bookmarkEnd w:id="2"/>
      <w:r>
        <w:t>"</w:t>
      </w:r>
    </w:p>
    <w:p w14:paraId="37225A87" w14:textId="14913A64" w:rsidR="00966F19" w:rsidRPr="00966F19" w:rsidRDefault="00966F19" w:rsidP="00966F19">
      <w:pPr>
        <w:pStyle w:val="SingleTxtG"/>
      </w:pPr>
      <w:r w:rsidRPr="00966F19">
        <w:t xml:space="preserve">Similar provisions are noted in chapters 6.7, 6.9 and 6.11 of the ADR and the reference to each chapter, respectively, of ADR is clearly made in </w:t>
      </w:r>
      <w:r w:rsidR="00BF56D0">
        <w:t>Chapter</w:t>
      </w:r>
      <w:r w:rsidRPr="00966F19">
        <w:t xml:space="preserve"> 6.1 of the regulations annexed to the ADN, but only in respect of construction and testing and not for operational use in part 7.</w:t>
      </w:r>
    </w:p>
    <w:p w14:paraId="3BF7B593" w14:textId="2279CEC5" w:rsidR="00966F19" w:rsidRPr="00966F19" w:rsidRDefault="00966F19" w:rsidP="00966F19">
      <w:pPr>
        <w:pStyle w:val="SingleTxtG"/>
      </w:pPr>
      <w:r w:rsidRPr="00966F19">
        <w:t>3.</w:t>
      </w:r>
      <w:r w:rsidRPr="00966F19">
        <w:tab/>
        <w:t xml:space="preserve">Also in the </w:t>
      </w:r>
      <w:r w:rsidR="00EA1B67" w:rsidRPr="00EA1B67">
        <w:t>International Maritime Dangerous Goods</w:t>
      </w:r>
      <w:r w:rsidR="00EA1B67">
        <w:t xml:space="preserve"> (</w:t>
      </w:r>
      <w:r w:rsidRPr="00966F19">
        <w:t>IMDG</w:t>
      </w:r>
      <w:r w:rsidR="00EA1B67">
        <w:t>)</w:t>
      </w:r>
      <w:r w:rsidRPr="00966F19">
        <w:t xml:space="preserve"> </w:t>
      </w:r>
      <w:r w:rsidR="000B755E">
        <w:t>C</w:t>
      </w:r>
      <w:r w:rsidR="000B755E" w:rsidRPr="00966F19">
        <w:t xml:space="preserve">ode </w:t>
      </w:r>
      <w:r w:rsidRPr="00966F19">
        <w:t>(Amendment 41-22) there is a clear reference to CSC in subsection 7.3.2.2:</w:t>
      </w:r>
    </w:p>
    <w:p w14:paraId="28FD9BA6" w14:textId="50A17858" w:rsidR="00966F19" w:rsidRPr="00966F19" w:rsidRDefault="00E64578" w:rsidP="009A2B76">
      <w:pPr>
        <w:pStyle w:val="SingleTxtG"/>
        <w:ind w:left="1701"/>
      </w:pPr>
      <w:r>
        <w:t>"</w:t>
      </w:r>
      <w:r w:rsidR="00966F19" w:rsidRPr="00966F19">
        <w:t xml:space="preserve">Unless otherwise specified, the applicable provisions of the International Convention for Safe Containers, 1972 (CSC Convention), as amended, shall be followed for the use of any cargo transport unit which meets the definition of a </w:t>
      </w:r>
      <w:r w:rsidR="00EA0DBA">
        <w:t>'</w:t>
      </w:r>
      <w:r w:rsidR="00966F19" w:rsidRPr="00966F19">
        <w:t>container</w:t>
      </w:r>
      <w:r w:rsidR="00EA0DBA">
        <w:t>'</w:t>
      </w:r>
      <w:r w:rsidR="00966F19" w:rsidRPr="00966F19">
        <w:t xml:space="preserve"> within the terms of that Convention.</w:t>
      </w:r>
      <w:r>
        <w:t>"</w:t>
      </w:r>
    </w:p>
    <w:p w14:paraId="24490194" w14:textId="77777777" w:rsidR="00966F19" w:rsidRPr="00966F19" w:rsidRDefault="00966F19" w:rsidP="00966F19">
      <w:pPr>
        <w:pStyle w:val="SingleTxtG"/>
      </w:pPr>
      <w:r w:rsidRPr="00966F19">
        <w:t>and there is even a possibility for a derogation on CSC in 7.3.2.3:</w:t>
      </w:r>
    </w:p>
    <w:p w14:paraId="1FCE4F2D" w14:textId="17ABB6E6" w:rsidR="00966F19" w:rsidRPr="00966F19" w:rsidRDefault="00E64578" w:rsidP="00EA0DBA">
      <w:pPr>
        <w:pStyle w:val="SingleTxtG"/>
        <w:ind w:left="1701"/>
      </w:pPr>
      <w:r>
        <w:t>"</w:t>
      </w:r>
      <w:r w:rsidR="00966F19" w:rsidRPr="00966F19">
        <w:t xml:space="preserve">The International Convention for Safe Containers, 1972 (CSC Convention) does not apply to offshore containers that are handled in open seas. The design and testing of offshore containers shall take into account the dynamic lifting and impact forces that may occur when a container is handled in open seas in adverse weather and sea conditions. The requirements for such containers shall be determined by the approving competent authority. Such provisions should be based on the Guidelines for the approval of offshore containers handled in open seas (MSC/Circ.860). Such containers shall be clearly marked with the words </w:t>
      </w:r>
      <w:r w:rsidR="00C759CB">
        <w:t>'</w:t>
      </w:r>
      <w:r w:rsidR="00966F19" w:rsidRPr="00966F19">
        <w:t>OFFSHORE CONTAINER</w:t>
      </w:r>
      <w:r w:rsidR="00C759CB">
        <w:t>'</w:t>
      </w:r>
      <w:r w:rsidR="00966F19" w:rsidRPr="00966F19">
        <w:t xml:space="preserve"> on the safety approval plate.</w:t>
      </w:r>
      <w:r>
        <w:t>"</w:t>
      </w:r>
    </w:p>
    <w:p w14:paraId="48C044F8" w14:textId="629FD134" w:rsidR="00966F19" w:rsidRPr="00966F19" w:rsidRDefault="00966F19" w:rsidP="00966F19">
      <w:pPr>
        <w:pStyle w:val="SingleTxtG"/>
      </w:pPr>
      <w:r w:rsidRPr="00966F19">
        <w:t>4.</w:t>
      </w:r>
      <w:r w:rsidRPr="00966F19">
        <w:tab/>
        <w:t xml:space="preserve">In </w:t>
      </w:r>
      <w:r w:rsidR="006113D3">
        <w:t>C</w:t>
      </w:r>
      <w:r w:rsidR="006113D3" w:rsidRPr="00966F19">
        <w:t xml:space="preserve">hapter </w:t>
      </w:r>
      <w:r w:rsidRPr="00966F19">
        <w:t xml:space="preserve">7.1 of the </w:t>
      </w:r>
      <w:r w:rsidR="006113D3">
        <w:t>R</w:t>
      </w:r>
      <w:r w:rsidR="006113D3" w:rsidRPr="00966F19">
        <w:t xml:space="preserve">egulations </w:t>
      </w:r>
      <w:r w:rsidRPr="00966F19">
        <w:t xml:space="preserve">annexed to the ADN, there is no reference to CSC and even </w:t>
      </w:r>
      <w:r w:rsidR="006113D3">
        <w:t>P</w:t>
      </w:r>
      <w:r w:rsidR="006113D3" w:rsidRPr="00966F19">
        <w:t xml:space="preserve">art </w:t>
      </w:r>
      <w:r w:rsidRPr="00966F19">
        <w:t xml:space="preserve">4 does not make a clear reference to section 7.1.3 of the ADR (or RID). If no provision is available in the </w:t>
      </w:r>
      <w:r w:rsidR="006113D3">
        <w:t>R</w:t>
      </w:r>
      <w:r w:rsidR="006113D3" w:rsidRPr="00966F19">
        <w:t>egulation</w:t>
      </w:r>
      <w:r w:rsidR="006113D3">
        <w:t>s</w:t>
      </w:r>
      <w:r w:rsidR="006113D3" w:rsidRPr="00966F19">
        <w:t xml:space="preserve"> </w:t>
      </w:r>
      <w:r w:rsidRPr="00966F19">
        <w:t xml:space="preserve">annexed to the ADN, there is no possibility for the competent authority to </w:t>
      </w:r>
      <w:r w:rsidR="0096471A">
        <w:t>grant</w:t>
      </w:r>
      <w:r w:rsidR="0096471A" w:rsidRPr="00966F19">
        <w:t xml:space="preserve"> </w:t>
      </w:r>
      <w:r w:rsidRPr="00966F19">
        <w:t>a derogation</w:t>
      </w:r>
      <w:r w:rsidR="00F81293">
        <w:t xml:space="preserve"> </w:t>
      </w:r>
      <w:r w:rsidR="0096471A">
        <w:t>under</w:t>
      </w:r>
      <w:r w:rsidRPr="00966F19">
        <w:t xml:space="preserve"> </w:t>
      </w:r>
      <w:r w:rsidR="00F215BD">
        <w:t>any</w:t>
      </w:r>
      <w:r w:rsidR="00587074">
        <w:t xml:space="preserve"> </w:t>
      </w:r>
      <w:r w:rsidRPr="00966F19">
        <w:t>article</w:t>
      </w:r>
      <w:r w:rsidR="001A58FF">
        <w:t>.</w:t>
      </w:r>
    </w:p>
    <w:p w14:paraId="1322ACD9" w14:textId="28299960" w:rsidR="00966F19" w:rsidRPr="00966F19" w:rsidRDefault="00966F19" w:rsidP="00966F19">
      <w:pPr>
        <w:pStyle w:val="SingleTxtG"/>
      </w:pPr>
      <w:r w:rsidRPr="00966F19">
        <w:t>5.</w:t>
      </w:r>
      <w:r w:rsidRPr="00966F19">
        <w:tab/>
        <w:t xml:space="preserve">The Belgian delegation also noted that in 4.1.4 only reference is made to ADR/RID, but not to </w:t>
      </w:r>
      <w:r w:rsidR="002E4642">
        <w:t>P</w:t>
      </w:r>
      <w:r w:rsidR="002E4642" w:rsidRPr="00966F19">
        <w:t xml:space="preserve">art </w:t>
      </w:r>
      <w:r w:rsidRPr="00966F19">
        <w:t xml:space="preserve">6 of </w:t>
      </w:r>
      <w:r w:rsidR="000B755E">
        <w:t xml:space="preserve">the </w:t>
      </w:r>
      <w:r w:rsidRPr="00966F19">
        <w:t>IMDG</w:t>
      </w:r>
      <w:r w:rsidR="000B755E">
        <w:t xml:space="preserve"> Code</w:t>
      </w:r>
      <w:r w:rsidRPr="00966F19">
        <w:t>:</w:t>
      </w:r>
    </w:p>
    <w:p w14:paraId="344DB0A3" w14:textId="74AC3F7A" w:rsidR="00966F19" w:rsidRPr="00966F19" w:rsidRDefault="00E64578" w:rsidP="00C759CB">
      <w:pPr>
        <w:pStyle w:val="SingleTxtG"/>
        <w:ind w:left="1701"/>
      </w:pPr>
      <w:r>
        <w:t>"</w:t>
      </w:r>
      <w:r w:rsidR="00966F19" w:rsidRPr="00966F19">
        <w:t xml:space="preserve">Only </w:t>
      </w:r>
      <w:proofErr w:type="spellStart"/>
      <w:r w:rsidR="00966F19" w:rsidRPr="00966F19">
        <w:t>packagings</w:t>
      </w:r>
      <w:proofErr w:type="spellEnd"/>
      <w:r w:rsidR="00966F19" w:rsidRPr="00966F19">
        <w:t xml:space="preserve"> and tanks which meet the requirements of Part 6 of ADR or RID may be used.</w:t>
      </w:r>
      <w:r>
        <w:t>"</w:t>
      </w:r>
    </w:p>
    <w:p w14:paraId="237E32B6" w14:textId="73B5DB94" w:rsidR="00966F19" w:rsidRPr="00966F19" w:rsidRDefault="00966F19" w:rsidP="00966F19">
      <w:pPr>
        <w:pStyle w:val="SingleTxtG"/>
      </w:pPr>
      <w:r w:rsidRPr="00966F19">
        <w:t>6.</w:t>
      </w:r>
      <w:r w:rsidRPr="00966F19">
        <w:tab/>
        <w:t xml:space="preserve">In the ADN, </w:t>
      </w:r>
      <w:r w:rsidR="00BF56D0">
        <w:t>Chapter</w:t>
      </w:r>
      <w:r w:rsidRPr="00966F19">
        <w:t xml:space="preserve"> 6.1 section 6.1.2 a reference is made to </w:t>
      </w:r>
      <w:r w:rsidR="00BF56D0">
        <w:t>Chapter</w:t>
      </w:r>
      <w:r w:rsidRPr="00966F19">
        <w:t xml:space="preserve"> 6.7 of IMDG or, if appropriate, </w:t>
      </w:r>
      <w:r w:rsidR="00BF56D0">
        <w:t>Chapter</w:t>
      </w:r>
      <w:r w:rsidRPr="00966F19">
        <w:t xml:space="preserve"> 6.9. However, </w:t>
      </w:r>
      <w:r w:rsidR="00BF56D0">
        <w:t>Chapter</w:t>
      </w:r>
      <w:r w:rsidRPr="00966F19">
        <w:t xml:space="preserve"> 6.9 deals with bulk containers (BK1 / BK2 / BK3) and has nothing to do with portable tanks. The Belgian delegation also noted that there is no reference to the provisions for the design, construction, inspection and testing of portable tanks with shells made of fibre-reinforced plastics (FRP) materials as provided in </w:t>
      </w:r>
      <w:r w:rsidR="00BF56D0">
        <w:t>Chapter</w:t>
      </w:r>
      <w:r w:rsidRPr="00966F19">
        <w:t xml:space="preserve"> 6.10 of the IMDG code.</w:t>
      </w:r>
    </w:p>
    <w:p w14:paraId="3B6C2D42" w14:textId="70C94A6B" w:rsidR="00966F19" w:rsidRPr="00966F19" w:rsidRDefault="00E64578" w:rsidP="007A388E">
      <w:pPr>
        <w:pStyle w:val="SingleTxtG"/>
        <w:ind w:left="1701"/>
      </w:pPr>
      <w:r>
        <w:t>"</w:t>
      </w:r>
      <w:r w:rsidR="00966F19" w:rsidRPr="00966F19">
        <w:t>Portable tanks may also meet the requirements of Chapter 6.7 or, if appropriate, Chapter 6.9 of the IMDG Code.</w:t>
      </w:r>
      <w:r>
        <w:t>"</w:t>
      </w:r>
    </w:p>
    <w:p w14:paraId="6BE7131C" w14:textId="77777777" w:rsidR="00966F19" w:rsidRPr="006852FE" w:rsidRDefault="00966F19" w:rsidP="00966F19">
      <w:pPr>
        <w:pStyle w:val="HChG"/>
      </w:pPr>
      <w:r w:rsidRPr="006852FE">
        <w:tab/>
      </w:r>
      <w:r w:rsidRPr="006852FE">
        <w:tab/>
      </w:r>
      <w:r w:rsidRPr="00966F19">
        <w:t>Proposal</w:t>
      </w:r>
      <w:r>
        <w:t xml:space="preserve"> for amendment</w:t>
      </w:r>
    </w:p>
    <w:p w14:paraId="1AD517BA" w14:textId="77777777" w:rsidR="00966F19" w:rsidRPr="00966F19" w:rsidRDefault="00966F19" w:rsidP="00966F19">
      <w:pPr>
        <w:pStyle w:val="SingleTxtG"/>
      </w:pPr>
      <w:r w:rsidRPr="00966F19">
        <w:t>7.</w:t>
      </w:r>
      <w:r w:rsidRPr="00966F19">
        <w:tab/>
        <w:t>The Belgian delegation proposes to add a subsection 7.1.3.2 and amend the reserved subsections as follows (changes are bold, text to be deleted is stricken through):</w:t>
      </w:r>
    </w:p>
    <w:p w14:paraId="7BFC0C77" w14:textId="77777777" w:rsidR="00966F19" w:rsidRPr="007A388E" w:rsidRDefault="00966F19" w:rsidP="00966F19">
      <w:pPr>
        <w:pStyle w:val="SingleTxtG"/>
        <w:rPr>
          <w:strike/>
        </w:rPr>
      </w:pPr>
      <w:r w:rsidRPr="007A388E">
        <w:rPr>
          <w:strike/>
        </w:rPr>
        <w:t>7.1.3.2 to 7.1.3.14</w:t>
      </w:r>
      <w:r w:rsidRPr="007A388E">
        <w:rPr>
          <w:strike/>
        </w:rPr>
        <w:tab/>
        <w:t>(Reserved)</w:t>
      </w:r>
    </w:p>
    <w:p w14:paraId="0F771F87" w14:textId="78F72E24" w:rsidR="00966F19" w:rsidRPr="007A388E" w:rsidRDefault="00966F19" w:rsidP="00395E17">
      <w:pPr>
        <w:pStyle w:val="SingleTxtG"/>
        <w:tabs>
          <w:tab w:val="clear" w:pos="1701"/>
        </w:tabs>
        <w:ind w:left="2268" w:hanging="1134"/>
        <w:rPr>
          <w:b/>
          <w:bCs/>
        </w:rPr>
      </w:pPr>
      <w:r w:rsidRPr="007A388E">
        <w:rPr>
          <w:b/>
          <w:bCs/>
        </w:rPr>
        <w:t>7.1.3.2</w:t>
      </w:r>
      <w:r w:rsidR="007A388E" w:rsidRPr="007A388E">
        <w:rPr>
          <w:b/>
          <w:bCs/>
        </w:rPr>
        <w:tab/>
      </w:r>
      <w:r w:rsidRPr="007A388E">
        <w:rPr>
          <w:b/>
          <w:bCs/>
        </w:rPr>
        <w:t>Large containers, portable tanks, MEGCs and tank-containers which meet the definition of "container" given in the CSC (1972), as amended, or in IRS 50591 (Roller units for horizontal transhipment – Technical conditions governing their use in international traffic)</w:t>
      </w:r>
      <w:r w:rsidRPr="002E2065">
        <w:rPr>
          <w:b/>
          <w:bCs/>
          <w:vertAlign w:val="superscript"/>
        </w:rPr>
        <w:t>1</w:t>
      </w:r>
      <w:r w:rsidRPr="007A388E">
        <w:rPr>
          <w:b/>
          <w:bCs/>
        </w:rPr>
        <w:t xml:space="preserve"> and IRS 50592 (Intermodal Transport Units (other than semi-trailers) for vertical </w:t>
      </w:r>
      <w:r w:rsidRPr="007A388E">
        <w:rPr>
          <w:b/>
          <w:bCs/>
        </w:rPr>
        <w:lastRenderedPageBreak/>
        <w:t>transhipment and suitable for carriage on wagons – Minimum requirements)</w:t>
      </w:r>
      <w:r w:rsidRPr="002E2065">
        <w:rPr>
          <w:b/>
          <w:bCs/>
          <w:vertAlign w:val="superscript"/>
        </w:rPr>
        <w:t>2</w:t>
      </w:r>
      <w:r w:rsidRPr="007A388E">
        <w:rPr>
          <w:b/>
          <w:bCs/>
        </w:rPr>
        <w:t xml:space="preserve"> published by UIC may not be used to carry dangerous goods unless the large container or the frame of the portable tank, MEGC or tank-container satisfies the provisions of the CSC or of IRS 50591 and IRS 50592 of UIC.</w:t>
      </w:r>
    </w:p>
    <w:p w14:paraId="68013FE7" w14:textId="77777777" w:rsidR="00966F19" w:rsidRPr="007A388E" w:rsidRDefault="00966F19" w:rsidP="00966F19">
      <w:pPr>
        <w:pStyle w:val="SingleTxtG"/>
        <w:rPr>
          <w:b/>
          <w:bCs/>
        </w:rPr>
      </w:pPr>
      <w:r w:rsidRPr="007A388E">
        <w:rPr>
          <w:b/>
          <w:bCs/>
        </w:rPr>
        <w:t>7.1.3.3 to 7.1.3.14</w:t>
      </w:r>
      <w:r w:rsidRPr="007A388E">
        <w:rPr>
          <w:b/>
          <w:bCs/>
        </w:rPr>
        <w:tab/>
        <w:t>(Reserved)</w:t>
      </w:r>
    </w:p>
    <w:p w14:paraId="12FD7429" w14:textId="5BE13279" w:rsidR="00966F19" w:rsidRPr="00966F19" w:rsidRDefault="00966F19" w:rsidP="00966F19">
      <w:pPr>
        <w:pStyle w:val="SingleTxtG"/>
      </w:pPr>
      <w:r w:rsidRPr="00966F19">
        <w:t xml:space="preserve">and add the two footnotes </w:t>
      </w:r>
      <w:r w:rsidR="00A87C7A" w:rsidRPr="002E2065">
        <w:rPr>
          <w:vertAlign w:val="superscript"/>
        </w:rPr>
        <w:t>1</w:t>
      </w:r>
      <w:r w:rsidR="00A87C7A">
        <w:t xml:space="preserve"> and </w:t>
      </w:r>
      <w:r w:rsidR="00A87C7A" w:rsidRPr="002E2065">
        <w:rPr>
          <w:vertAlign w:val="superscript"/>
        </w:rPr>
        <w:t>2</w:t>
      </w:r>
      <w:r w:rsidR="00A87C7A">
        <w:t xml:space="preserve"> </w:t>
      </w:r>
      <w:r w:rsidRPr="00966F19">
        <w:t>on the bottom of the page</w:t>
      </w:r>
      <w:r w:rsidR="00A87C7A">
        <w:t>, as follows</w:t>
      </w:r>
      <w:r w:rsidRPr="00966F19">
        <w:t>:</w:t>
      </w:r>
    </w:p>
    <w:p w14:paraId="205E0A4F" w14:textId="77777777" w:rsidR="00966F19" w:rsidRPr="00E5269D" w:rsidRDefault="00966F19" w:rsidP="00A22F8C">
      <w:pPr>
        <w:pStyle w:val="SingleTxtG"/>
        <w:ind w:left="1701" w:hanging="567"/>
        <w:rPr>
          <w:b/>
          <w:bCs/>
        </w:rPr>
      </w:pPr>
      <w:r w:rsidRPr="00E5269D">
        <w:rPr>
          <w:b/>
          <w:bCs/>
          <w:vertAlign w:val="superscript"/>
        </w:rPr>
        <w:t>1</w:t>
      </w:r>
      <w:r w:rsidRPr="00E5269D">
        <w:rPr>
          <w:b/>
          <w:bCs/>
        </w:rPr>
        <w:tab/>
        <w:t>First edition of IRS (International Railway Solution) applicable as from 1 June 2020</w:t>
      </w:r>
    </w:p>
    <w:p w14:paraId="52BE4221" w14:textId="77777777" w:rsidR="00966F19" w:rsidRPr="00E5269D" w:rsidRDefault="00966F19" w:rsidP="00E5269D">
      <w:pPr>
        <w:pStyle w:val="SingleTxtG"/>
        <w:ind w:left="1701" w:hanging="567"/>
        <w:rPr>
          <w:b/>
          <w:bCs/>
        </w:rPr>
      </w:pPr>
      <w:r w:rsidRPr="00E5269D">
        <w:rPr>
          <w:b/>
          <w:bCs/>
          <w:vertAlign w:val="superscript"/>
        </w:rPr>
        <w:t>2</w:t>
      </w:r>
      <w:r w:rsidRPr="00E5269D">
        <w:rPr>
          <w:b/>
          <w:bCs/>
        </w:rPr>
        <w:tab/>
        <w:t>Second edition of IRS (International Railway Solution) applicable as from 1 December 2020</w:t>
      </w:r>
    </w:p>
    <w:p w14:paraId="40ECA72C" w14:textId="22B5C344" w:rsidR="00966F19" w:rsidRPr="00966F19" w:rsidRDefault="00966F19" w:rsidP="00966F19">
      <w:pPr>
        <w:pStyle w:val="SingleTxtG"/>
      </w:pPr>
      <w:r w:rsidRPr="00966F19">
        <w:t>8.</w:t>
      </w:r>
      <w:r w:rsidRPr="00966F19">
        <w:tab/>
        <w:t xml:space="preserve">The Belgian delegation proposes to amend section 4.1.4 </w:t>
      </w:r>
      <w:bookmarkStart w:id="3" w:name="_Hlk167367819"/>
      <w:r w:rsidRPr="00966F19">
        <w:t>as follows (changes are bold and underlined):</w:t>
      </w:r>
      <w:bookmarkEnd w:id="3"/>
    </w:p>
    <w:p w14:paraId="51D60BE4" w14:textId="6B317906" w:rsidR="00966F19" w:rsidRPr="003B0E92" w:rsidRDefault="00966F19" w:rsidP="00395E17">
      <w:pPr>
        <w:pStyle w:val="SingleTxtG"/>
        <w:tabs>
          <w:tab w:val="clear" w:pos="1701"/>
          <w:tab w:val="clear" w:pos="2268"/>
        </w:tabs>
        <w:ind w:left="2268" w:hanging="1134"/>
      </w:pPr>
      <w:r w:rsidRPr="003B0E92">
        <w:t>4.1.4</w:t>
      </w:r>
      <w:r w:rsidR="003E4AB9" w:rsidRPr="003B0E92">
        <w:tab/>
      </w:r>
      <w:r w:rsidRPr="003B0E92">
        <w:t xml:space="preserve">Only </w:t>
      </w:r>
      <w:proofErr w:type="spellStart"/>
      <w:r w:rsidRPr="003B0E92">
        <w:t>packagings</w:t>
      </w:r>
      <w:proofErr w:type="spellEnd"/>
      <w:r w:rsidRPr="003B0E92">
        <w:t xml:space="preserve"> and tanks which meet the requirements of Part 6 of ADR, RID </w:t>
      </w:r>
      <w:r w:rsidRPr="003B0E92">
        <w:rPr>
          <w:b/>
          <w:bCs/>
          <w:u w:val="single"/>
        </w:rPr>
        <w:t>or IMDG</w:t>
      </w:r>
      <w:r w:rsidRPr="002E2065">
        <w:rPr>
          <w:b/>
          <w:bCs/>
        </w:rPr>
        <w:t xml:space="preserve"> </w:t>
      </w:r>
      <w:r w:rsidR="00683E69" w:rsidRPr="002E2065">
        <w:rPr>
          <w:b/>
          <w:bCs/>
        </w:rPr>
        <w:t>Code</w:t>
      </w:r>
      <w:r w:rsidR="00683E69">
        <w:t xml:space="preserve"> </w:t>
      </w:r>
      <w:r w:rsidRPr="003B0E92">
        <w:t>may be used.</w:t>
      </w:r>
    </w:p>
    <w:p w14:paraId="707C7A40" w14:textId="77777777" w:rsidR="00966F19" w:rsidRPr="00966F19" w:rsidRDefault="00966F19" w:rsidP="00966F19">
      <w:pPr>
        <w:pStyle w:val="SingleTxtG"/>
      </w:pPr>
      <w:r w:rsidRPr="00966F19">
        <w:t>9.</w:t>
      </w:r>
      <w:r w:rsidRPr="00966F19">
        <w:tab/>
        <w:t>The Belgian delegation proposes to amend section 6.1.2 as follows (changes are bold and underlined, text to be deleted is stricken through):</w:t>
      </w:r>
    </w:p>
    <w:p w14:paraId="726AD5E5" w14:textId="73F6D133" w:rsidR="00966F19" w:rsidRPr="001C783F" w:rsidRDefault="00966F19" w:rsidP="00395E17">
      <w:pPr>
        <w:pStyle w:val="SingleTxtG"/>
        <w:tabs>
          <w:tab w:val="clear" w:pos="1701"/>
          <w:tab w:val="clear" w:pos="2268"/>
        </w:tabs>
        <w:ind w:left="2268" w:hanging="1134"/>
      </w:pPr>
      <w:r w:rsidRPr="00966F19">
        <w:t>6.1.2</w:t>
      </w:r>
      <w:r w:rsidRPr="00966F19">
        <w:tab/>
      </w:r>
      <w:r w:rsidRPr="001C783F">
        <w:t xml:space="preserve">Portable tanks and </w:t>
      </w:r>
      <w:r w:rsidR="001C783F" w:rsidRPr="002E2065">
        <w:rPr>
          <w:b/>
          <w:bCs/>
        </w:rPr>
        <w:t>MEGCs</w:t>
      </w:r>
      <w:r w:rsidRPr="001C783F">
        <w:t xml:space="preserve"> may also meet the requirements of Chapter 6.7 </w:t>
      </w:r>
      <w:r w:rsidRPr="001C783F">
        <w:rPr>
          <w:strike/>
        </w:rPr>
        <w:t>or, if appropriate</w:t>
      </w:r>
      <w:r w:rsidRPr="001C783F">
        <w:t xml:space="preserve">, </w:t>
      </w:r>
      <w:r w:rsidRPr="001C783F">
        <w:rPr>
          <w:b/>
          <w:bCs/>
          <w:u w:val="single"/>
        </w:rPr>
        <w:t xml:space="preserve">of the IMDG Code. Bulk containers may also meet </w:t>
      </w:r>
      <w:bookmarkStart w:id="4" w:name="_Hlk167367456"/>
      <w:r w:rsidRPr="001C783F">
        <w:rPr>
          <w:b/>
          <w:bCs/>
          <w:u w:val="single"/>
        </w:rPr>
        <w:t>the requirements of</w:t>
      </w:r>
      <w:r w:rsidRPr="001C783F">
        <w:t xml:space="preserve"> Chapter 6.9 of the IMDG </w:t>
      </w:r>
      <w:r w:rsidR="0036515E">
        <w:t>C</w:t>
      </w:r>
      <w:r w:rsidR="0036515E" w:rsidRPr="001C783F">
        <w:t>ode</w:t>
      </w:r>
      <w:r w:rsidRPr="001C783F">
        <w:t xml:space="preserve">. </w:t>
      </w:r>
      <w:bookmarkEnd w:id="4"/>
      <w:r w:rsidRPr="001C783F">
        <w:rPr>
          <w:b/>
          <w:bCs/>
          <w:u w:val="single"/>
        </w:rPr>
        <w:t xml:space="preserve">Portable tanks with shells made of fibre-reinforced plastics (FRP) materials may also meet the requirements of Chapter 6.10 of the IMDG </w:t>
      </w:r>
      <w:r w:rsidR="0036515E">
        <w:rPr>
          <w:b/>
          <w:bCs/>
          <w:u w:val="single"/>
        </w:rPr>
        <w:t>C</w:t>
      </w:r>
      <w:r w:rsidR="0036515E" w:rsidRPr="001C783F">
        <w:rPr>
          <w:b/>
          <w:bCs/>
          <w:u w:val="single"/>
        </w:rPr>
        <w:t>ode</w:t>
      </w:r>
      <w:r w:rsidRPr="001C783F">
        <w:rPr>
          <w:b/>
          <w:bCs/>
          <w:u w:val="single"/>
        </w:rPr>
        <w:t>.</w:t>
      </w:r>
    </w:p>
    <w:p w14:paraId="1DE8474F" w14:textId="77777777" w:rsidR="00966F19" w:rsidRPr="006852FE" w:rsidRDefault="00966F19" w:rsidP="00966F19">
      <w:pPr>
        <w:pStyle w:val="HChG"/>
      </w:pPr>
      <w:r w:rsidRPr="006852FE">
        <w:tab/>
      </w:r>
      <w:r w:rsidRPr="006852FE">
        <w:tab/>
        <w:t>Justification</w:t>
      </w:r>
    </w:p>
    <w:p w14:paraId="73045998" w14:textId="367F0007" w:rsidR="00966F19" w:rsidRPr="00966F19" w:rsidRDefault="00966F19" w:rsidP="00966F19">
      <w:pPr>
        <w:pStyle w:val="SingleTxtG"/>
      </w:pPr>
      <w:r w:rsidRPr="00966F19">
        <w:t>10.</w:t>
      </w:r>
      <w:r w:rsidRPr="00966F19">
        <w:tab/>
        <w:t xml:space="preserve">The Belgian delegation is of the opinion that a simple definition of the CSC convention is not enough for a legal basis to use containers during transport of dangerous goods in an inland waterway vessel. Therefore, the provisions should be added to </w:t>
      </w:r>
      <w:r w:rsidR="00BF56D0">
        <w:t>Chapter</w:t>
      </w:r>
      <w:r w:rsidRPr="00966F19">
        <w:t xml:space="preserve"> 7 of the </w:t>
      </w:r>
      <w:r w:rsidR="00B145F2">
        <w:t>R</w:t>
      </w:r>
      <w:r w:rsidR="00B145F2" w:rsidRPr="00966F19">
        <w:t xml:space="preserve">egulations </w:t>
      </w:r>
      <w:r w:rsidRPr="00966F19">
        <w:t>annexed to the ADN.</w:t>
      </w:r>
    </w:p>
    <w:p w14:paraId="08EE0965" w14:textId="77777777" w:rsidR="00966F19" w:rsidRPr="00966F19" w:rsidRDefault="00966F19" w:rsidP="00966F19">
      <w:pPr>
        <w:pStyle w:val="SingleTxtG"/>
      </w:pPr>
      <w:r w:rsidRPr="00966F19">
        <w:t>11.</w:t>
      </w:r>
      <w:r w:rsidRPr="00966F19">
        <w:tab/>
        <w:t>The Belgian delegation also refers to the following Sustainable Development Goals:</w:t>
      </w:r>
    </w:p>
    <w:p w14:paraId="0A7E6951" w14:textId="31787321" w:rsidR="00966F19" w:rsidRPr="00966F19" w:rsidRDefault="00966F19" w:rsidP="00ED6EAB">
      <w:pPr>
        <w:pStyle w:val="Bullet1G"/>
      </w:pPr>
      <w:r w:rsidRPr="00966F19">
        <w:t xml:space="preserve">Goal 3: </w:t>
      </w:r>
      <w:r w:rsidRPr="002E2065">
        <w:rPr>
          <w:i/>
          <w:iCs/>
        </w:rPr>
        <w:t>Good health and well-being</w:t>
      </w:r>
      <w:r w:rsidR="009C7040" w:rsidRPr="009C7040">
        <w:rPr>
          <w:i/>
          <w:iCs/>
        </w:rPr>
        <w:t xml:space="preserve">; </w:t>
      </w:r>
      <w:r w:rsidR="009C7040">
        <w:t>as w</w:t>
      </w:r>
      <w:r w:rsidRPr="00966F19">
        <w:t>e may reduce health risks of hazardous materials</w:t>
      </w:r>
      <w:r w:rsidR="001A1826">
        <w:t>;</w:t>
      </w:r>
    </w:p>
    <w:p w14:paraId="0B5F975A" w14:textId="00320BC6" w:rsidR="00966F19" w:rsidRPr="00966F19" w:rsidRDefault="00966F19" w:rsidP="00ED6EAB">
      <w:pPr>
        <w:pStyle w:val="Bullet1G"/>
      </w:pPr>
      <w:r w:rsidRPr="00966F19">
        <w:t xml:space="preserve">Goal 8: </w:t>
      </w:r>
      <w:r w:rsidRPr="002E2065">
        <w:rPr>
          <w:i/>
          <w:iCs/>
        </w:rPr>
        <w:t>Decent work and economic growth</w:t>
      </w:r>
      <w:r w:rsidR="009C7040">
        <w:t xml:space="preserve">; </w:t>
      </w:r>
      <w:r w:rsidR="001A1826">
        <w:t>as h</w:t>
      </w:r>
      <w:r w:rsidRPr="00966F19">
        <w:t>erewith, a safer and more secure working environment will be achieved by removing the regulatory barrier.</w:t>
      </w:r>
    </w:p>
    <w:p w14:paraId="6D3E0A1F" w14:textId="77777777" w:rsidR="00966F19" w:rsidRPr="006852FE" w:rsidRDefault="00966F19" w:rsidP="00966F19">
      <w:pPr>
        <w:pStyle w:val="HChG"/>
      </w:pPr>
      <w:r w:rsidRPr="006852FE">
        <w:tab/>
      </w:r>
      <w:r w:rsidRPr="006852FE">
        <w:tab/>
        <w:t>Action to be taken</w:t>
      </w:r>
    </w:p>
    <w:p w14:paraId="00172A79" w14:textId="0F472D03" w:rsidR="00966F19" w:rsidRPr="006852FE" w:rsidRDefault="00966F19" w:rsidP="00966F19">
      <w:pPr>
        <w:pStyle w:val="SingleTxtG"/>
      </w:pPr>
      <w:r>
        <w:t>12</w:t>
      </w:r>
      <w:r w:rsidRPr="006852FE">
        <w:t>.</w:t>
      </w:r>
      <w:r w:rsidRPr="006852FE">
        <w:tab/>
        <w:t xml:space="preserve">The </w:t>
      </w:r>
      <w:r w:rsidR="00281EF0">
        <w:t xml:space="preserve">ADN </w:t>
      </w:r>
      <w:r w:rsidRPr="006852FE">
        <w:t>Safety Committee is invited to consider the proposed amendments in paragraph</w:t>
      </w:r>
      <w:r>
        <w:t xml:space="preserve">s 7 </w:t>
      </w:r>
      <w:r w:rsidR="0084560D">
        <w:t>to</w:t>
      </w:r>
      <w:r>
        <w:t xml:space="preserve"> 9</w:t>
      </w:r>
      <w:r w:rsidRPr="006852FE">
        <w:t xml:space="preserve"> above, and to take action as it deems appropriate.</w:t>
      </w:r>
    </w:p>
    <w:p w14:paraId="62580CF3" w14:textId="55FC7461" w:rsidR="001C6663" w:rsidRPr="00966F19" w:rsidRDefault="00966F19" w:rsidP="00966F19">
      <w:pPr>
        <w:spacing w:before="240"/>
        <w:jc w:val="center"/>
        <w:rPr>
          <w:u w:val="single"/>
        </w:rPr>
      </w:pPr>
      <w:r>
        <w:rPr>
          <w:u w:val="single"/>
        </w:rPr>
        <w:tab/>
      </w:r>
      <w:r>
        <w:rPr>
          <w:u w:val="single"/>
        </w:rPr>
        <w:tab/>
      </w:r>
      <w:r>
        <w:rPr>
          <w:u w:val="single"/>
        </w:rPr>
        <w:tab/>
      </w:r>
    </w:p>
    <w:sectPr w:rsidR="001C6663" w:rsidRPr="00966F19" w:rsidSect="00BF75B5">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B9654" w14:textId="77777777" w:rsidR="00714E8E" w:rsidRDefault="00714E8E"/>
  </w:endnote>
  <w:endnote w:type="continuationSeparator" w:id="0">
    <w:p w14:paraId="51FC46EC" w14:textId="77777777" w:rsidR="00714E8E" w:rsidRDefault="00714E8E"/>
  </w:endnote>
  <w:endnote w:type="continuationNotice" w:id="1">
    <w:p w14:paraId="7EE7AF2C" w14:textId="77777777" w:rsidR="00714E8E" w:rsidRDefault="00714E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9CB1" w14:textId="725F8490" w:rsidR="00BF75B5" w:rsidRPr="00BF75B5" w:rsidRDefault="00BF75B5" w:rsidP="00BF75B5">
    <w:pPr>
      <w:pStyle w:val="Footer"/>
      <w:tabs>
        <w:tab w:val="right" w:pos="9638"/>
      </w:tabs>
      <w:rPr>
        <w:sz w:val="18"/>
      </w:rPr>
    </w:pPr>
    <w:r w:rsidRPr="00BF75B5">
      <w:rPr>
        <w:b/>
        <w:sz w:val="18"/>
      </w:rPr>
      <w:fldChar w:fldCharType="begin"/>
    </w:r>
    <w:r w:rsidRPr="00BF75B5">
      <w:rPr>
        <w:b/>
        <w:sz w:val="18"/>
      </w:rPr>
      <w:instrText xml:space="preserve"> PAGE  \* MERGEFORMAT </w:instrText>
    </w:r>
    <w:r w:rsidRPr="00BF75B5">
      <w:rPr>
        <w:b/>
        <w:sz w:val="18"/>
      </w:rPr>
      <w:fldChar w:fldCharType="separate"/>
    </w:r>
    <w:r w:rsidRPr="00BF75B5">
      <w:rPr>
        <w:b/>
        <w:noProof/>
        <w:sz w:val="18"/>
      </w:rPr>
      <w:t>2</w:t>
    </w:r>
    <w:r w:rsidRPr="00BF75B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05D1" w14:textId="576A413F" w:rsidR="00BF75B5" w:rsidRPr="00BF75B5" w:rsidRDefault="00BF75B5" w:rsidP="00BF75B5">
    <w:pPr>
      <w:pStyle w:val="Footer"/>
      <w:tabs>
        <w:tab w:val="right" w:pos="9638"/>
      </w:tabs>
      <w:rPr>
        <w:b/>
        <w:sz w:val="18"/>
      </w:rPr>
    </w:pPr>
    <w:r>
      <w:tab/>
    </w:r>
    <w:r w:rsidRPr="00BF75B5">
      <w:rPr>
        <w:b/>
        <w:sz w:val="18"/>
      </w:rPr>
      <w:fldChar w:fldCharType="begin"/>
    </w:r>
    <w:r w:rsidRPr="00BF75B5">
      <w:rPr>
        <w:b/>
        <w:sz w:val="18"/>
      </w:rPr>
      <w:instrText xml:space="preserve"> PAGE  \* MERGEFORMAT </w:instrText>
    </w:r>
    <w:r w:rsidRPr="00BF75B5">
      <w:rPr>
        <w:b/>
        <w:sz w:val="18"/>
      </w:rPr>
      <w:fldChar w:fldCharType="separate"/>
    </w:r>
    <w:r w:rsidRPr="00BF75B5">
      <w:rPr>
        <w:b/>
        <w:noProof/>
        <w:sz w:val="18"/>
      </w:rPr>
      <w:t>3</w:t>
    </w:r>
    <w:r w:rsidRPr="00BF75B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9F8E" w14:textId="4C2ABC93" w:rsidR="00ED1ED2" w:rsidRDefault="00ED1ED2" w:rsidP="00ED1ED2">
    <w:pPr>
      <w:pStyle w:val="Footer"/>
    </w:pPr>
    <w:r w:rsidRPr="0027112F">
      <w:rPr>
        <w:noProof/>
        <w:lang w:val="en-US"/>
      </w:rPr>
      <w:drawing>
        <wp:anchor distT="0" distB="0" distL="114300" distR="114300" simplePos="0" relativeHeight="251659264" behindDoc="0" locked="1" layoutInCell="1" allowOverlap="1" wp14:anchorId="1E914179" wp14:editId="4589924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6F22490" w14:textId="7B8D9035" w:rsidR="00ED1ED2" w:rsidRPr="00ED1ED2" w:rsidRDefault="00ED1ED2" w:rsidP="00ED1ED2">
    <w:pPr>
      <w:pStyle w:val="Footer"/>
      <w:ind w:right="1134"/>
      <w:rPr>
        <w:sz w:val="20"/>
      </w:rPr>
    </w:pPr>
    <w:r>
      <w:rPr>
        <w:sz w:val="20"/>
      </w:rPr>
      <w:t>GE.24-10241  (E)</w:t>
    </w:r>
    <w:r>
      <w:rPr>
        <w:noProof/>
        <w:sz w:val="20"/>
      </w:rPr>
      <w:drawing>
        <wp:anchor distT="0" distB="0" distL="114300" distR="114300" simplePos="0" relativeHeight="251660288" behindDoc="0" locked="0" layoutInCell="1" allowOverlap="1" wp14:anchorId="4DD9E44F" wp14:editId="347DC7AE">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062CE" w14:textId="77777777" w:rsidR="00714E8E" w:rsidRPr="000B175B" w:rsidRDefault="00714E8E" w:rsidP="000B175B">
      <w:pPr>
        <w:tabs>
          <w:tab w:val="right" w:pos="2155"/>
        </w:tabs>
        <w:spacing w:after="80"/>
        <w:ind w:left="680"/>
        <w:rPr>
          <w:u w:val="single"/>
        </w:rPr>
      </w:pPr>
      <w:r>
        <w:rPr>
          <w:u w:val="single"/>
        </w:rPr>
        <w:tab/>
      </w:r>
    </w:p>
  </w:footnote>
  <w:footnote w:type="continuationSeparator" w:id="0">
    <w:p w14:paraId="5B14F13D" w14:textId="77777777" w:rsidR="00714E8E" w:rsidRPr="00FC68B7" w:rsidRDefault="00714E8E" w:rsidP="00FC68B7">
      <w:pPr>
        <w:tabs>
          <w:tab w:val="left" w:pos="2155"/>
        </w:tabs>
        <w:spacing w:after="80"/>
        <w:ind w:left="680"/>
        <w:rPr>
          <w:u w:val="single"/>
        </w:rPr>
      </w:pPr>
      <w:r>
        <w:rPr>
          <w:u w:val="single"/>
        </w:rPr>
        <w:tab/>
      </w:r>
    </w:p>
  </w:footnote>
  <w:footnote w:type="continuationNotice" w:id="1">
    <w:p w14:paraId="01DC657B" w14:textId="77777777" w:rsidR="00714E8E" w:rsidRDefault="00714E8E"/>
  </w:footnote>
  <w:footnote w:id="2">
    <w:p w14:paraId="05320089" w14:textId="1055A0B6" w:rsidR="00F13FB4" w:rsidRPr="007B5A13" w:rsidRDefault="00F13FB4" w:rsidP="00F13FB4">
      <w:pPr>
        <w:pStyle w:val="FootnoteText"/>
        <w:rPr>
          <w:sz w:val="16"/>
          <w:szCs w:val="16"/>
        </w:rPr>
      </w:pPr>
      <w:r>
        <w:tab/>
      </w:r>
      <w:r w:rsidRPr="00EC4DA1">
        <w:rPr>
          <w:sz w:val="20"/>
        </w:rPr>
        <w:t>*</w:t>
      </w:r>
      <w:r>
        <w:tab/>
        <w:t>Distributed in German by the Central Commission for the Navigation of the Rhine under the symbol CCNR-ZKR/ADN/WP.15/AC.2/2024/56</w:t>
      </w:r>
    </w:p>
  </w:footnote>
  <w:footnote w:id="3">
    <w:p w14:paraId="6A4B3CBE" w14:textId="77777777" w:rsidR="00F13FB4" w:rsidRPr="00971521" w:rsidRDefault="00F13FB4" w:rsidP="00F13FB4">
      <w:pPr>
        <w:pStyle w:val="FootnoteText"/>
        <w:rPr>
          <w:sz w:val="16"/>
          <w:szCs w:val="16"/>
        </w:rPr>
      </w:pPr>
      <w:r>
        <w:tab/>
      </w:r>
      <w:r w:rsidRPr="00EC4DA1">
        <w:rPr>
          <w:sz w:val="20"/>
        </w:rPr>
        <w:t>**</w:t>
      </w:r>
      <w:r>
        <w:tab/>
      </w:r>
      <w:r w:rsidRPr="009A2E80">
        <w:t>A/78/6 (Sect. 20), table 20.5</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646D" w14:textId="2EF75A00" w:rsidR="00BF75B5" w:rsidRPr="00BF75B5" w:rsidRDefault="00BF75B5">
    <w:pPr>
      <w:pStyle w:val="Header"/>
    </w:pPr>
    <w:r>
      <w:t>ECE/TRANS/WP.15/AC.2/2024/56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1240" w14:textId="2E93AA6C" w:rsidR="00BF75B5" w:rsidRPr="00BF75B5" w:rsidRDefault="00BF75B5" w:rsidP="00BF75B5">
    <w:pPr>
      <w:pStyle w:val="Header"/>
      <w:jc w:val="right"/>
    </w:pPr>
    <w:r>
      <w:t>ECE/TRANS/WP.15/AC.2/2024/56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E84723"/>
    <w:multiLevelType w:val="hybridMultilevel"/>
    <w:tmpl w:val="BADE48D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127500175">
    <w:abstractNumId w:val="1"/>
  </w:num>
  <w:num w:numId="2" w16cid:durableId="1587761641">
    <w:abstractNumId w:val="0"/>
  </w:num>
  <w:num w:numId="3" w16cid:durableId="552472783">
    <w:abstractNumId w:val="2"/>
  </w:num>
  <w:num w:numId="4" w16cid:durableId="419257952">
    <w:abstractNumId w:val="3"/>
  </w:num>
  <w:num w:numId="5" w16cid:durableId="1246500772">
    <w:abstractNumId w:val="8"/>
  </w:num>
  <w:num w:numId="6" w16cid:durableId="19015995">
    <w:abstractNumId w:val="9"/>
  </w:num>
  <w:num w:numId="7" w16cid:durableId="1864513159">
    <w:abstractNumId w:val="7"/>
  </w:num>
  <w:num w:numId="8" w16cid:durableId="1202551818">
    <w:abstractNumId w:val="6"/>
  </w:num>
  <w:num w:numId="9" w16cid:durableId="1749032991">
    <w:abstractNumId w:val="5"/>
  </w:num>
  <w:num w:numId="10" w16cid:durableId="280843571">
    <w:abstractNumId w:val="4"/>
  </w:num>
  <w:num w:numId="11" w16cid:durableId="1560484003">
    <w:abstractNumId w:val="15"/>
  </w:num>
  <w:num w:numId="12" w16cid:durableId="785542290">
    <w:abstractNumId w:val="14"/>
  </w:num>
  <w:num w:numId="13" w16cid:durableId="326401784">
    <w:abstractNumId w:val="10"/>
  </w:num>
  <w:num w:numId="14" w16cid:durableId="313024018">
    <w:abstractNumId w:val="12"/>
  </w:num>
  <w:num w:numId="15" w16cid:durableId="1830096808">
    <w:abstractNumId w:val="17"/>
  </w:num>
  <w:num w:numId="16" w16cid:durableId="1743411631">
    <w:abstractNumId w:val="13"/>
  </w:num>
  <w:num w:numId="17" w16cid:durableId="1455248139">
    <w:abstractNumId w:val="18"/>
  </w:num>
  <w:num w:numId="18" w16cid:durableId="1453552653">
    <w:abstractNumId w:val="19"/>
  </w:num>
  <w:num w:numId="19" w16cid:durableId="920068067">
    <w:abstractNumId w:val="11"/>
  </w:num>
  <w:num w:numId="20" w16cid:durableId="494150980">
    <w:abstractNumId w:val="11"/>
  </w:num>
  <w:num w:numId="21" w16cid:durableId="359673863">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5B5"/>
    <w:rsid w:val="00002A7D"/>
    <w:rsid w:val="000038A8"/>
    <w:rsid w:val="00006790"/>
    <w:rsid w:val="0002227A"/>
    <w:rsid w:val="00027624"/>
    <w:rsid w:val="00050F6B"/>
    <w:rsid w:val="000678CD"/>
    <w:rsid w:val="00072C8C"/>
    <w:rsid w:val="00081CE0"/>
    <w:rsid w:val="00084D30"/>
    <w:rsid w:val="00090320"/>
    <w:rsid w:val="00091B90"/>
    <w:rsid w:val="000931C0"/>
    <w:rsid w:val="0009732C"/>
    <w:rsid w:val="000A01F9"/>
    <w:rsid w:val="000A2E09"/>
    <w:rsid w:val="000B175B"/>
    <w:rsid w:val="000B3A0F"/>
    <w:rsid w:val="000B755E"/>
    <w:rsid w:val="000E0415"/>
    <w:rsid w:val="000F00D8"/>
    <w:rsid w:val="000F7715"/>
    <w:rsid w:val="00156B99"/>
    <w:rsid w:val="00166124"/>
    <w:rsid w:val="00174431"/>
    <w:rsid w:val="00184DDA"/>
    <w:rsid w:val="001900CD"/>
    <w:rsid w:val="001A0452"/>
    <w:rsid w:val="001A1826"/>
    <w:rsid w:val="001A58FF"/>
    <w:rsid w:val="001B4B04"/>
    <w:rsid w:val="001B5875"/>
    <w:rsid w:val="001C4B9C"/>
    <w:rsid w:val="001C6663"/>
    <w:rsid w:val="001C783F"/>
    <w:rsid w:val="001C7895"/>
    <w:rsid w:val="001D26DF"/>
    <w:rsid w:val="001E555D"/>
    <w:rsid w:val="001F1599"/>
    <w:rsid w:val="001F19C4"/>
    <w:rsid w:val="002043F0"/>
    <w:rsid w:val="00211E0B"/>
    <w:rsid w:val="00232575"/>
    <w:rsid w:val="00234401"/>
    <w:rsid w:val="00241FF3"/>
    <w:rsid w:val="00246ABF"/>
    <w:rsid w:val="00247258"/>
    <w:rsid w:val="00257CAC"/>
    <w:rsid w:val="00264441"/>
    <w:rsid w:val="0027237A"/>
    <w:rsid w:val="00281EF0"/>
    <w:rsid w:val="00290359"/>
    <w:rsid w:val="002974E9"/>
    <w:rsid w:val="002A7F94"/>
    <w:rsid w:val="002B109A"/>
    <w:rsid w:val="002C6D45"/>
    <w:rsid w:val="002D5A8F"/>
    <w:rsid w:val="002D6E53"/>
    <w:rsid w:val="002E2065"/>
    <w:rsid w:val="002E4642"/>
    <w:rsid w:val="002F046D"/>
    <w:rsid w:val="002F3023"/>
    <w:rsid w:val="00301764"/>
    <w:rsid w:val="003229D8"/>
    <w:rsid w:val="00336C97"/>
    <w:rsid w:val="00337F88"/>
    <w:rsid w:val="00342432"/>
    <w:rsid w:val="0035223F"/>
    <w:rsid w:val="00352D4B"/>
    <w:rsid w:val="0035638C"/>
    <w:rsid w:val="0036515E"/>
    <w:rsid w:val="00395E17"/>
    <w:rsid w:val="003A46BB"/>
    <w:rsid w:val="003A4EC7"/>
    <w:rsid w:val="003A7295"/>
    <w:rsid w:val="003B0E92"/>
    <w:rsid w:val="003B1F60"/>
    <w:rsid w:val="003C2CC4"/>
    <w:rsid w:val="003D4B23"/>
    <w:rsid w:val="003E278A"/>
    <w:rsid w:val="003E4AB9"/>
    <w:rsid w:val="00413520"/>
    <w:rsid w:val="00430D57"/>
    <w:rsid w:val="004325CB"/>
    <w:rsid w:val="00440A07"/>
    <w:rsid w:val="00462880"/>
    <w:rsid w:val="00476F24"/>
    <w:rsid w:val="004C55B0"/>
    <w:rsid w:val="004F6BA0"/>
    <w:rsid w:val="00503BEA"/>
    <w:rsid w:val="00533616"/>
    <w:rsid w:val="00535ABA"/>
    <w:rsid w:val="0053768B"/>
    <w:rsid w:val="005420F2"/>
    <w:rsid w:val="0054285C"/>
    <w:rsid w:val="00567118"/>
    <w:rsid w:val="00584173"/>
    <w:rsid w:val="00584E5D"/>
    <w:rsid w:val="00587074"/>
    <w:rsid w:val="00595520"/>
    <w:rsid w:val="005A006F"/>
    <w:rsid w:val="005A44B9"/>
    <w:rsid w:val="005B1BA0"/>
    <w:rsid w:val="005B3DB3"/>
    <w:rsid w:val="005D15CA"/>
    <w:rsid w:val="005D7969"/>
    <w:rsid w:val="005F08DF"/>
    <w:rsid w:val="005F3066"/>
    <w:rsid w:val="005F3E61"/>
    <w:rsid w:val="00604DDD"/>
    <w:rsid w:val="006113D3"/>
    <w:rsid w:val="006115CC"/>
    <w:rsid w:val="00611FC4"/>
    <w:rsid w:val="006176FB"/>
    <w:rsid w:val="00630FCB"/>
    <w:rsid w:val="00640B26"/>
    <w:rsid w:val="0065766B"/>
    <w:rsid w:val="006770B2"/>
    <w:rsid w:val="00683E69"/>
    <w:rsid w:val="00686A48"/>
    <w:rsid w:val="006940E1"/>
    <w:rsid w:val="006A3C72"/>
    <w:rsid w:val="006A7392"/>
    <w:rsid w:val="006B03A1"/>
    <w:rsid w:val="006B67D9"/>
    <w:rsid w:val="006C5535"/>
    <w:rsid w:val="006D0589"/>
    <w:rsid w:val="006E564B"/>
    <w:rsid w:val="006E7154"/>
    <w:rsid w:val="007003CD"/>
    <w:rsid w:val="0070701E"/>
    <w:rsid w:val="00714E8E"/>
    <w:rsid w:val="007173E0"/>
    <w:rsid w:val="00724A44"/>
    <w:rsid w:val="0072632A"/>
    <w:rsid w:val="007358E8"/>
    <w:rsid w:val="00736ECE"/>
    <w:rsid w:val="0074533B"/>
    <w:rsid w:val="007643BC"/>
    <w:rsid w:val="007801C5"/>
    <w:rsid w:val="00780C68"/>
    <w:rsid w:val="007959FE"/>
    <w:rsid w:val="00796224"/>
    <w:rsid w:val="007A0CF1"/>
    <w:rsid w:val="007A388E"/>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3023E"/>
    <w:rsid w:val="00842E16"/>
    <w:rsid w:val="0084560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471A"/>
    <w:rsid w:val="009662E6"/>
    <w:rsid w:val="00966F19"/>
    <w:rsid w:val="00966FD5"/>
    <w:rsid w:val="0097095E"/>
    <w:rsid w:val="00977EBC"/>
    <w:rsid w:val="0098592B"/>
    <w:rsid w:val="00985FC4"/>
    <w:rsid w:val="00990766"/>
    <w:rsid w:val="00991261"/>
    <w:rsid w:val="009964C4"/>
    <w:rsid w:val="009A2B76"/>
    <w:rsid w:val="009A7B81"/>
    <w:rsid w:val="009C7040"/>
    <w:rsid w:val="009D01C0"/>
    <w:rsid w:val="009D6A08"/>
    <w:rsid w:val="009E0A16"/>
    <w:rsid w:val="009E6CB7"/>
    <w:rsid w:val="009E7970"/>
    <w:rsid w:val="009F2EAC"/>
    <w:rsid w:val="009F57E3"/>
    <w:rsid w:val="00A10F4F"/>
    <w:rsid w:val="00A11067"/>
    <w:rsid w:val="00A1704A"/>
    <w:rsid w:val="00A22F8C"/>
    <w:rsid w:val="00A425EB"/>
    <w:rsid w:val="00A72F22"/>
    <w:rsid w:val="00A733BC"/>
    <w:rsid w:val="00A748A6"/>
    <w:rsid w:val="00A76A69"/>
    <w:rsid w:val="00A879A4"/>
    <w:rsid w:val="00A87C7A"/>
    <w:rsid w:val="00AA0FF8"/>
    <w:rsid w:val="00AC0F2C"/>
    <w:rsid w:val="00AC502A"/>
    <w:rsid w:val="00AF58C1"/>
    <w:rsid w:val="00B04A3F"/>
    <w:rsid w:val="00B06643"/>
    <w:rsid w:val="00B145F2"/>
    <w:rsid w:val="00B15055"/>
    <w:rsid w:val="00B20551"/>
    <w:rsid w:val="00B23D55"/>
    <w:rsid w:val="00B30179"/>
    <w:rsid w:val="00B33FC7"/>
    <w:rsid w:val="00B37B15"/>
    <w:rsid w:val="00B45C02"/>
    <w:rsid w:val="00B70B63"/>
    <w:rsid w:val="00B72A1E"/>
    <w:rsid w:val="00B80E45"/>
    <w:rsid w:val="00B81E12"/>
    <w:rsid w:val="00BA339B"/>
    <w:rsid w:val="00BB23CC"/>
    <w:rsid w:val="00BC1E7E"/>
    <w:rsid w:val="00BC74E9"/>
    <w:rsid w:val="00BE36A9"/>
    <w:rsid w:val="00BE618E"/>
    <w:rsid w:val="00BE7BEC"/>
    <w:rsid w:val="00BF0A5A"/>
    <w:rsid w:val="00BF0E63"/>
    <w:rsid w:val="00BF12A3"/>
    <w:rsid w:val="00BF16D7"/>
    <w:rsid w:val="00BF2373"/>
    <w:rsid w:val="00BF56D0"/>
    <w:rsid w:val="00BF75B5"/>
    <w:rsid w:val="00C0294F"/>
    <w:rsid w:val="00C044E2"/>
    <w:rsid w:val="00C048CB"/>
    <w:rsid w:val="00C066F3"/>
    <w:rsid w:val="00C408B7"/>
    <w:rsid w:val="00C411EB"/>
    <w:rsid w:val="00C463DD"/>
    <w:rsid w:val="00C745C3"/>
    <w:rsid w:val="00C759CB"/>
    <w:rsid w:val="00C978F5"/>
    <w:rsid w:val="00CA24A4"/>
    <w:rsid w:val="00CB348D"/>
    <w:rsid w:val="00CC08F2"/>
    <w:rsid w:val="00CD46F5"/>
    <w:rsid w:val="00CE3FE6"/>
    <w:rsid w:val="00CE4A8F"/>
    <w:rsid w:val="00CE78F6"/>
    <w:rsid w:val="00CF071D"/>
    <w:rsid w:val="00CF6ED8"/>
    <w:rsid w:val="00D0123D"/>
    <w:rsid w:val="00D12E0B"/>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B6908"/>
    <w:rsid w:val="00DC18AD"/>
    <w:rsid w:val="00DD54D1"/>
    <w:rsid w:val="00DE3291"/>
    <w:rsid w:val="00DF7CAE"/>
    <w:rsid w:val="00E423C0"/>
    <w:rsid w:val="00E5269D"/>
    <w:rsid w:val="00E6414C"/>
    <w:rsid w:val="00E64578"/>
    <w:rsid w:val="00E7260F"/>
    <w:rsid w:val="00E8702D"/>
    <w:rsid w:val="00E905F4"/>
    <w:rsid w:val="00E916A9"/>
    <w:rsid w:val="00E916DE"/>
    <w:rsid w:val="00E925AD"/>
    <w:rsid w:val="00E96630"/>
    <w:rsid w:val="00EA0DBA"/>
    <w:rsid w:val="00EA1B67"/>
    <w:rsid w:val="00EB2A92"/>
    <w:rsid w:val="00ED18DC"/>
    <w:rsid w:val="00ED1ED2"/>
    <w:rsid w:val="00ED6201"/>
    <w:rsid w:val="00ED6EAB"/>
    <w:rsid w:val="00ED7A2A"/>
    <w:rsid w:val="00EF1D7F"/>
    <w:rsid w:val="00F0137E"/>
    <w:rsid w:val="00F13FB4"/>
    <w:rsid w:val="00F215BD"/>
    <w:rsid w:val="00F21786"/>
    <w:rsid w:val="00F3742B"/>
    <w:rsid w:val="00F41FDB"/>
    <w:rsid w:val="00F50596"/>
    <w:rsid w:val="00F56D63"/>
    <w:rsid w:val="00F609A9"/>
    <w:rsid w:val="00F679CC"/>
    <w:rsid w:val="00F80C99"/>
    <w:rsid w:val="00F81293"/>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DDD1E"/>
  <w15:docId w15:val="{868D638F-EC4F-4B4C-8AEA-25801EE6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HChGChar">
    <w:name w:val="_ H _Ch_G Char"/>
    <w:link w:val="HChG"/>
    <w:rsid w:val="00966F19"/>
    <w:rPr>
      <w:b/>
      <w:sz w:val="28"/>
      <w:lang w:val="en-GB"/>
    </w:rPr>
  </w:style>
  <w:style w:type="character" w:customStyle="1" w:styleId="FootnoteTextChar">
    <w:name w:val="Footnote Text Char"/>
    <w:aliases w:val="5_G Char"/>
    <w:basedOn w:val="DefaultParagraphFont"/>
    <w:link w:val="FootnoteText"/>
    <w:rsid w:val="00F13FB4"/>
    <w:rPr>
      <w:sz w:val="18"/>
      <w:lang w:val="en-GB"/>
    </w:rPr>
  </w:style>
  <w:style w:type="paragraph" w:styleId="Revision">
    <w:name w:val="Revision"/>
    <w:hidden/>
    <w:uiPriority w:val="99"/>
    <w:semiHidden/>
    <w:rsid w:val="00977EBC"/>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59821ED5-91DA-47CC-A2F1-182FA47E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4.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3</Pages>
  <Words>1229</Words>
  <Characters>6362</Characters>
  <Application>Microsoft Office Word</Application>
  <DocSecurity>0</DocSecurity>
  <Lines>126</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ECE/TRANS/WP.15/AC.2/2024/56</dc:title>
  <dc:subject>2410241</dc:subject>
  <dc:creator>ND</dc:creator>
  <cp:keywords/>
  <dc:description/>
  <cp:lastModifiedBy>Don Canete Martin</cp:lastModifiedBy>
  <cp:revision>2</cp:revision>
  <cp:lastPrinted>2009-02-18T09:36:00Z</cp:lastPrinted>
  <dcterms:created xsi:type="dcterms:W3CDTF">2024-06-11T08:32:00Z</dcterms:created>
  <dcterms:modified xsi:type="dcterms:W3CDTF">2024-06-11T08:32:00Z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