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4204FDE" w14:textId="77777777" w:rsidTr="00B20551">
        <w:trPr>
          <w:cantSplit/>
          <w:trHeight w:hRule="exact" w:val="851"/>
        </w:trPr>
        <w:tc>
          <w:tcPr>
            <w:tcW w:w="1276" w:type="dxa"/>
            <w:tcBorders>
              <w:bottom w:val="single" w:sz="4" w:space="0" w:color="auto"/>
            </w:tcBorders>
            <w:vAlign w:val="bottom"/>
          </w:tcPr>
          <w:p w14:paraId="5EFFC603" w14:textId="77777777" w:rsidR="009E6CB7" w:rsidRDefault="009E6CB7" w:rsidP="00B20551">
            <w:pPr>
              <w:spacing w:after="80"/>
            </w:pPr>
          </w:p>
        </w:tc>
        <w:tc>
          <w:tcPr>
            <w:tcW w:w="2268" w:type="dxa"/>
            <w:tcBorders>
              <w:bottom w:val="single" w:sz="4" w:space="0" w:color="auto"/>
            </w:tcBorders>
            <w:vAlign w:val="bottom"/>
          </w:tcPr>
          <w:p w14:paraId="155C4054"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F1C84D3" w14:textId="6FBD9C92" w:rsidR="009E6CB7" w:rsidRPr="00D47EEA" w:rsidRDefault="00AA1B81" w:rsidP="00AA1B81">
            <w:pPr>
              <w:jc w:val="right"/>
            </w:pPr>
            <w:r w:rsidRPr="00AA1B81">
              <w:rPr>
                <w:sz w:val="40"/>
              </w:rPr>
              <w:t>ECE</w:t>
            </w:r>
            <w:r>
              <w:t>/TRANS/WP.15/AC.1/2024/38</w:t>
            </w:r>
          </w:p>
        </w:tc>
      </w:tr>
      <w:tr w:rsidR="009E6CB7" w14:paraId="1535147B" w14:textId="77777777" w:rsidTr="00B20551">
        <w:trPr>
          <w:cantSplit/>
          <w:trHeight w:hRule="exact" w:val="2835"/>
        </w:trPr>
        <w:tc>
          <w:tcPr>
            <w:tcW w:w="1276" w:type="dxa"/>
            <w:tcBorders>
              <w:top w:val="single" w:sz="4" w:space="0" w:color="auto"/>
              <w:bottom w:val="single" w:sz="12" w:space="0" w:color="auto"/>
            </w:tcBorders>
          </w:tcPr>
          <w:p w14:paraId="76A4E0D8" w14:textId="77777777" w:rsidR="009E6CB7" w:rsidRDefault="00686A48" w:rsidP="00B20551">
            <w:pPr>
              <w:spacing w:before="120"/>
            </w:pPr>
            <w:r>
              <w:rPr>
                <w:noProof/>
                <w:lang w:val="fr-CH" w:eastAsia="fr-CH"/>
              </w:rPr>
              <w:drawing>
                <wp:inline distT="0" distB="0" distL="0" distR="0" wp14:anchorId="5AEF95C0" wp14:editId="3450C47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E52BF9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AFA3F90" w14:textId="77777777" w:rsidR="009E6CB7" w:rsidRDefault="00AA1B81" w:rsidP="00AA1B81">
            <w:pPr>
              <w:spacing w:before="240" w:line="240" w:lineRule="exact"/>
            </w:pPr>
            <w:r>
              <w:t>Distr.: General</w:t>
            </w:r>
          </w:p>
          <w:p w14:paraId="2A42C3E2" w14:textId="3F5A6580" w:rsidR="00AA1B81" w:rsidRDefault="00AA1B81" w:rsidP="00AA1B81">
            <w:pPr>
              <w:spacing w:line="240" w:lineRule="exact"/>
            </w:pPr>
            <w:r>
              <w:t>2</w:t>
            </w:r>
            <w:r w:rsidR="00D46463">
              <w:t>7</w:t>
            </w:r>
            <w:r>
              <w:t xml:space="preserve"> June 2024</w:t>
            </w:r>
          </w:p>
          <w:p w14:paraId="5E62547B" w14:textId="77777777" w:rsidR="00AA1B81" w:rsidRDefault="00AA1B81" w:rsidP="00AA1B81">
            <w:pPr>
              <w:spacing w:line="240" w:lineRule="exact"/>
            </w:pPr>
          </w:p>
          <w:p w14:paraId="378C1CAE" w14:textId="7D4FE5FF" w:rsidR="00AA1B81" w:rsidRDefault="00AA1B81" w:rsidP="00AA1B81">
            <w:pPr>
              <w:spacing w:line="240" w:lineRule="exact"/>
            </w:pPr>
            <w:r>
              <w:t>Original: English</w:t>
            </w:r>
          </w:p>
        </w:tc>
      </w:tr>
    </w:tbl>
    <w:p w14:paraId="7AAEAEC8" w14:textId="77777777" w:rsidR="00AA1B81" w:rsidRPr="00960236" w:rsidRDefault="00AA1B81" w:rsidP="00C411EB">
      <w:pPr>
        <w:spacing w:before="120"/>
        <w:rPr>
          <w:b/>
          <w:sz w:val="28"/>
          <w:szCs w:val="28"/>
        </w:rPr>
      </w:pPr>
      <w:r w:rsidRPr="00960236">
        <w:rPr>
          <w:b/>
          <w:sz w:val="28"/>
          <w:szCs w:val="28"/>
        </w:rPr>
        <w:t>Economic Commission for Europe</w:t>
      </w:r>
    </w:p>
    <w:p w14:paraId="1A74384D" w14:textId="77777777" w:rsidR="00AA1B81" w:rsidRPr="00960236" w:rsidRDefault="00AA1B81" w:rsidP="00C411EB">
      <w:pPr>
        <w:spacing w:before="120"/>
        <w:rPr>
          <w:sz w:val="28"/>
          <w:szCs w:val="28"/>
        </w:rPr>
      </w:pPr>
      <w:r w:rsidRPr="00960236">
        <w:rPr>
          <w:sz w:val="28"/>
          <w:szCs w:val="28"/>
        </w:rPr>
        <w:t>Inland Transport Committee</w:t>
      </w:r>
    </w:p>
    <w:p w14:paraId="77A0AF5F" w14:textId="77777777" w:rsidR="00AA1B81" w:rsidRPr="00960236" w:rsidRDefault="00AA1B81" w:rsidP="00C411EB">
      <w:pPr>
        <w:spacing w:before="120"/>
        <w:rPr>
          <w:b/>
          <w:sz w:val="24"/>
          <w:szCs w:val="24"/>
        </w:rPr>
      </w:pPr>
      <w:r w:rsidRPr="00960236">
        <w:rPr>
          <w:b/>
          <w:sz w:val="24"/>
          <w:szCs w:val="24"/>
        </w:rPr>
        <w:t>Working Party on the Transport of Dangerous Goods</w:t>
      </w:r>
    </w:p>
    <w:p w14:paraId="098B6E71" w14:textId="77777777" w:rsidR="00653986" w:rsidRDefault="00AA1B81" w:rsidP="006B1A0A">
      <w:pPr>
        <w:rPr>
          <w:b/>
        </w:rPr>
      </w:pPr>
      <w:r w:rsidRPr="00960236">
        <w:rPr>
          <w:b/>
        </w:rPr>
        <w:t>Joint Meeting of the RID Committee of Experts and the</w:t>
      </w:r>
      <w:r>
        <w:rPr>
          <w:b/>
        </w:rPr>
        <w:br/>
      </w:r>
      <w:r w:rsidRPr="00960236">
        <w:rPr>
          <w:b/>
        </w:rPr>
        <w:t>Working Party on the Transport of Dangerous Goods</w:t>
      </w:r>
    </w:p>
    <w:p w14:paraId="0E18BB8A" w14:textId="267AD1DA" w:rsidR="006B1A0A" w:rsidRDefault="006B1A0A" w:rsidP="006B1A0A">
      <w:r>
        <w:t>Geneva</w:t>
      </w:r>
      <w:r w:rsidRPr="007B5249">
        <w:t xml:space="preserve">, </w:t>
      </w:r>
      <w:r w:rsidR="00B92F5A">
        <w:rPr>
          <w:lang w:val="en-US"/>
        </w:rPr>
        <w:t xml:space="preserve">9-13 </w:t>
      </w:r>
      <w:r>
        <w:t>September</w:t>
      </w:r>
      <w:r w:rsidRPr="007B5249">
        <w:t xml:space="preserve"> 202</w:t>
      </w:r>
      <w:r>
        <w:t>4</w:t>
      </w:r>
    </w:p>
    <w:p w14:paraId="65DF61D7" w14:textId="77777777" w:rsidR="006B1A0A" w:rsidRDefault="006B1A0A" w:rsidP="006B1A0A">
      <w:r>
        <w:t xml:space="preserve">Item </w:t>
      </w:r>
      <w:r w:rsidRPr="00EA1C25">
        <w:t>6</w:t>
      </w:r>
      <w:r w:rsidRPr="00653986">
        <w:t xml:space="preserve"> o</w:t>
      </w:r>
      <w:r>
        <w:t>f the provisional agenda</w:t>
      </w:r>
    </w:p>
    <w:p w14:paraId="45B972F7" w14:textId="77777777" w:rsidR="006B1A0A" w:rsidRPr="00544048" w:rsidRDefault="006B1A0A" w:rsidP="006B1A0A">
      <w:pPr>
        <w:rPr>
          <w:b/>
          <w:bCs/>
        </w:rPr>
      </w:pPr>
      <w:r>
        <w:rPr>
          <w:b/>
          <w:bCs/>
        </w:rPr>
        <w:t>Reports of Informal Working Groups</w:t>
      </w:r>
    </w:p>
    <w:p w14:paraId="4D53A138" w14:textId="50D15D34" w:rsidR="004777EF" w:rsidRPr="00544048" w:rsidRDefault="004777EF" w:rsidP="00EA1C25">
      <w:pPr>
        <w:pStyle w:val="HChG"/>
        <w:ind w:left="1134"/>
      </w:pPr>
      <w:r>
        <w:tab/>
        <w:t>Report on the seventh meeting of the informal working group on e-learning</w:t>
      </w:r>
    </w:p>
    <w:p w14:paraId="1C5CAFF2" w14:textId="77777777" w:rsidR="004777EF" w:rsidRPr="00A512FB" w:rsidRDefault="004777EF" w:rsidP="004777EF">
      <w:pPr>
        <w:pStyle w:val="H1G"/>
        <w:rPr>
          <w:sz w:val="20"/>
        </w:rPr>
      </w:pPr>
      <w:r w:rsidRPr="00544048">
        <w:tab/>
      </w:r>
      <w:r w:rsidRPr="00544048">
        <w:tab/>
      </w:r>
      <w:r w:rsidRPr="00EC757B">
        <w:t>Transmitted</w:t>
      </w:r>
      <w:r w:rsidRPr="00544048">
        <w:t xml:space="preserve"> by the Government of Germany</w:t>
      </w:r>
      <w:r>
        <w:t xml:space="preserve"> and the International Road Transport Union </w:t>
      </w:r>
      <w:r>
        <w:rPr>
          <w:lang w:val="en-US"/>
        </w:rPr>
        <w:t>(</w:t>
      </w:r>
      <w:r>
        <w:t>IRU)</w:t>
      </w:r>
      <w:r w:rsidRPr="00E82BD0">
        <w:rPr>
          <w:rStyle w:val="FootnoteReference"/>
        </w:rPr>
        <w:footnoteReference w:customMarkFollows="1" w:id="2"/>
        <w:t xml:space="preserve">*, </w:t>
      </w:r>
      <w:r w:rsidRPr="00E82BD0">
        <w:rPr>
          <w:rStyle w:val="FootnoteReference"/>
        </w:rPr>
        <w:footnoteReference w:customMarkFollows="1" w:id="3"/>
        <w:t>**</w:t>
      </w:r>
    </w:p>
    <w:p w14:paraId="2AD69F26" w14:textId="298DB50F" w:rsidR="004777EF" w:rsidRPr="00544048" w:rsidRDefault="004777EF" w:rsidP="004777EF">
      <w:pPr>
        <w:pStyle w:val="HChG"/>
        <w:rPr>
          <w:snapToGrid w:val="0"/>
        </w:rPr>
      </w:pPr>
      <w:r w:rsidRPr="00544048">
        <w:rPr>
          <w:snapToGrid w:val="0"/>
        </w:rPr>
        <w:tab/>
      </w:r>
      <w:r w:rsidR="00543DBB">
        <w:rPr>
          <w:snapToGrid w:val="0"/>
        </w:rPr>
        <w:tab/>
      </w:r>
      <w:r w:rsidRPr="00544048">
        <w:rPr>
          <w:snapToGrid w:val="0"/>
        </w:rPr>
        <w:t>Introduction</w:t>
      </w:r>
    </w:p>
    <w:p w14:paraId="06A42C2E" w14:textId="740C1EA2" w:rsidR="004777EF" w:rsidRPr="00544048" w:rsidRDefault="004777EF" w:rsidP="004777EF">
      <w:pPr>
        <w:pStyle w:val="SingleTxtG"/>
      </w:pPr>
      <w:r w:rsidRPr="00544048">
        <w:t>1.</w:t>
      </w:r>
      <w:r w:rsidRPr="00544048">
        <w:tab/>
      </w:r>
      <w:r>
        <w:t>Based on the mandate given by the Joint Meeting during its Autumn 2023 session (ECE/TRANS/WP.15/AC.1/170, paragraph 58)</w:t>
      </w:r>
      <w:r>
        <w:rPr>
          <w:b/>
          <w:bCs/>
        </w:rPr>
        <w:t xml:space="preserve"> </w:t>
      </w:r>
      <w:r>
        <w:t xml:space="preserve">a seventh meeting of the informal working group (IWG) on e-learning was held virtually on 29 April 2024. The meeting </w:t>
      </w:r>
      <w:r w:rsidR="00A244EE">
        <w:t xml:space="preserve">was </w:t>
      </w:r>
      <w:r>
        <w:t>chaired by Mr. Ivan </w:t>
      </w:r>
      <w:proofErr w:type="spellStart"/>
      <w:r>
        <w:t>Schmelczer</w:t>
      </w:r>
      <w:proofErr w:type="spellEnd"/>
      <w:r>
        <w:t>, representative of IRU, and with Ms. Gudula Schwan, representative of Germany, acting as a Vice-Chair.</w:t>
      </w:r>
    </w:p>
    <w:p w14:paraId="633F9D1A" w14:textId="5EEC52E7" w:rsidR="004777EF" w:rsidRDefault="004777EF" w:rsidP="004777EF">
      <w:pPr>
        <w:pStyle w:val="SingleTxtG"/>
      </w:pPr>
      <w:r w:rsidRPr="00544048">
        <w:t>2.</w:t>
      </w:r>
      <w:r w:rsidRPr="00544048">
        <w:tab/>
      </w:r>
      <w:r>
        <w:t xml:space="preserve">The following Contracting Parties to ADR and/or ADN, participated in the meeting: Germany, Netherlands, Spain, Sweden, and Switzerland. The following associations were represented: </w:t>
      </w:r>
      <w:r w:rsidRPr="00F81D10">
        <w:t>European Barge Union (EBU</w:t>
      </w:r>
      <w:r>
        <w:t>),</w:t>
      </w:r>
      <w:r w:rsidRPr="00F81D10">
        <w:t xml:space="preserve"> European Chemical Industry Council </w:t>
      </w:r>
      <w:r>
        <w:t>(</w:t>
      </w:r>
      <w:proofErr w:type="spellStart"/>
      <w:r>
        <w:t>Cefic</w:t>
      </w:r>
      <w:proofErr w:type="spellEnd"/>
      <w:r>
        <w:t>)</w:t>
      </w:r>
      <w:r w:rsidRPr="00F81D10">
        <w:t>,</w:t>
      </w:r>
      <w:r>
        <w:t xml:space="preserve"> </w:t>
      </w:r>
      <w:r w:rsidRPr="00F81D10">
        <w:t>European Skippers Organisation (ESO)</w:t>
      </w:r>
      <w:r>
        <w:t>, International Road Transport Union (IRU). The total number of participants was 13.</w:t>
      </w:r>
    </w:p>
    <w:p w14:paraId="1A7AD7B9" w14:textId="758AF872" w:rsidR="004777EF" w:rsidRPr="003D1D3E" w:rsidRDefault="004777EF" w:rsidP="004777EF">
      <w:pPr>
        <w:pStyle w:val="SingleTxtG"/>
      </w:pPr>
      <w:r>
        <w:t>3.</w:t>
      </w:r>
      <w:r>
        <w:tab/>
        <w:t>Based on the draft text developed for ADR (see informal document INF.29/Rev. 1 of the Spring 2024 session) the IWG developed draft text of amendments to the ADN.</w:t>
      </w:r>
    </w:p>
    <w:p w14:paraId="75B28F8C" w14:textId="1C9ADE8A" w:rsidR="004777EF" w:rsidRDefault="00C32EF2" w:rsidP="00543DBB">
      <w:pPr>
        <w:pStyle w:val="HChG"/>
      </w:pPr>
      <w:r>
        <w:tab/>
      </w:r>
      <w:r w:rsidR="004777EF">
        <w:t>I.</w:t>
      </w:r>
      <w:r w:rsidR="004777EF">
        <w:tab/>
      </w:r>
      <w:r w:rsidR="009D0C1D">
        <w:t>Seventh</w:t>
      </w:r>
      <w:r w:rsidR="004777EF">
        <w:t xml:space="preserve"> </w:t>
      </w:r>
      <w:r w:rsidR="004777EF" w:rsidRPr="007B148B">
        <w:t>meeting</w:t>
      </w:r>
      <w:r w:rsidR="004777EF">
        <w:t xml:space="preserve"> (29 April 2024)</w:t>
      </w:r>
    </w:p>
    <w:p w14:paraId="5E39E8AA" w14:textId="6EB11F23" w:rsidR="004777EF" w:rsidRDefault="004777EF" w:rsidP="004777EF">
      <w:pPr>
        <w:pStyle w:val="SingleTxtG"/>
        <w:rPr>
          <w:rFonts w:cs="Arial"/>
        </w:rPr>
      </w:pPr>
      <w:r>
        <w:rPr>
          <w:rFonts w:cs="Arial"/>
        </w:rPr>
        <w:t>4.</w:t>
      </w:r>
      <w:r>
        <w:rPr>
          <w:rFonts w:cs="Arial"/>
        </w:rPr>
        <w:tab/>
        <w:t xml:space="preserve">The provisional agenda for the </w:t>
      </w:r>
      <w:r w:rsidR="009D0C1D">
        <w:rPr>
          <w:rFonts w:cs="Arial"/>
        </w:rPr>
        <w:t>seventh</w:t>
      </w:r>
      <w:r>
        <w:rPr>
          <w:rFonts w:cs="Arial"/>
        </w:rPr>
        <w:t xml:space="preserve"> meeting was the following:</w:t>
      </w:r>
    </w:p>
    <w:p w14:paraId="6E9FB6DE" w14:textId="77777777" w:rsidR="004777EF" w:rsidRDefault="004777EF" w:rsidP="00EA1C25">
      <w:pPr>
        <w:pStyle w:val="Bullet1G"/>
      </w:pPr>
      <w:r>
        <w:t>Discussing the required amendments to the ADN for introducing e-learning</w:t>
      </w:r>
    </w:p>
    <w:p w14:paraId="00375F2F" w14:textId="77777777" w:rsidR="004777EF" w:rsidRDefault="004777EF" w:rsidP="00EA1C25">
      <w:pPr>
        <w:pStyle w:val="Bullet1G"/>
      </w:pPr>
      <w:r>
        <w:t>Creating a final proposal for the next Joint Meeting</w:t>
      </w:r>
    </w:p>
    <w:p w14:paraId="674B3D5A" w14:textId="77777777" w:rsidR="004777EF" w:rsidRPr="002F5797" w:rsidRDefault="004777EF" w:rsidP="004777EF">
      <w:pPr>
        <w:pStyle w:val="ListParagraph"/>
        <w:suppressAutoHyphens w:val="0"/>
        <w:spacing w:line="240" w:lineRule="auto"/>
        <w:ind w:left="2552"/>
        <w:rPr>
          <w:rFonts w:cs="Arial"/>
        </w:rPr>
      </w:pPr>
    </w:p>
    <w:p w14:paraId="4C7D9723" w14:textId="77777777" w:rsidR="004777EF" w:rsidRPr="00143B93" w:rsidRDefault="004777EF" w:rsidP="004777EF">
      <w:pPr>
        <w:pStyle w:val="SingleTxtG"/>
      </w:pPr>
      <w:r>
        <w:rPr>
          <w:rFonts w:cs="Arial"/>
        </w:rPr>
        <w:lastRenderedPageBreak/>
        <w:t>5.</w:t>
      </w:r>
      <w:r>
        <w:rPr>
          <w:rFonts w:cs="Arial"/>
        </w:rPr>
        <w:tab/>
        <w:t>Two new definitions (Remote training, E-learning) are proposed to be inserted after the heading of Chapter 8.2.</w:t>
      </w:r>
    </w:p>
    <w:p w14:paraId="091C0218" w14:textId="1A8D1862" w:rsidR="004777EF" w:rsidRPr="001F04C1" w:rsidRDefault="004777EF" w:rsidP="004777EF">
      <w:pPr>
        <w:pStyle w:val="SingleTxtG"/>
      </w:pPr>
      <w:r>
        <w:rPr>
          <w:rFonts w:cs="Arial"/>
        </w:rPr>
        <w:t>6.</w:t>
      </w:r>
      <w:r>
        <w:rPr>
          <w:rFonts w:cs="Arial"/>
        </w:rPr>
        <w:tab/>
        <w:t>‘Training by correspondence’ is an existing option in the ADN. The necessity of this type of training was debated. The ADN Safety Committee should be consulted to determine its necessity. In the case it remains in the ADN, it can be added to the definitions in paragraph 5 above. In the case it will be removed from ADN, the third and fourth sentence of 8.2.2.4</w:t>
      </w:r>
      <w:r w:rsidR="00CE3E93" w:rsidRPr="00CE3E93">
        <w:rPr>
          <w:rFonts w:cs="Arial"/>
        </w:rPr>
        <w:t xml:space="preserve"> </w:t>
      </w:r>
      <w:r w:rsidR="00CE3E93">
        <w:rPr>
          <w:rFonts w:cs="Arial"/>
        </w:rPr>
        <w:t>of ADN</w:t>
      </w:r>
      <w:r>
        <w:rPr>
          <w:rFonts w:cs="Arial"/>
        </w:rPr>
        <w:t xml:space="preserve"> should be deleted.</w:t>
      </w:r>
    </w:p>
    <w:p w14:paraId="1289072C" w14:textId="31ED2CB0" w:rsidR="004777EF" w:rsidRPr="006928A1" w:rsidRDefault="004777EF" w:rsidP="004777EF">
      <w:pPr>
        <w:pStyle w:val="SingleTxtG"/>
      </w:pPr>
      <w:r>
        <w:t>7</w:t>
      </w:r>
      <w:r w:rsidRPr="006928A1">
        <w:t>.</w:t>
      </w:r>
      <w:r w:rsidRPr="006928A1">
        <w:tab/>
      </w:r>
      <w:r>
        <w:t>The first sentence of 8.2.2.3</w:t>
      </w:r>
      <w:r w:rsidR="00CE3E93" w:rsidRPr="00CE3E93">
        <w:t xml:space="preserve"> </w:t>
      </w:r>
      <w:r w:rsidR="00CE3E93">
        <w:t>of ADN</w:t>
      </w:r>
      <w:r>
        <w:t xml:space="preserve"> is confusing in the English version. This sentence is about initial and refresher courses for basic and specialization courses as well. Therefore, the IWG proposes to make an editorial correction to delete the second word (‘basic’) of this sentence.</w:t>
      </w:r>
    </w:p>
    <w:p w14:paraId="2DE4DC28" w14:textId="77777777" w:rsidR="004777EF" w:rsidRPr="006928A1" w:rsidRDefault="004777EF" w:rsidP="004777EF">
      <w:pPr>
        <w:pStyle w:val="SingleTxtG"/>
      </w:pPr>
      <w:r>
        <w:t>8</w:t>
      </w:r>
      <w:r w:rsidRPr="006928A1">
        <w:t>.</w:t>
      </w:r>
      <w:r w:rsidRPr="006928A1">
        <w:tab/>
      </w:r>
      <w:r>
        <w:t>The remote training and e-learning options are proposed to be inserted to the end of the first paragraph of 8.2.2.3, before 8.2.2.3.1.</w:t>
      </w:r>
    </w:p>
    <w:p w14:paraId="3FDEB4B6" w14:textId="72D8218B" w:rsidR="004777EF" w:rsidRDefault="004777EF" w:rsidP="004777EF">
      <w:pPr>
        <w:pStyle w:val="SingleTxtG"/>
      </w:pPr>
      <w:r>
        <w:t>9</w:t>
      </w:r>
      <w:r w:rsidRPr="006928A1">
        <w:t>.</w:t>
      </w:r>
      <w:r w:rsidRPr="006928A1">
        <w:tab/>
      </w:r>
      <w:r>
        <w:t>Like in the proposal for ADR, the practical exercises shall</w:t>
      </w:r>
      <w:r w:rsidRPr="00653BB3">
        <w:t xml:space="preserve"> </w:t>
      </w:r>
      <w:r>
        <w:t>be</w:t>
      </w:r>
      <w:r w:rsidRPr="00653BB3">
        <w:t xml:space="preserve"> delivered as </w:t>
      </w:r>
      <w:r>
        <w:t>training in person only.</w:t>
      </w:r>
    </w:p>
    <w:p w14:paraId="5DC77D36" w14:textId="77777777" w:rsidR="004777EF" w:rsidRDefault="004777EF" w:rsidP="004777EF">
      <w:pPr>
        <w:pStyle w:val="SingleTxtG"/>
        <w:rPr>
          <w:lang w:eastAsia="en-US"/>
        </w:rPr>
      </w:pPr>
      <w:r>
        <w:t>10.</w:t>
      </w:r>
      <w:r>
        <w:tab/>
        <w:t xml:space="preserve">Contrary to ADR, based on the decision of the ADN Safety Committee, </w:t>
      </w:r>
      <w:r>
        <w:rPr>
          <w:lang w:eastAsia="en-US"/>
        </w:rPr>
        <w:t>t</w:t>
      </w:r>
      <w:r w:rsidRPr="00BA1F9D">
        <w:rPr>
          <w:lang w:eastAsia="en-US"/>
        </w:rPr>
        <w:t xml:space="preserve">he theoretical part of the </w:t>
      </w:r>
      <w:r>
        <w:rPr>
          <w:lang w:eastAsia="en-US"/>
        </w:rPr>
        <w:t xml:space="preserve">refresher </w:t>
      </w:r>
      <w:r w:rsidRPr="00BA1F9D">
        <w:rPr>
          <w:lang w:eastAsia="en-US"/>
        </w:rPr>
        <w:t xml:space="preserve">training </w:t>
      </w:r>
      <w:r>
        <w:rPr>
          <w:lang w:eastAsia="en-US"/>
        </w:rPr>
        <w:t>can</w:t>
      </w:r>
      <w:r w:rsidRPr="00BA1F9D">
        <w:rPr>
          <w:lang w:eastAsia="en-US"/>
        </w:rPr>
        <w:t xml:space="preserve"> be delivered entirely as e-learning</w:t>
      </w:r>
      <w:r>
        <w:rPr>
          <w:lang w:eastAsia="en-US"/>
        </w:rPr>
        <w:t>.</w:t>
      </w:r>
    </w:p>
    <w:p w14:paraId="491B6B51" w14:textId="77777777" w:rsidR="004777EF" w:rsidRDefault="004777EF" w:rsidP="004777EF">
      <w:pPr>
        <w:pStyle w:val="SingleTxtG"/>
      </w:pPr>
      <w:r>
        <w:rPr>
          <w:lang w:eastAsia="en-US"/>
        </w:rPr>
        <w:t>11.</w:t>
      </w:r>
      <w:r>
        <w:rPr>
          <w:lang w:eastAsia="en-US"/>
        </w:rPr>
        <w:tab/>
        <w:t xml:space="preserve">The IWG proposes to insert a sentence before the second sentence of 8.2.2.4, so that </w:t>
      </w:r>
      <w:r w:rsidRPr="00B826B7">
        <w:t>training lessons may be divided into shorter sessions</w:t>
      </w:r>
      <w:r>
        <w:t>. Therefore, a 45-minutes-long lesson can be divided in shorter parts. It is helpful and important in e-learning delivery method.</w:t>
      </w:r>
    </w:p>
    <w:p w14:paraId="3BF0CF14" w14:textId="558002A4" w:rsidR="004777EF" w:rsidRDefault="004777EF" w:rsidP="004777EF">
      <w:pPr>
        <w:pStyle w:val="SingleTxtG"/>
      </w:pPr>
      <w:r>
        <w:t>12.</w:t>
      </w:r>
      <w:r>
        <w:tab/>
        <w:t>The IWG discussed the importance of qualifications for trainers and the responsibility of training providers in creating and evaluating e-learning materials. For practical exercises, qualified trainers also required. Therefore, amending 8.2.2.6.3 (b) is not required.</w:t>
      </w:r>
    </w:p>
    <w:p w14:paraId="20450523" w14:textId="27382189" w:rsidR="004777EF" w:rsidRDefault="004777EF" w:rsidP="004777EF">
      <w:pPr>
        <w:pStyle w:val="SingleTxtG"/>
        <w:rPr>
          <w:rFonts w:cs="Arial"/>
        </w:rPr>
      </w:pPr>
      <w:r>
        <w:t>13.</w:t>
      </w:r>
      <w:r>
        <w:tab/>
        <w:t xml:space="preserve">A consequential amendment is required in 8.2.2.6.5 (b), whereas </w:t>
      </w:r>
      <w:r w:rsidRPr="00BE1F6E">
        <w:t xml:space="preserve">the competent authority </w:t>
      </w:r>
      <w:r w:rsidRPr="00B826B7">
        <w:t>shall be granted the right to access training courses and examinations</w:t>
      </w:r>
      <w:r>
        <w:t>.</w:t>
      </w:r>
    </w:p>
    <w:p w14:paraId="12E2E583" w14:textId="2E99212A" w:rsidR="004777EF" w:rsidRDefault="00543DBB" w:rsidP="00543DBB">
      <w:pPr>
        <w:pStyle w:val="HChG"/>
      </w:pPr>
      <w:r>
        <w:tab/>
        <w:t>II.</w:t>
      </w:r>
      <w:r>
        <w:tab/>
      </w:r>
      <w:r w:rsidR="004777EF" w:rsidRPr="00543DBB">
        <w:t>Further</w:t>
      </w:r>
      <w:r w:rsidR="004777EF" w:rsidRPr="00741438">
        <w:t xml:space="preserve"> action</w:t>
      </w:r>
    </w:p>
    <w:p w14:paraId="74836D44" w14:textId="26D6F1E8" w:rsidR="004777EF" w:rsidRPr="0038459B" w:rsidRDefault="004777EF" w:rsidP="0087660F">
      <w:pPr>
        <w:pStyle w:val="SingleTxtG"/>
      </w:pPr>
      <w:r>
        <w:rPr>
          <w:rFonts w:cs="Arial"/>
        </w:rPr>
        <w:t>14.</w:t>
      </w:r>
      <w:r>
        <w:rPr>
          <w:rFonts w:cs="Arial"/>
        </w:rPr>
        <w:tab/>
      </w:r>
      <w:r>
        <w:t xml:space="preserve">The draft amendments for the ADN should be further reviewed by the ADN Safety Committee. </w:t>
      </w:r>
      <w:r w:rsidRPr="0038459B">
        <w:t xml:space="preserve">The </w:t>
      </w:r>
      <w:r>
        <w:t>draft amendments to the ADR as presented in informal document INF.29/Rev.1 of the Spring 2024 session</w:t>
      </w:r>
      <w:r w:rsidRPr="0038459B">
        <w:t xml:space="preserve"> </w:t>
      </w:r>
      <w:r>
        <w:t>of the Joint Meeting will</w:t>
      </w:r>
      <w:r w:rsidRPr="0038459B">
        <w:t xml:space="preserve"> </w:t>
      </w:r>
      <w:proofErr w:type="gramStart"/>
      <w:r w:rsidRPr="0038459B">
        <w:t xml:space="preserve">be </w:t>
      </w:r>
      <w:r w:rsidR="002F1CDF">
        <w:t xml:space="preserve"> the</w:t>
      </w:r>
      <w:proofErr w:type="gramEnd"/>
      <w:r w:rsidR="002F1CDF">
        <w:t xml:space="preserve"> </w:t>
      </w:r>
      <w:r w:rsidRPr="0038459B">
        <w:t xml:space="preserve">subject of an official proposal at the next session of the </w:t>
      </w:r>
      <w:r>
        <w:t>WP.15</w:t>
      </w:r>
      <w:r w:rsidRPr="0038459B">
        <w:t>.</w:t>
      </w:r>
    </w:p>
    <w:p w14:paraId="7103D06C" w14:textId="77777777" w:rsidR="004777EF" w:rsidRDefault="004777EF" w:rsidP="004777EF">
      <w:pPr>
        <w:pStyle w:val="SingleTxtG"/>
        <w:rPr>
          <w:rFonts w:cs="Arial"/>
        </w:rPr>
      </w:pPr>
    </w:p>
    <w:p w14:paraId="3A5FAFDA" w14:textId="77777777" w:rsidR="004777EF" w:rsidRDefault="004777EF" w:rsidP="00EA1C25">
      <w:pPr>
        <w:ind w:right="1134"/>
        <w:rPr>
          <w:b/>
        </w:rPr>
      </w:pPr>
      <w:r>
        <w:rPr>
          <w:b/>
        </w:rPr>
        <w:br w:type="page"/>
      </w:r>
    </w:p>
    <w:p w14:paraId="433F4687" w14:textId="39D31AFB" w:rsidR="0073218D" w:rsidRDefault="004777EF" w:rsidP="0073218D">
      <w:pPr>
        <w:pStyle w:val="HChG"/>
      </w:pPr>
      <w:r>
        <w:lastRenderedPageBreak/>
        <w:t>Annex</w:t>
      </w:r>
    </w:p>
    <w:p w14:paraId="03EA1857" w14:textId="177ECC49" w:rsidR="004777EF" w:rsidRPr="00B27241" w:rsidRDefault="0073218D" w:rsidP="0073218D">
      <w:pPr>
        <w:pStyle w:val="HChG"/>
      </w:pPr>
      <w:r>
        <w:tab/>
      </w:r>
      <w:r>
        <w:tab/>
      </w:r>
      <w:r w:rsidR="004777EF" w:rsidRPr="00B27241">
        <w:t xml:space="preserve">E-Learning in </w:t>
      </w:r>
      <w:r w:rsidR="004777EF">
        <w:t>ADN refresher training programme</w:t>
      </w:r>
    </w:p>
    <w:p w14:paraId="1130B882" w14:textId="052133E2" w:rsidR="004777EF" w:rsidRPr="00ED7B6B" w:rsidRDefault="0073218D" w:rsidP="0073218D">
      <w:pPr>
        <w:pStyle w:val="H23G"/>
        <w:rPr>
          <w:lang w:val="en-US"/>
        </w:rPr>
      </w:pPr>
      <w:r>
        <w:rPr>
          <w:lang w:val="en-US"/>
        </w:rPr>
        <w:tab/>
      </w:r>
      <w:r>
        <w:rPr>
          <w:lang w:val="en-US"/>
        </w:rPr>
        <w:tab/>
      </w:r>
      <w:r w:rsidR="004777EF" w:rsidRPr="00ED7B6B">
        <w:rPr>
          <w:lang w:val="en-US"/>
        </w:rPr>
        <w:t>Insert definitions in 8.2</w:t>
      </w:r>
      <w:r w:rsidR="004777EF">
        <w:rPr>
          <w:lang w:val="en-US"/>
        </w:rPr>
        <w:t xml:space="preserve"> of ADN</w:t>
      </w:r>
      <w:r w:rsidR="004777EF" w:rsidRPr="00ED7B6B">
        <w:rPr>
          <w:lang w:val="en-US"/>
        </w:rPr>
        <w:t>:</w:t>
      </w:r>
    </w:p>
    <w:p w14:paraId="1522FC97" w14:textId="77777777" w:rsidR="004777EF" w:rsidRPr="00A92C42" w:rsidRDefault="004777EF" w:rsidP="006201E8">
      <w:pPr>
        <w:pStyle w:val="SingleTxtG"/>
      </w:pPr>
      <w:r w:rsidRPr="00A92C42">
        <w:t>After the heading insert a note to read as follows:</w:t>
      </w:r>
    </w:p>
    <w:p w14:paraId="7A40EA85" w14:textId="77777777" w:rsidR="004777EF" w:rsidRPr="00A92C42" w:rsidRDefault="004777EF" w:rsidP="00EA1C25">
      <w:pPr>
        <w:tabs>
          <w:tab w:val="left" w:pos="8505"/>
        </w:tabs>
        <w:spacing w:before="240"/>
        <w:ind w:left="1701" w:right="1134"/>
        <w:rPr>
          <w:bCs/>
          <w:i/>
        </w:rPr>
      </w:pPr>
      <w:r w:rsidRPr="00DA2CF7">
        <w:rPr>
          <w:b/>
          <w:bCs/>
        </w:rPr>
        <w:t>“</w:t>
      </w:r>
      <w:r w:rsidRPr="00A92C42">
        <w:rPr>
          <w:bCs/>
          <w:i/>
        </w:rPr>
        <w:t xml:space="preserve">Note: </w:t>
      </w:r>
      <w:proofErr w:type="gramStart"/>
      <w:r w:rsidRPr="00A92C42">
        <w:rPr>
          <w:bCs/>
          <w:i/>
        </w:rPr>
        <w:t>For the purpose of</w:t>
      </w:r>
      <w:proofErr w:type="gramEnd"/>
      <w:r w:rsidRPr="00A92C42">
        <w:rPr>
          <w:bCs/>
          <w:i/>
        </w:rPr>
        <w:t xml:space="preserve"> this </w:t>
      </w:r>
      <w:r>
        <w:rPr>
          <w:bCs/>
          <w:i/>
        </w:rPr>
        <w:t>chapter</w:t>
      </w:r>
      <w:r w:rsidRPr="00A92C42">
        <w:rPr>
          <w:bCs/>
          <w:i/>
        </w:rPr>
        <w:t>:</w:t>
      </w:r>
    </w:p>
    <w:p w14:paraId="2771DCF7" w14:textId="77777777" w:rsidR="004777EF" w:rsidRDefault="004777EF" w:rsidP="00EA1C25">
      <w:pPr>
        <w:pStyle w:val="SingleTxtG"/>
        <w:ind w:left="1701"/>
        <w:rPr>
          <w:i/>
        </w:rPr>
      </w:pPr>
      <w:r>
        <w:rPr>
          <w:bCs/>
          <w:i/>
        </w:rPr>
        <w:t>- “e</w:t>
      </w:r>
      <w:r w:rsidRPr="00A92C42">
        <w:rPr>
          <w:bCs/>
          <w:i/>
        </w:rPr>
        <w:t>-learnin</w:t>
      </w:r>
      <w:r>
        <w:rPr>
          <w:bCs/>
          <w:i/>
        </w:rPr>
        <w:t>g”</w:t>
      </w:r>
      <w:r w:rsidRPr="00A92C42">
        <w:rPr>
          <w:bCs/>
          <w:i/>
        </w:rPr>
        <w:t xml:space="preserve"> </w:t>
      </w:r>
      <w:r w:rsidRPr="00A92C42">
        <w:rPr>
          <w:i/>
        </w:rPr>
        <w:t xml:space="preserve">means asynchronous teaching conducted with information and communication technology (ICT) tools where trainees and trainers are separated in both space and </w:t>
      </w:r>
      <w:proofErr w:type="gramStart"/>
      <w:r w:rsidRPr="00A92C42">
        <w:rPr>
          <w:i/>
        </w:rPr>
        <w:t>time</w:t>
      </w:r>
      <w:r>
        <w:rPr>
          <w:i/>
        </w:rPr>
        <w:t>;</w:t>
      </w:r>
      <w:proofErr w:type="gramEnd"/>
      <w:r>
        <w:rPr>
          <w:i/>
        </w:rPr>
        <w:t xml:space="preserve"> </w:t>
      </w:r>
    </w:p>
    <w:p w14:paraId="5636B1E4" w14:textId="77777777" w:rsidR="004777EF" w:rsidRPr="002E666C" w:rsidRDefault="004777EF" w:rsidP="00EA1C25">
      <w:pPr>
        <w:pStyle w:val="SingleTxtG"/>
        <w:ind w:left="1701"/>
      </w:pPr>
      <w:r>
        <w:t>[</w:t>
      </w:r>
      <w:r w:rsidRPr="00653BB3">
        <w:t>-</w:t>
      </w:r>
      <w:r>
        <w:t xml:space="preserve"> “</w:t>
      </w:r>
      <w:r w:rsidRPr="002E666C">
        <w:rPr>
          <w:i/>
        </w:rPr>
        <w:t>training by correspondence” means asynchronous teaching conducted without information and communication technology (</w:t>
      </w:r>
      <w:r>
        <w:rPr>
          <w:i/>
        </w:rPr>
        <w:t>I</w:t>
      </w:r>
      <w:r w:rsidRPr="002E666C">
        <w:rPr>
          <w:i/>
        </w:rPr>
        <w:t xml:space="preserve">CT) tools where trainees and trainers are separated in both space and time, </w:t>
      </w:r>
      <w:r w:rsidRPr="00A70B50">
        <w:rPr>
          <w:i/>
        </w:rPr>
        <w:t>and</w:t>
      </w:r>
      <w:r w:rsidRPr="002E666C">
        <w:t>]</w:t>
      </w:r>
    </w:p>
    <w:p w14:paraId="0B536095" w14:textId="77777777" w:rsidR="004777EF" w:rsidRDefault="004777EF" w:rsidP="00EA1C25">
      <w:pPr>
        <w:pStyle w:val="SingleTxtG"/>
        <w:ind w:left="1701"/>
      </w:pPr>
      <w:r>
        <w:rPr>
          <w:bCs/>
          <w:i/>
        </w:rPr>
        <w:t>- “r</w:t>
      </w:r>
      <w:r w:rsidRPr="00A92C42">
        <w:rPr>
          <w:bCs/>
          <w:i/>
        </w:rPr>
        <w:t>emote training</w:t>
      </w:r>
      <w:r>
        <w:rPr>
          <w:bCs/>
          <w:i/>
        </w:rPr>
        <w:t>”</w:t>
      </w:r>
      <w:r w:rsidRPr="00A92C42">
        <w:rPr>
          <w:i/>
        </w:rPr>
        <w:t xml:space="preserve"> means synchronous teaching conducted with information and communication technology (ICT) tools where trainees and trainers communicate simultaneously at the same time and are separated in space</w:t>
      </w:r>
      <w:r w:rsidRPr="00DA2CF7">
        <w:t>.”</w:t>
      </w:r>
    </w:p>
    <w:p w14:paraId="0ADEC44B" w14:textId="681B21FF" w:rsidR="004777EF" w:rsidRPr="00002A87" w:rsidRDefault="002771F4" w:rsidP="002C4EDB">
      <w:pPr>
        <w:pStyle w:val="H23G"/>
        <w:tabs>
          <w:tab w:val="left" w:pos="1843"/>
        </w:tabs>
        <w:rPr>
          <w:b w:val="0"/>
          <w:i/>
          <w:iCs/>
        </w:rPr>
      </w:pPr>
      <w:r>
        <w:tab/>
      </w:r>
      <w:r>
        <w:tab/>
      </w:r>
      <w:r w:rsidR="004777EF">
        <w:t>8.2.2.3</w:t>
      </w:r>
      <w:r w:rsidR="00002A87">
        <w:tab/>
      </w:r>
      <w:proofErr w:type="spellStart"/>
      <w:r w:rsidR="004777EF" w:rsidRPr="00002A87">
        <w:rPr>
          <w:i/>
          <w:iCs/>
          <w:lang w:val="en-US"/>
        </w:rPr>
        <w:t>Organisation</w:t>
      </w:r>
      <w:proofErr w:type="spellEnd"/>
      <w:r w:rsidR="004777EF" w:rsidRPr="00002A87">
        <w:rPr>
          <w:i/>
          <w:iCs/>
        </w:rPr>
        <w:t xml:space="preserve"> of training</w:t>
      </w:r>
    </w:p>
    <w:p w14:paraId="1F1D32BC" w14:textId="77777777" w:rsidR="004777EF" w:rsidRDefault="004777EF" w:rsidP="002771F4">
      <w:pPr>
        <w:pStyle w:val="SingleTxtG"/>
      </w:pPr>
      <w:r>
        <w:t>For the English Version only: In the first sentence, replace “Initial basic training” with “Initial training”.</w:t>
      </w:r>
    </w:p>
    <w:p w14:paraId="584950AE" w14:textId="77777777" w:rsidR="004777EF" w:rsidRDefault="004777EF" w:rsidP="002771F4">
      <w:pPr>
        <w:pStyle w:val="SingleTxtG"/>
      </w:pPr>
      <w:r>
        <w:t>At the end of 8.2.2.3, before 8.2.2.3.1; add the following sentences:</w:t>
      </w:r>
    </w:p>
    <w:p w14:paraId="0FA91122" w14:textId="77777777" w:rsidR="004777EF" w:rsidRPr="002E666C" w:rsidRDefault="004777EF" w:rsidP="002771F4">
      <w:pPr>
        <w:pStyle w:val="SingleTxtG"/>
        <w:ind w:left="1701"/>
      </w:pPr>
      <w:r>
        <w:t>“</w:t>
      </w:r>
      <w:r w:rsidRPr="002E666C">
        <w:t>A</w:t>
      </w:r>
      <w:r>
        <w:t>n</w:t>
      </w:r>
      <w:r w:rsidRPr="002E666C">
        <w:t xml:space="preserve"> initial training course may be delivered as in person training, remote training,</w:t>
      </w:r>
      <w:r>
        <w:t xml:space="preserve"> [training by correspondence]</w:t>
      </w:r>
      <w:r w:rsidRPr="002E666C">
        <w:t xml:space="preserve"> or a combination of these. </w:t>
      </w:r>
      <w:r>
        <w:t>A refresher training course may be delivered as in person training, remote training, e-learning, or a combination of these. P</w:t>
      </w:r>
      <w:r w:rsidRPr="00653BB3">
        <w:t xml:space="preserve">ractical exercises shall </w:t>
      </w:r>
      <w:r>
        <w:t>be</w:t>
      </w:r>
      <w:r w:rsidRPr="00653BB3">
        <w:t xml:space="preserve"> delivered as </w:t>
      </w:r>
      <w:r>
        <w:t>training in person only.”</w:t>
      </w:r>
    </w:p>
    <w:p w14:paraId="63BFAFC7" w14:textId="3CF9B70A" w:rsidR="004777EF" w:rsidRPr="00F62956" w:rsidRDefault="00002A87" w:rsidP="002771F4">
      <w:pPr>
        <w:pStyle w:val="H23G"/>
      </w:pPr>
      <w:r>
        <w:tab/>
      </w:r>
      <w:r>
        <w:tab/>
      </w:r>
      <w:r w:rsidR="004777EF" w:rsidRPr="00F62956">
        <w:t xml:space="preserve">Consequential </w:t>
      </w:r>
      <w:r w:rsidR="004777EF">
        <w:t>a</w:t>
      </w:r>
      <w:r w:rsidR="004777EF" w:rsidRPr="00F62956">
        <w:t>mendments</w:t>
      </w:r>
      <w:r w:rsidR="004777EF">
        <w:t>:</w:t>
      </w:r>
    </w:p>
    <w:p w14:paraId="4BC74B32" w14:textId="2BFA425B" w:rsidR="004777EF" w:rsidRPr="00002A87" w:rsidRDefault="00002A87" w:rsidP="00EA1C25">
      <w:pPr>
        <w:pStyle w:val="H23G"/>
        <w:tabs>
          <w:tab w:val="left" w:pos="1843"/>
        </w:tabs>
        <w:rPr>
          <w:i/>
          <w:iCs/>
          <w:lang w:val="en-US"/>
        </w:rPr>
      </w:pPr>
      <w:r>
        <w:rPr>
          <w:bCs/>
          <w:sz w:val="18"/>
        </w:rPr>
        <w:tab/>
      </w:r>
      <w:r>
        <w:rPr>
          <w:bCs/>
          <w:sz w:val="18"/>
        </w:rPr>
        <w:tab/>
      </w:r>
      <w:r w:rsidR="004777EF" w:rsidRPr="00002A87">
        <w:rPr>
          <w:i/>
          <w:iCs/>
          <w:lang w:val="en-US"/>
        </w:rPr>
        <w:t>8.2.2.4</w:t>
      </w:r>
      <w:r w:rsidR="004777EF" w:rsidRPr="00002A87">
        <w:rPr>
          <w:i/>
          <w:iCs/>
          <w:lang w:val="en-US"/>
        </w:rPr>
        <w:tab/>
        <w:t>Planning of basic and specialization courses</w:t>
      </w:r>
    </w:p>
    <w:p w14:paraId="379C9834" w14:textId="77777777" w:rsidR="004777EF" w:rsidRPr="00B826B7" w:rsidRDefault="004777EF" w:rsidP="00002A87">
      <w:pPr>
        <w:pStyle w:val="SingleTxtG"/>
      </w:pPr>
      <w:r>
        <w:t>[If it is decided that provisions on training by correspondence are not any longer needed the third and the fourth sentence “If the theoretical t</w:t>
      </w:r>
      <w:r w:rsidRPr="00B826B7">
        <w:t xml:space="preserve">raining </w:t>
      </w:r>
      <w:r>
        <w:t>is</w:t>
      </w:r>
      <w:r w:rsidRPr="00B826B7">
        <w:t xml:space="preserve"> by </w:t>
      </w:r>
      <w:r>
        <w:t xml:space="preserve">correspondence </w:t>
      </w:r>
      <w:r w:rsidRPr="00B826B7">
        <w:t>the theoretical training is delivered as e-learning, equivalences to the above-mentioned lessons shall be determin</w:t>
      </w:r>
      <w:r>
        <w:t>ed. Tr</w:t>
      </w:r>
      <w:r w:rsidRPr="003F1BEA">
        <w:t>aining</w:t>
      </w:r>
      <w:r w:rsidRPr="00B826B7">
        <w:t xml:space="preserve"> by </w:t>
      </w:r>
      <w:r>
        <w:t>correspondence</w:t>
      </w:r>
      <w:r w:rsidRPr="00B826B7">
        <w:t xml:space="preserve"> shall be completed within a period of (nine) months.”</w:t>
      </w:r>
      <w:r>
        <w:t xml:space="preserve"> </w:t>
      </w:r>
      <w:proofErr w:type="gramStart"/>
      <w:r>
        <w:t>have to</w:t>
      </w:r>
      <w:proofErr w:type="gramEnd"/>
      <w:r>
        <w:t xml:space="preserve"> be deleted.]</w:t>
      </w:r>
    </w:p>
    <w:p w14:paraId="0D87D0F8" w14:textId="77777777" w:rsidR="004777EF" w:rsidRDefault="004777EF" w:rsidP="00002A87">
      <w:pPr>
        <w:pStyle w:val="SingleTxtG"/>
      </w:pPr>
      <w:r w:rsidRPr="00B826B7">
        <w:t>Replace the sentence “Each day of training may comprise not more than eight lessons.” with the following: “The training lessons may be divided into shorter sessions. Each day of training shall comprise not more than eight lessons</w:t>
      </w:r>
      <w:r>
        <w:t>.</w:t>
      </w:r>
      <w:r w:rsidRPr="00B826B7">
        <w:t>”</w:t>
      </w:r>
    </w:p>
    <w:p w14:paraId="78CCF9DC" w14:textId="235B96E5" w:rsidR="004777EF" w:rsidRPr="00002A87" w:rsidRDefault="00002A87" w:rsidP="00EA1C25">
      <w:pPr>
        <w:pStyle w:val="H23G"/>
        <w:tabs>
          <w:tab w:val="left" w:pos="1843"/>
        </w:tabs>
        <w:rPr>
          <w:i/>
          <w:iCs/>
          <w:lang w:val="en-US"/>
        </w:rPr>
      </w:pPr>
      <w:r>
        <w:rPr>
          <w:i/>
          <w:iCs/>
          <w:lang w:val="en-US"/>
        </w:rPr>
        <w:tab/>
      </w:r>
      <w:r>
        <w:rPr>
          <w:i/>
          <w:iCs/>
          <w:lang w:val="en-US"/>
        </w:rPr>
        <w:tab/>
      </w:r>
      <w:r w:rsidR="004777EF" w:rsidRPr="00002A87">
        <w:rPr>
          <w:i/>
          <w:iCs/>
          <w:lang w:val="en-US"/>
        </w:rPr>
        <w:t>8.2.2.5</w:t>
      </w:r>
      <w:r w:rsidR="004777EF" w:rsidRPr="00002A87">
        <w:rPr>
          <w:i/>
          <w:iCs/>
          <w:lang w:val="en-US"/>
        </w:rPr>
        <w:tab/>
        <w:t>Planning of refresher course</w:t>
      </w:r>
    </w:p>
    <w:p w14:paraId="6A9A736A" w14:textId="77777777" w:rsidR="004777EF" w:rsidRPr="00B826B7" w:rsidRDefault="004777EF" w:rsidP="00002A87">
      <w:pPr>
        <w:pStyle w:val="SingleTxtG"/>
      </w:pPr>
      <w:r w:rsidRPr="00B826B7">
        <w:t xml:space="preserve">Replace the sentence “Each day of training may comprise not more than eight lessons.” with the following: “The training lessons may be divided into shorter sessions. Each day of training shall comprise not more than eight lessons. If the theoretical training is delivered as e-learning, equivalences to the above-mentioned lessons shall be determined. </w:t>
      </w:r>
      <m:oMath>
        <m:r>
          <w:rPr>
            <w:rFonts w:ascii="Cambria Math" w:hAnsi="Cambria Math"/>
          </w:rPr>
          <m:t>[</m:t>
        </m:r>
      </m:oMath>
      <w:r w:rsidRPr="00B826B7">
        <w:t xml:space="preserve">Training delivered by e-learning shall be completed within a period of </w:t>
      </w:r>
      <w:r>
        <w:t>[</w:t>
      </w:r>
      <w:r w:rsidRPr="00B826B7">
        <w:t>nine</w:t>
      </w:r>
      <w:r>
        <w:t>]</w:t>
      </w:r>
      <w:r w:rsidRPr="00B826B7">
        <w:t xml:space="preserve"> months.</w:t>
      </w:r>
      <w:r>
        <w:t>]</w:t>
      </w:r>
      <w:r w:rsidRPr="00B826B7">
        <w:t>”</w:t>
      </w:r>
    </w:p>
    <w:p w14:paraId="45A279AF" w14:textId="6B392C38" w:rsidR="004777EF" w:rsidRPr="000E3689" w:rsidRDefault="00002A87" w:rsidP="00EA1C25">
      <w:pPr>
        <w:pStyle w:val="H23G"/>
        <w:tabs>
          <w:tab w:val="left" w:pos="1843"/>
        </w:tabs>
      </w:pPr>
      <w:r>
        <w:tab/>
      </w:r>
      <w:r>
        <w:tab/>
      </w:r>
      <w:r w:rsidR="004777EF" w:rsidRPr="000E3689">
        <w:t>8.2.2.6</w:t>
      </w:r>
      <w:r w:rsidR="004777EF" w:rsidRPr="000E3689">
        <w:tab/>
        <w:t>Approval of training courses</w:t>
      </w:r>
    </w:p>
    <w:p w14:paraId="05231827" w14:textId="315C7560" w:rsidR="004777EF" w:rsidRPr="00BE1F6E" w:rsidRDefault="004777EF" w:rsidP="00A144D0">
      <w:pPr>
        <w:pStyle w:val="SingleTxtG"/>
      </w:pPr>
      <w:r w:rsidRPr="00BE1F6E">
        <w:t>8.2.2.6.5</w:t>
      </w:r>
      <w:r>
        <w:tab/>
        <w:t>Amend (b) to read as follows:</w:t>
      </w:r>
    </w:p>
    <w:p w14:paraId="2E624106" w14:textId="65D02996" w:rsidR="004777EF" w:rsidRDefault="004777EF" w:rsidP="00014930">
      <w:pPr>
        <w:pStyle w:val="SingleTxtG"/>
        <w:ind w:left="1701"/>
      </w:pPr>
      <w:r>
        <w:t>“</w:t>
      </w:r>
      <w:r w:rsidRPr="00BE1F6E">
        <w:t>(b)</w:t>
      </w:r>
      <w:r w:rsidRPr="00BE1F6E">
        <w:tab/>
        <w:t xml:space="preserve">the competent authority </w:t>
      </w:r>
      <w:r w:rsidRPr="00B826B7">
        <w:t>shall be granted the right to access training courses and examinations;</w:t>
      </w:r>
      <w:r>
        <w:t>”</w:t>
      </w:r>
    </w:p>
    <w:p w14:paraId="6A74C1B3" w14:textId="05013BA4" w:rsidR="00AA1B81" w:rsidRPr="00B15B37" w:rsidRDefault="00B15B37" w:rsidP="00B15B37">
      <w:pPr>
        <w:spacing w:before="240"/>
        <w:jc w:val="center"/>
        <w:rPr>
          <w:u w:val="single"/>
        </w:rPr>
      </w:pPr>
      <w:r>
        <w:rPr>
          <w:u w:val="single"/>
        </w:rPr>
        <w:tab/>
      </w:r>
      <w:r>
        <w:rPr>
          <w:u w:val="single"/>
        </w:rPr>
        <w:tab/>
      </w:r>
      <w:r>
        <w:rPr>
          <w:u w:val="single"/>
        </w:rPr>
        <w:tab/>
      </w:r>
    </w:p>
    <w:sectPr w:rsidR="00AA1B81" w:rsidRPr="00B15B37" w:rsidSect="00AA1B8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F90AA" w14:textId="77777777" w:rsidR="005F7C55" w:rsidRDefault="005F7C55"/>
  </w:endnote>
  <w:endnote w:type="continuationSeparator" w:id="0">
    <w:p w14:paraId="13FA410D" w14:textId="77777777" w:rsidR="005F7C55" w:rsidRDefault="005F7C55"/>
  </w:endnote>
  <w:endnote w:type="continuationNotice" w:id="1">
    <w:p w14:paraId="0C037306" w14:textId="77777777" w:rsidR="005F7C55" w:rsidRDefault="005F7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1814" w14:textId="3EF7990B" w:rsidR="00AA1B81" w:rsidRPr="00AA1B81" w:rsidRDefault="00AA1B81" w:rsidP="00AA1B81">
    <w:pPr>
      <w:pStyle w:val="Footer"/>
      <w:tabs>
        <w:tab w:val="right" w:pos="9638"/>
      </w:tabs>
      <w:rPr>
        <w:sz w:val="18"/>
      </w:rPr>
    </w:pPr>
    <w:r w:rsidRPr="00AA1B81">
      <w:rPr>
        <w:b/>
        <w:sz w:val="18"/>
      </w:rPr>
      <w:fldChar w:fldCharType="begin"/>
    </w:r>
    <w:r w:rsidRPr="00AA1B81">
      <w:rPr>
        <w:b/>
        <w:sz w:val="18"/>
      </w:rPr>
      <w:instrText xml:space="preserve"> PAGE  \* MERGEFORMAT </w:instrText>
    </w:r>
    <w:r w:rsidRPr="00AA1B81">
      <w:rPr>
        <w:b/>
        <w:sz w:val="18"/>
      </w:rPr>
      <w:fldChar w:fldCharType="separate"/>
    </w:r>
    <w:r w:rsidRPr="00AA1B81">
      <w:rPr>
        <w:b/>
        <w:noProof/>
        <w:sz w:val="18"/>
      </w:rPr>
      <w:t>2</w:t>
    </w:r>
    <w:r w:rsidRPr="00AA1B8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1A2" w14:textId="2C9A6EC8" w:rsidR="00AA1B81" w:rsidRPr="00AA1B81" w:rsidRDefault="00AA1B81" w:rsidP="00AA1B81">
    <w:pPr>
      <w:pStyle w:val="Footer"/>
      <w:tabs>
        <w:tab w:val="right" w:pos="9638"/>
      </w:tabs>
      <w:rPr>
        <w:b/>
        <w:sz w:val="18"/>
      </w:rPr>
    </w:pPr>
    <w:r>
      <w:tab/>
    </w:r>
    <w:r w:rsidRPr="00AA1B81">
      <w:rPr>
        <w:b/>
        <w:sz w:val="18"/>
      </w:rPr>
      <w:fldChar w:fldCharType="begin"/>
    </w:r>
    <w:r w:rsidRPr="00AA1B81">
      <w:rPr>
        <w:b/>
        <w:sz w:val="18"/>
      </w:rPr>
      <w:instrText xml:space="preserve"> PAGE  \* MERGEFORMAT </w:instrText>
    </w:r>
    <w:r w:rsidRPr="00AA1B81">
      <w:rPr>
        <w:b/>
        <w:sz w:val="18"/>
      </w:rPr>
      <w:fldChar w:fldCharType="separate"/>
    </w:r>
    <w:r w:rsidRPr="00AA1B81">
      <w:rPr>
        <w:b/>
        <w:noProof/>
        <w:sz w:val="18"/>
      </w:rPr>
      <w:t>3</w:t>
    </w:r>
    <w:r w:rsidRPr="00AA1B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75F0" w14:textId="097B0221" w:rsidR="00FC349B" w:rsidRDefault="00FC349B" w:rsidP="00FC349B">
    <w:pPr>
      <w:pStyle w:val="Footer"/>
    </w:pPr>
    <w:r w:rsidRPr="0027112F">
      <w:rPr>
        <w:noProof/>
        <w:lang w:val="en-US"/>
      </w:rPr>
      <w:drawing>
        <wp:anchor distT="0" distB="0" distL="114300" distR="114300" simplePos="0" relativeHeight="251659264" behindDoc="0" locked="1" layoutInCell="1" allowOverlap="1" wp14:anchorId="4F0D5DBD" wp14:editId="4ED20CE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B3EDC43" w14:textId="0894D1D5" w:rsidR="00FC349B" w:rsidRPr="00FC349B" w:rsidRDefault="00FC349B" w:rsidP="00FC349B">
    <w:pPr>
      <w:pStyle w:val="Footer"/>
      <w:ind w:right="1134"/>
      <w:rPr>
        <w:sz w:val="20"/>
      </w:rPr>
    </w:pPr>
    <w:r>
      <w:rPr>
        <w:sz w:val="20"/>
      </w:rPr>
      <w:t>GE.24-</w:t>
    </w:r>
    <w:proofErr w:type="gramStart"/>
    <w:r>
      <w:rPr>
        <w:sz w:val="20"/>
      </w:rPr>
      <w:t>11579  (</w:t>
    </w:r>
    <w:proofErr w:type="gramEnd"/>
    <w:r>
      <w:rPr>
        <w:sz w:val="20"/>
      </w:rPr>
      <w:t>E)</w:t>
    </w:r>
    <w:r>
      <w:rPr>
        <w:noProof/>
        <w:sz w:val="20"/>
      </w:rPr>
      <w:drawing>
        <wp:anchor distT="0" distB="0" distL="114300" distR="114300" simplePos="0" relativeHeight="251660288" behindDoc="0" locked="0" layoutInCell="1" allowOverlap="1" wp14:anchorId="689EE7A4" wp14:editId="64F9562D">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380B" w14:textId="77777777" w:rsidR="005F7C55" w:rsidRPr="000B175B" w:rsidRDefault="005F7C55" w:rsidP="000B175B">
      <w:pPr>
        <w:tabs>
          <w:tab w:val="right" w:pos="2155"/>
        </w:tabs>
        <w:spacing w:after="80"/>
        <w:ind w:left="680"/>
        <w:rPr>
          <w:u w:val="single"/>
        </w:rPr>
      </w:pPr>
      <w:r>
        <w:rPr>
          <w:u w:val="single"/>
        </w:rPr>
        <w:tab/>
      </w:r>
    </w:p>
  </w:footnote>
  <w:footnote w:type="continuationSeparator" w:id="0">
    <w:p w14:paraId="783E0481" w14:textId="77777777" w:rsidR="005F7C55" w:rsidRPr="00FC68B7" w:rsidRDefault="005F7C55" w:rsidP="00FC68B7">
      <w:pPr>
        <w:tabs>
          <w:tab w:val="left" w:pos="2155"/>
        </w:tabs>
        <w:spacing w:after="80"/>
        <w:ind w:left="680"/>
        <w:rPr>
          <w:u w:val="single"/>
        </w:rPr>
      </w:pPr>
      <w:r>
        <w:rPr>
          <w:u w:val="single"/>
        </w:rPr>
        <w:tab/>
      </w:r>
    </w:p>
  </w:footnote>
  <w:footnote w:type="continuationNotice" w:id="1">
    <w:p w14:paraId="7147D4F4" w14:textId="77777777" w:rsidR="005F7C55" w:rsidRDefault="005F7C55"/>
  </w:footnote>
  <w:footnote w:id="2">
    <w:p w14:paraId="0A654725" w14:textId="77777777" w:rsidR="004777EF" w:rsidRPr="00EA1C25" w:rsidRDefault="004777EF" w:rsidP="004777EF">
      <w:pPr>
        <w:pStyle w:val="FootnoteText"/>
        <w:rPr>
          <w:lang w:val="en-US"/>
        </w:rPr>
      </w:pPr>
      <w:r>
        <w:rPr>
          <w:rStyle w:val="FootnoteReference"/>
        </w:rPr>
        <w:tab/>
      </w:r>
      <w:r w:rsidRPr="001E6946">
        <w:rPr>
          <w:rStyle w:val="FootnoteReference"/>
          <w:b/>
        </w:rPr>
        <w:t>*</w:t>
      </w:r>
      <w:r>
        <w:rPr>
          <w:rStyle w:val="FootnoteReference"/>
          <w:sz w:val="20"/>
          <w:vertAlign w:val="baseline"/>
        </w:rPr>
        <w:tab/>
      </w:r>
      <w:r w:rsidRPr="00513E18">
        <w:rPr>
          <w:szCs w:val="18"/>
        </w:rPr>
        <w:t>A/78/6 (Sect.20), table 20.5.</w:t>
      </w:r>
    </w:p>
  </w:footnote>
  <w:footnote w:id="3">
    <w:p w14:paraId="6A670040" w14:textId="7DD83A14" w:rsidR="004777EF" w:rsidRPr="00EA1C25" w:rsidRDefault="004777EF" w:rsidP="004777EF">
      <w:pPr>
        <w:pStyle w:val="FootnoteText"/>
        <w:rPr>
          <w:lang w:val="en-US"/>
        </w:rPr>
      </w:pPr>
      <w:r>
        <w:rPr>
          <w:rStyle w:val="FootnoteReference"/>
        </w:rPr>
        <w:tab/>
      </w:r>
      <w:r w:rsidRPr="001E6946">
        <w:rPr>
          <w:rStyle w:val="FootnoteReference"/>
          <w:b/>
        </w:rPr>
        <w:t>**</w:t>
      </w:r>
      <w:r>
        <w:rPr>
          <w:rStyle w:val="FootnoteReference"/>
          <w:sz w:val="20"/>
          <w:vertAlign w:val="baseline"/>
        </w:rPr>
        <w:tab/>
      </w:r>
      <w:r w:rsidRPr="00513E18">
        <w:rPr>
          <w:szCs w:val="18"/>
        </w:rPr>
        <w:t>Circulated by the Intergovernmental Organisation for International Carriage by Rail (OTIF) under the symbol OTIF/RID/RC/2024/</w:t>
      </w:r>
      <w:r w:rsidR="001E2CE2">
        <w:rPr>
          <w:szCs w:val="18"/>
        </w:rPr>
        <w:t>38</w:t>
      </w:r>
      <w:r w:rsidRPr="00513E18">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9FAB" w14:textId="765F83AD" w:rsidR="00AA1B81" w:rsidRPr="00AA1B81" w:rsidRDefault="001E7B90">
    <w:pPr>
      <w:pStyle w:val="Header"/>
    </w:pPr>
    <w:fldSimple w:instr=" TITLE  \* MERGEFORMAT ">
      <w:r w:rsidR="00AA1B81">
        <w:t>ECE/TRANS/WP.15/AC.1/2024/38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21A5" w14:textId="21D96086" w:rsidR="00AA1B81" w:rsidRPr="00AA1B81" w:rsidRDefault="001E7B90" w:rsidP="00AA1B81">
    <w:pPr>
      <w:pStyle w:val="Header"/>
      <w:jc w:val="right"/>
    </w:pPr>
    <w:fldSimple w:instr=" TITLE  \* MERGEFORMAT ">
      <w:r w:rsidR="00AA1B81">
        <w:t>ECE/TRANS/WP.15/AC.1/2024/38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1145C9A"/>
    <w:multiLevelType w:val="hybridMultilevel"/>
    <w:tmpl w:val="78BC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4485417">
    <w:abstractNumId w:val="1"/>
  </w:num>
  <w:num w:numId="2" w16cid:durableId="1973511930">
    <w:abstractNumId w:val="0"/>
  </w:num>
  <w:num w:numId="3" w16cid:durableId="138042139">
    <w:abstractNumId w:val="2"/>
  </w:num>
  <w:num w:numId="4" w16cid:durableId="2114204549">
    <w:abstractNumId w:val="3"/>
  </w:num>
  <w:num w:numId="5" w16cid:durableId="1326006673">
    <w:abstractNumId w:val="8"/>
  </w:num>
  <w:num w:numId="6" w16cid:durableId="259871819">
    <w:abstractNumId w:val="9"/>
  </w:num>
  <w:num w:numId="7" w16cid:durableId="1526408723">
    <w:abstractNumId w:val="7"/>
  </w:num>
  <w:num w:numId="8" w16cid:durableId="1630940487">
    <w:abstractNumId w:val="6"/>
  </w:num>
  <w:num w:numId="9" w16cid:durableId="168755801">
    <w:abstractNumId w:val="5"/>
  </w:num>
  <w:num w:numId="10" w16cid:durableId="734469532">
    <w:abstractNumId w:val="4"/>
  </w:num>
  <w:num w:numId="11" w16cid:durableId="1203597864">
    <w:abstractNumId w:val="16"/>
  </w:num>
  <w:num w:numId="12" w16cid:durableId="1535844946">
    <w:abstractNumId w:val="15"/>
  </w:num>
  <w:num w:numId="13" w16cid:durableId="836070594">
    <w:abstractNumId w:val="10"/>
  </w:num>
  <w:num w:numId="14" w16cid:durableId="1708334838">
    <w:abstractNumId w:val="13"/>
  </w:num>
  <w:num w:numId="15" w16cid:durableId="831801828">
    <w:abstractNumId w:val="17"/>
  </w:num>
  <w:num w:numId="16" w16cid:durableId="181096653">
    <w:abstractNumId w:val="14"/>
  </w:num>
  <w:num w:numId="17" w16cid:durableId="239409004">
    <w:abstractNumId w:val="18"/>
  </w:num>
  <w:num w:numId="18" w16cid:durableId="1677151443">
    <w:abstractNumId w:val="19"/>
  </w:num>
  <w:num w:numId="19" w16cid:durableId="1824009899">
    <w:abstractNumId w:val="11"/>
  </w:num>
  <w:num w:numId="20" w16cid:durableId="1393965874">
    <w:abstractNumId w:val="11"/>
  </w:num>
  <w:num w:numId="21" w16cid:durableId="86448618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81"/>
    <w:rsid w:val="00002A7D"/>
    <w:rsid w:val="00002A87"/>
    <w:rsid w:val="000038A8"/>
    <w:rsid w:val="00006790"/>
    <w:rsid w:val="00014930"/>
    <w:rsid w:val="00027624"/>
    <w:rsid w:val="00050F6B"/>
    <w:rsid w:val="000678CD"/>
    <w:rsid w:val="00072C8C"/>
    <w:rsid w:val="00081CE0"/>
    <w:rsid w:val="00084D30"/>
    <w:rsid w:val="00090320"/>
    <w:rsid w:val="000931C0"/>
    <w:rsid w:val="0009732C"/>
    <w:rsid w:val="000A01F9"/>
    <w:rsid w:val="000A2E09"/>
    <w:rsid w:val="000B175B"/>
    <w:rsid w:val="000B3A0F"/>
    <w:rsid w:val="000E0415"/>
    <w:rsid w:val="000F7715"/>
    <w:rsid w:val="00100AC7"/>
    <w:rsid w:val="00156B99"/>
    <w:rsid w:val="00166124"/>
    <w:rsid w:val="00184DDA"/>
    <w:rsid w:val="001900CD"/>
    <w:rsid w:val="001A0452"/>
    <w:rsid w:val="001B4B04"/>
    <w:rsid w:val="001B5875"/>
    <w:rsid w:val="001C4B9C"/>
    <w:rsid w:val="001C6663"/>
    <w:rsid w:val="001C7895"/>
    <w:rsid w:val="001D2497"/>
    <w:rsid w:val="001D26DF"/>
    <w:rsid w:val="001E2CE2"/>
    <w:rsid w:val="001E555D"/>
    <w:rsid w:val="001E7B90"/>
    <w:rsid w:val="001F1599"/>
    <w:rsid w:val="001F19C4"/>
    <w:rsid w:val="0020195A"/>
    <w:rsid w:val="002043F0"/>
    <w:rsid w:val="00211E0B"/>
    <w:rsid w:val="00232575"/>
    <w:rsid w:val="00247258"/>
    <w:rsid w:val="00257CAC"/>
    <w:rsid w:val="00264441"/>
    <w:rsid w:val="0027237A"/>
    <w:rsid w:val="00274135"/>
    <w:rsid w:val="002771F4"/>
    <w:rsid w:val="002974E9"/>
    <w:rsid w:val="002A7F94"/>
    <w:rsid w:val="002B109A"/>
    <w:rsid w:val="002C4EDB"/>
    <w:rsid w:val="002C6D45"/>
    <w:rsid w:val="002D6E53"/>
    <w:rsid w:val="002F046D"/>
    <w:rsid w:val="002F1CDF"/>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0D57"/>
    <w:rsid w:val="004325CB"/>
    <w:rsid w:val="00440A07"/>
    <w:rsid w:val="00462880"/>
    <w:rsid w:val="00476F24"/>
    <w:rsid w:val="004777EF"/>
    <w:rsid w:val="004C55B0"/>
    <w:rsid w:val="004C74EE"/>
    <w:rsid w:val="004F6BA0"/>
    <w:rsid w:val="00503BEA"/>
    <w:rsid w:val="00533616"/>
    <w:rsid w:val="00535ABA"/>
    <w:rsid w:val="0053768B"/>
    <w:rsid w:val="005420F2"/>
    <w:rsid w:val="0054285C"/>
    <w:rsid w:val="00543DBB"/>
    <w:rsid w:val="00584173"/>
    <w:rsid w:val="00595520"/>
    <w:rsid w:val="005A4195"/>
    <w:rsid w:val="005A44B9"/>
    <w:rsid w:val="005B1BA0"/>
    <w:rsid w:val="005B3DB3"/>
    <w:rsid w:val="005D15CA"/>
    <w:rsid w:val="005D7969"/>
    <w:rsid w:val="005F08DF"/>
    <w:rsid w:val="005F3066"/>
    <w:rsid w:val="005F3E61"/>
    <w:rsid w:val="005F7C55"/>
    <w:rsid w:val="00604DDD"/>
    <w:rsid w:val="006115CC"/>
    <w:rsid w:val="00611FC4"/>
    <w:rsid w:val="006176FB"/>
    <w:rsid w:val="006201E8"/>
    <w:rsid w:val="006258EF"/>
    <w:rsid w:val="00630FCB"/>
    <w:rsid w:val="00640B26"/>
    <w:rsid w:val="00653986"/>
    <w:rsid w:val="0065766B"/>
    <w:rsid w:val="006770B2"/>
    <w:rsid w:val="00686A48"/>
    <w:rsid w:val="006940E1"/>
    <w:rsid w:val="006A3C72"/>
    <w:rsid w:val="006A7392"/>
    <w:rsid w:val="006B03A1"/>
    <w:rsid w:val="006B1A0A"/>
    <w:rsid w:val="006B67D9"/>
    <w:rsid w:val="006C5535"/>
    <w:rsid w:val="006D0589"/>
    <w:rsid w:val="006E564B"/>
    <w:rsid w:val="006E7154"/>
    <w:rsid w:val="006F0CD3"/>
    <w:rsid w:val="007003CD"/>
    <w:rsid w:val="0070701E"/>
    <w:rsid w:val="007173E0"/>
    <w:rsid w:val="0072632A"/>
    <w:rsid w:val="0073218D"/>
    <w:rsid w:val="007358E8"/>
    <w:rsid w:val="00736ECE"/>
    <w:rsid w:val="0074533B"/>
    <w:rsid w:val="007643BC"/>
    <w:rsid w:val="007801C5"/>
    <w:rsid w:val="00780C68"/>
    <w:rsid w:val="007959FE"/>
    <w:rsid w:val="007A0CF1"/>
    <w:rsid w:val="007A478E"/>
    <w:rsid w:val="007B148B"/>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7660F"/>
    <w:rsid w:val="0088172E"/>
    <w:rsid w:val="00881EFA"/>
    <w:rsid w:val="008879CB"/>
    <w:rsid w:val="008979B1"/>
    <w:rsid w:val="008A6B25"/>
    <w:rsid w:val="008A6C4F"/>
    <w:rsid w:val="008A77AE"/>
    <w:rsid w:val="008A7D16"/>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87F1E"/>
    <w:rsid w:val="00990766"/>
    <w:rsid w:val="00991261"/>
    <w:rsid w:val="009964C4"/>
    <w:rsid w:val="009A7B81"/>
    <w:rsid w:val="009D01C0"/>
    <w:rsid w:val="009D0C1D"/>
    <w:rsid w:val="009D6A08"/>
    <w:rsid w:val="009E0A16"/>
    <w:rsid w:val="009E6CB7"/>
    <w:rsid w:val="009E7970"/>
    <w:rsid w:val="009F2EAC"/>
    <w:rsid w:val="009F57E3"/>
    <w:rsid w:val="00A10F4F"/>
    <w:rsid w:val="00A11067"/>
    <w:rsid w:val="00A144D0"/>
    <w:rsid w:val="00A1704A"/>
    <w:rsid w:val="00A244EE"/>
    <w:rsid w:val="00A425EB"/>
    <w:rsid w:val="00A72F22"/>
    <w:rsid w:val="00A733BC"/>
    <w:rsid w:val="00A748A6"/>
    <w:rsid w:val="00A76A69"/>
    <w:rsid w:val="00A81B26"/>
    <w:rsid w:val="00A879A4"/>
    <w:rsid w:val="00AA0FF8"/>
    <w:rsid w:val="00AA1B81"/>
    <w:rsid w:val="00AC0F2C"/>
    <w:rsid w:val="00AC502A"/>
    <w:rsid w:val="00AF58C1"/>
    <w:rsid w:val="00B04A3F"/>
    <w:rsid w:val="00B06643"/>
    <w:rsid w:val="00B15055"/>
    <w:rsid w:val="00B15B37"/>
    <w:rsid w:val="00B20551"/>
    <w:rsid w:val="00B23D55"/>
    <w:rsid w:val="00B30179"/>
    <w:rsid w:val="00B33FC7"/>
    <w:rsid w:val="00B37B15"/>
    <w:rsid w:val="00B45C02"/>
    <w:rsid w:val="00B55452"/>
    <w:rsid w:val="00B65E4E"/>
    <w:rsid w:val="00B70B63"/>
    <w:rsid w:val="00B72A1E"/>
    <w:rsid w:val="00B758C0"/>
    <w:rsid w:val="00B81E12"/>
    <w:rsid w:val="00B92F5A"/>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32EF2"/>
    <w:rsid w:val="00C408B7"/>
    <w:rsid w:val="00C411EB"/>
    <w:rsid w:val="00C463DD"/>
    <w:rsid w:val="00C745C3"/>
    <w:rsid w:val="00C978F5"/>
    <w:rsid w:val="00CA24A4"/>
    <w:rsid w:val="00CB348D"/>
    <w:rsid w:val="00CD46F5"/>
    <w:rsid w:val="00CE3E93"/>
    <w:rsid w:val="00CE4A8F"/>
    <w:rsid w:val="00CE78F6"/>
    <w:rsid w:val="00CF071D"/>
    <w:rsid w:val="00D0123D"/>
    <w:rsid w:val="00D15B04"/>
    <w:rsid w:val="00D2031B"/>
    <w:rsid w:val="00D25FE2"/>
    <w:rsid w:val="00D368BE"/>
    <w:rsid w:val="00D37DA9"/>
    <w:rsid w:val="00D406A7"/>
    <w:rsid w:val="00D40765"/>
    <w:rsid w:val="00D422D8"/>
    <w:rsid w:val="00D43252"/>
    <w:rsid w:val="00D44D86"/>
    <w:rsid w:val="00D46463"/>
    <w:rsid w:val="00D50B7D"/>
    <w:rsid w:val="00D52012"/>
    <w:rsid w:val="00D704E5"/>
    <w:rsid w:val="00D72727"/>
    <w:rsid w:val="00D75EFB"/>
    <w:rsid w:val="00D978C6"/>
    <w:rsid w:val="00DA0956"/>
    <w:rsid w:val="00DA357F"/>
    <w:rsid w:val="00DA3E12"/>
    <w:rsid w:val="00DB6908"/>
    <w:rsid w:val="00DC18AD"/>
    <w:rsid w:val="00DF7CAE"/>
    <w:rsid w:val="00E241F6"/>
    <w:rsid w:val="00E423C0"/>
    <w:rsid w:val="00E6414C"/>
    <w:rsid w:val="00E7260F"/>
    <w:rsid w:val="00E8702D"/>
    <w:rsid w:val="00E905F4"/>
    <w:rsid w:val="00E916A9"/>
    <w:rsid w:val="00E916DE"/>
    <w:rsid w:val="00E925AD"/>
    <w:rsid w:val="00E96630"/>
    <w:rsid w:val="00EA1C25"/>
    <w:rsid w:val="00ED18DC"/>
    <w:rsid w:val="00ED6201"/>
    <w:rsid w:val="00ED7A2A"/>
    <w:rsid w:val="00EF1D7F"/>
    <w:rsid w:val="00F0137E"/>
    <w:rsid w:val="00F21786"/>
    <w:rsid w:val="00F3742B"/>
    <w:rsid w:val="00F41FDB"/>
    <w:rsid w:val="00F50596"/>
    <w:rsid w:val="00F56D63"/>
    <w:rsid w:val="00F609A9"/>
    <w:rsid w:val="00F80C99"/>
    <w:rsid w:val="00F867EC"/>
    <w:rsid w:val="00F91B2B"/>
    <w:rsid w:val="00FC03CD"/>
    <w:rsid w:val="00FC0646"/>
    <w:rsid w:val="00FC349B"/>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4A552"/>
  <w15:docId w15:val="{F962622A-5CED-44B2-923B-619FC6D7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43DBB"/>
    <w:pPr>
      <w:keepNext/>
      <w:keepLines/>
      <w:tabs>
        <w:tab w:val="right" w:pos="851"/>
      </w:tabs>
      <w:spacing w:before="360" w:after="240" w:line="300" w:lineRule="exact"/>
      <w:ind w:right="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paragraph" w:styleId="ListParagraph">
    <w:name w:val="List Paragraph"/>
    <w:basedOn w:val="Normal"/>
    <w:uiPriority w:val="34"/>
    <w:semiHidden/>
    <w:qFormat/>
    <w:rsid w:val="004777EF"/>
    <w:pPr>
      <w:suppressAutoHyphens/>
      <w:ind w:left="720"/>
      <w:contextualSpacing/>
    </w:pPr>
  </w:style>
  <w:style w:type="paragraph" w:styleId="CommentText">
    <w:name w:val="annotation text"/>
    <w:basedOn w:val="Normal"/>
    <w:link w:val="CommentTextChar"/>
    <w:uiPriority w:val="99"/>
    <w:unhideWhenUsed/>
    <w:rsid w:val="004777EF"/>
    <w:pPr>
      <w:spacing w:line="240" w:lineRule="auto"/>
    </w:pPr>
  </w:style>
  <w:style w:type="character" w:customStyle="1" w:styleId="CommentTextChar">
    <w:name w:val="Comment Text Char"/>
    <w:basedOn w:val="DefaultParagraphFont"/>
    <w:link w:val="CommentText"/>
    <w:uiPriority w:val="99"/>
    <w:rsid w:val="004777EF"/>
    <w:rPr>
      <w:lang w:val="en-GB"/>
    </w:rPr>
  </w:style>
  <w:style w:type="character" w:customStyle="1" w:styleId="FootnoteTextChar">
    <w:name w:val="Footnote Text Char"/>
    <w:aliases w:val="5_G Char,5_GR Char"/>
    <w:basedOn w:val="DefaultParagraphFont"/>
    <w:link w:val="FootnoteText"/>
    <w:rsid w:val="004777EF"/>
    <w:rPr>
      <w:sz w:val="18"/>
      <w:lang w:val="en-GB"/>
    </w:rPr>
  </w:style>
  <w:style w:type="paragraph" w:styleId="Revision">
    <w:name w:val="Revision"/>
    <w:hidden/>
    <w:uiPriority w:val="99"/>
    <w:semiHidden/>
    <w:rsid w:val="00014930"/>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EBA9F27A-1C5A-467C-882D-D9C495B45F64}"/>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3</Pages>
  <Words>1017</Words>
  <Characters>5650</Characters>
  <Application>Microsoft Office Word</Application>
  <DocSecurity>0</DocSecurity>
  <Lines>114</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ECE/TRANS/WP.15/AC.1/2024/38</dc:title>
  <dc:subject>2411579</dc:subject>
  <dc:creator>Nadiya Dzyubynska</dc:creator>
  <cp:keywords/>
  <dc:description/>
  <cp:lastModifiedBy>Pauline Anne Escalante</cp:lastModifiedBy>
  <cp:revision>2</cp:revision>
  <cp:lastPrinted>2009-02-18T09:36:00Z</cp:lastPrinted>
  <dcterms:created xsi:type="dcterms:W3CDTF">2024-06-27T06:43:00Z</dcterms:created>
  <dcterms:modified xsi:type="dcterms:W3CDTF">2024-06-27T06:43:00Z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