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60AA82C" w14:textId="77777777" w:rsidTr="00B20551">
        <w:trPr>
          <w:cantSplit/>
          <w:trHeight w:hRule="exact" w:val="851"/>
        </w:trPr>
        <w:tc>
          <w:tcPr>
            <w:tcW w:w="1276" w:type="dxa"/>
            <w:tcBorders>
              <w:bottom w:val="single" w:sz="4" w:space="0" w:color="auto"/>
            </w:tcBorders>
            <w:vAlign w:val="bottom"/>
          </w:tcPr>
          <w:p w14:paraId="0B5F689A" w14:textId="77777777" w:rsidR="009E6CB7" w:rsidRDefault="009E6CB7" w:rsidP="00B20551">
            <w:pPr>
              <w:spacing w:after="80"/>
            </w:pPr>
          </w:p>
        </w:tc>
        <w:tc>
          <w:tcPr>
            <w:tcW w:w="2268" w:type="dxa"/>
            <w:tcBorders>
              <w:bottom w:val="single" w:sz="4" w:space="0" w:color="auto"/>
            </w:tcBorders>
            <w:vAlign w:val="bottom"/>
          </w:tcPr>
          <w:p w14:paraId="663C8D0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BFAF80C" w14:textId="421C96DA" w:rsidR="009E6CB7" w:rsidRPr="00D47EEA" w:rsidRDefault="00861B86" w:rsidP="00CF365F">
            <w:pPr>
              <w:jc w:val="right"/>
            </w:pPr>
            <w:r w:rsidRPr="00861B86">
              <w:rPr>
                <w:sz w:val="40"/>
              </w:rPr>
              <w:t>ECE</w:t>
            </w:r>
            <w:r>
              <w:t>/TRANS/WP.15/AC.1/2024/34</w:t>
            </w:r>
          </w:p>
        </w:tc>
      </w:tr>
      <w:tr w:rsidR="009E6CB7" w14:paraId="0CC8DBDB" w14:textId="77777777" w:rsidTr="00B20551">
        <w:trPr>
          <w:cantSplit/>
          <w:trHeight w:hRule="exact" w:val="2835"/>
        </w:trPr>
        <w:tc>
          <w:tcPr>
            <w:tcW w:w="1276" w:type="dxa"/>
            <w:tcBorders>
              <w:top w:val="single" w:sz="4" w:space="0" w:color="auto"/>
              <w:bottom w:val="single" w:sz="12" w:space="0" w:color="auto"/>
            </w:tcBorders>
          </w:tcPr>
          <w:p w14:paraId="01E2623A" w14:textId="77777777" w:rsidR="009E6CB7" w:rsidRDefault="00686A48" w:rsidP="00B20551">
            <w:pPr>
              <w:spacing w:before="120"/>
            </w:pPr>
            <w:r>
              <w:rPr>
                <w:noProof/>
                <w:lang w:val="fr-CH" w:eastAsia="fr-CH"/>
              </w:rPr>
              <w:drawing>
                <wp:inline distT="0" distB="0" distL="0" distR="0" wp14:anchorId="76845A3F" wp14:editId="4E871B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DEEE0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661375" w14:textId="77777777" w:rsidR="009E6CB7" w:rsidRDefault="00CF365F" w:rsidP="00CF365F">
            <w:pPr>
              <w:spacing w:before="240" w:line="240" w:lineRule="exact"/>
            </w:pPr>
            <w:r>
              <w:t>Distr.: General</w:t>
            </w:r>
          </w:p>
          <w:p w14:paraId="36870F5E" w14:textId="2DA465A8" w:rsidR="00CF365F" w:rsidRDefault="00CF365F" w:rsidP="00CF365F">
            <w:pPr>
              <w:spacing w:line="240" w:lineRule="exact"/>
            </w:pPr>
            <w:r>
              <w:t>2</w:t>
            </w:r>
            <w:r w:rsidR="00B37B5E">
              <w:t>6</w:t>
            </w:r>
            <w:r>
              <w:t xml:space="preserve"> June 2024</w:t>
            </w:r>
          </w:p>
          <w:p w14:paraId="2BEC4611" w14:textId="77777777" w:rsidR="00CF365F" w:rsidRDefault="00CF365F" w:rsidP="00CF365F">
            <w:pPr>
              <w:spacing w:line="240" w:lineRule="exact"/>
            </w:pPr>
          </w:p>
          <w:p w14:paraId="575FAEFC" w14:textId="2248B18D" w:rsidR="00CF365F" w:rsidRDefault="00CF365F" w:rsidP="00CF365F">
            <w:pPr>
              <w:spacing w:line="240" w:lineRule="exact"/>
            </w:pPr>
            <w:r>
              <w:t>Original: English</w:t>
            </w:r>
          </w:p>
        </w:tc>
      </w:tr>
    </w:tbl>
    <w:p w14:paraId="0759BB9C" w14:textId="77777777" w:rsidR="00910449" w:rsidRDefault="00910449" w:rsidP="00910449">
      <w:pPr>
        <w:spacing w:before="120"/>
        <w:rPr>
          <w:b/>
          <w:sz w:val="28"/>
          <w:szCs w:val="28"/>
        </w:rPr>
      </w:pPr>
      <w:r>
        <w:rPr>
          <w:b/>
          <w:sz w:val="28"/>
          <w:szCs w:val="28"/>
        </w:rPr>
        <w:t>Economic Commission for Europe</w:t>
      </w:r>
    </w:p>
    <w:p w14:paraId="187F1535" w14:textId="77777777" w:rsidR="00910449" w:rsidRDefault="00910449" w:rsidP="00910449">
      <w:pPr>
        <w:spacing w:before="120"/>
        <w:rPr>
          <w:sz w:val="28"/>
          <w:szCs w:val="28"/>
        </w:rPr>
      </w:pPr>
      <w:r>
        <w:rPr>
          <w:sz w:val="28"/>
          <w:szCs w:val="28"/>
        </w:rPr>
        <w:t>Inland Transport Committee</w:t>
      </w:r>
    </w:p>
    <w:p w14:paraId="5E5D5B4F" w14:textId="77777777" w:rsidR="00910449" w:rsidRDefault="00910449" w:rsidP="00910449">
      <w:pPr>
        <w:spacing w:before="120" w:after="120"/>
        <w:rPr>
          <w:b/>
          <w:sz w:val="24"/>
          <w:szCs w:val="24"/>
        </w:rPr>
      </w:pPr>
      <w:r>
        <w:rPr>
          <w:b/>
          <w:sz w:val="24"/>
          <w:szCs w:val="24"/>
        </w:rPr>
        <w:t>Working Party on the Transport of Dangerous Goods</w:t>
      </w:r>
    </w:p>
    <w:p w14:paraId="3E84C35C" w14:textId="77777777" w:rsidR="00910449" w:rsidRDefault="00910449" w:rsidP="00910449">
      <w:pPr>
        <w:rPr>
          <w:b/>
          <w:bCs/>
        </w:rPr>
      </w:pPr>
      <w:r>
        <w:rPr>
          <w:b/>
          <w:bCs/>
        </w:rPr>
        <w:t>Joint Meeting of the RID Committee of Experts and the</w:t>
      </w:r>
      <w:r>
        <w:rPr>
          <w:b/>
          <w:bCs/>
        </w:rPr>
        <w:br/>
        <w:t>Working Party on the Transport of Dangerous Goods</w:t>
      </w:r>
    </w:p>
    <w:p w14:paraId="06477C36" w14:textId="77777777" w:rsidR="00910449" w:rsidRDefault="00910449" w:rsidP="00910449">
      <w:r w:rsidRPr="00864092">
        <w:t>Geneva, 9</w:t>
      </w:r>
      <w:r>
        <w:t>-13</w:t>
      </w:r>
      <w:r w:rsidRPr="00864092">
        <w:t xml:space="preserve"> September 202</w:t>
      </w:r>
      <w:r>
        <w:t>4</w:t>
      </w:r>
    </w:p>
    <w:p w14:paraId="7F74EAA5" w14:textId="19531444" w:rsidR="00910449" w:rsidRDefault="00910449" w:rsidP="00910449">
      <w:r>
        <w:t xml:space="preserve">Item </w:t>
      </w:r>
      <w:r>
        <w:rPr>
          <w:lang w:val="ru-RU"/>
        </w:rPr>
        <w:t>2</w:t>
      </w:r>
      <w:r>
        <w:t xml:space="preserve"> of the provisional agenda</w:t>
      </w:r>
    </w:p>
    <w:p w14:paraId="0C101C42" w14:textId="75737557" w:rsidR="00910449" w:rsidRDefault="00910449" w:rsidP="00910449">
      <w:pPr>
        <w:rPr>
          <w:b/>
          <w:bCs/>
        </w:rPr>
      </w:pPr>
      <w:r w:rsidRPr="00910449">
        <w:rPr>
          <w:b/>
          <w:bCs/>
        </w:rPr>
        <w:t>Tanks</w:t>
      </w:r>
    </w:p>
    <w:p w14:paraId="6118D3DC" w14:textId="7D5849D9" w:rsidR="00910449" w:rsidRPr="00D35943" w:rsidRDefault="00910449" w:rsidP="00910449">
      <w:pPr>
        <w:pStyle w:val="HChG"/>
        <w:rPr>
          <w:lang w:eastAsia="en-GB"/>
        </w:rPr>
      </w:pPr>
      <w:r>
        <w:tab/>
      </w:r>
      <w:r>
        <w:tab/>
      </w:r>
      <w:r w:rsidRPr="00910449">
        <w:t>Changes to the type approval and, in particular, the replacement of pieces of equipment in the context of maintenance</w:t>
      </w:r>
    </w:p>
    <w:p w14:paraId="4AB2D3FB" w14:textId="4DC4D117" w:rsidR="003B725A" w:rsidRPr="003B725A" w:rsidRDefault="003B725A" w:rsidP="003B725A">
      <w:pPr>
        <w:pStyle w:val="H1G"/>
        <w:rPr>
          <w:lang w:eastAsia="en-GB"/>
        </w:rPr>
      </w:pPr>
      <w:r>
        <w:rPr>
          <w:lang w:eastAsia="en-GB"/>
        </w:rPr>
        <w:tab/>
      </w:r>
      <w:r>
        <w:rPr>
          <w:lang w:eastAsia="en-GB"/>
        </w:rPr>
        <w:tab/>
      </w:r>
      <w:r w:rsidRPr="003B725A">
        <w:rPr>
          <w:lang w:eastAsia="en-GB"/>
        </w:rPr>
        <w:t xml:space="preserve">Transmitted by the </w:t>
      </w:r>
      <w:r w:rsidR="00931596" w:rsidRPr="003B725A">
        <w:rPr>
          <w:lang w:eastAsia="en-GB"/>
        </w:rPr>
        <w:t>International Union of Wagon Keepers (UIP)</w:t>
      </w:r>
      <w:r w:rsidR="002C438E" w:rsidRPr="00A00089">
        <w:rPr>
          <w:rStyle w:val="FootnoteReference"/>
          <w:rFonts w:eastAsia="Arial Unicode MS"/>
          <w:sz w:val="20"/>
          <w:vertAlign w:val="baseline"/>
          <w:lang w:val="en-US"/>
        </w:rPr>
        <w:footnoteReference w:customMarkFollows="1" w:id="2"/>
        <w:t>*</w:t>
      </w:r>
      <w:r w:rsidR="002C438E">
        <w:rPr>
          <w:rFonts w:eastAsia="Arial Unicode MS"/>
          <w:sz w:val="20"/>
          <w:lang w:val="en-US"/>
        </w:rPr>
        <w:t xml:space="preserve">, </w:t>
      </w:r>
      <w:r w:rsidR="002C438E" w:rsidRPr="00C65939">
        <w:rPr>
          <w:rStyle w:val="FootnoteReference"/>
          <w:rFonts w:eastAsia="Arial Unicode MS"/>
          <w:sz w:val="20"/>
          <w:vertAlign w:val="baseline"/>
          <w:lang w:val="en-US"/>
        </w:rPr>
        <w:footnoteReference w:customMarkFollows="1" w:id="3"/>
        <w:t>**</w:t>
      </w:r>
    </w:p>
    <w:p w14:paraId="1810C5F1" w14:textId="17B50052" w:rsidR="00910449" w:rsidRPr="00910449" w:rsidRDefault="00910449" w:rsidP="00910449">
      <w:pPr>
        <w:pStyle w:val="HChG"/>
      </w:pPr>
      <w:r>
        <w:tab/>
      </w:r>
      <w:r w:rsidRPr="00910449">
        <w:t>I.</w:t>
      </w:r>
      <w:r w:rsidRPr="00910449">
        <w:tab/>
        <w:t>Description of the prob</w:t>
      </w:r>
      <w:r w:rsidR="00597EA6">
        <w:t>l</w:t>
      </w:r>
      <w:r w:rsidRPr="00910449">
        <w:t>em</w:t>
      </w:r>
    </w:p>
    <w:p w14:paraId="7F87B463" w14:textId="77777777" w:rsidR="00910449" w:rsidRPr="00910449" w:rsidRDefault="00910449" w:rsidP="00910449">
      <w:pPr>
        <w:pStyle w:val="SingleTxtG"/>
      </w:pPr>
      <w:r w:rsidRPr="00910449">
        <w:t>1.</w:t>
      </w:r>
      <w:r w:rsidRPr="00910449">
        <w:tab/>
        <w:t>When tanks are being built in accordance with a valid type approval, and later in the course of a tank’s service life, there are various reasons for minor changes to this valid type approval, which usually affect the tank equipment.</w:t>
      </w:r>
    </w:p>
    <w:p w14:paraId="34BA660E" w14:textId="77777777" w:rsidR="00910449" w:rsidRPr="00910449" w:rsidRDefault="00910449" w:rsidP="00910449">
      <w:pPr>
        <w:pStyle w:val="SingleTxtG"/>
      </w:pPr>
      <w:r w:rsidRPr="00910449">
        <w:t>2.</w:t>
      </w:r>
      <w:r w:rsidRPr="00910449">
        <w:tab/>
        <w:t>In terms of maintenance, i.e. after the initial inspection, some pieces of equipment need to be replaced, mostly the second stop valve as a result of wear and tear, leakage or other damage.</w:t>
      </w:r>
    </w:p>
    <w:p w14:paraId="42B7125A" w14:textId="77777777" w:rsidR="00910449" w:rsidRPr="00910449" w:rsidRDefault="00910449" w:rsidP="00910449">
      <w:pPr>
        <w:pStyle w:val="SingleTxtG"/>
      </w:pPr>
      <w:r w:rsidRPr="00910449">
        <w:t>3.</w:t>
      </w:r>
      <w:r w:rsidRPr="00910449">
        <w:tab/>
        <w:t>If the same valve is not available from stock, it must first be procured or, if it is no longer available, a new discharge valve, often with a different type designation, must be fitted.</w:t>
      </w:r>
    </w:p>
    <w:p w14:paraId="52F10B4A" w14:textId="77777777" w:rsidR="00910449" w:rsidRPr="00910449" w:rsidRDefault="00910449" w:rsidP="00910449">
      <w:pPr>
        <w:pStyle w:val="SingleTxtG"/>
      </w:pPr>
      <w:r w:rsidRPr="00910449">
        <w:t>4.</w:t>
      </w:r>
      <w:r w:rsidRPr="00910449">
        <w:tab/>
        <w:t>The country-specific rules on permissible changes that often exist in this case have been included in standard EN 12972 on the testing, inspection and marking of tanks. This standard is referenced in RID/ADR and it says:</w:t>
      </w:r>
    </w:p>
    <w:p w14:paraId="2545A4A0" w14:textId="43445F6C" w:rsidR="00910449" w:rsidRPr="00D462C4" w:rsidRDefault="00910449" w:rsidP="00D462C4">
      <w:pPr>
        <w:pStyle w:val="SingleTxtG"/>
        <w:rPr>
          <w:i/>
          <w:iCs/>
          <w:lang w:val="de-DE"/>
        </w:rPr>
      </w:pPr>
      <w:r w:rsidRPr="00D462C4">
        <w:rPr>
          <w:i/>
          <w:iCs/>
          <w:lang w:val="de-DE"/>
        </w:rPr>
        <w:t>"4.2</w:t>
      </w:r>
      <w:r w:rsidRPr="00D462C4">
        <w:rPr>
          <w:i/>
          <w:iCs/>
          <w:lang w:val="de-DE"/>
        </w:rPr>
        <w:tab/>
      </w:r>
      <w:r w:rsidRPr="00D462C4">
        <w:rPr>
          <w:i/>
          <w:iCs/>
        </w:rPr>
        <w:t>Inspection</w:t>
      </w:r>
      <w:r w:rsidRPr="00D462C4">
        <w:rPr>
          <w:i/>
          <w:iCs/>
          <w:lang w:val="de-DE"/>
        </w:rPr>
        <w:t xml:space="preserve"> for type </w:t>
      </w:r>
      <w:proofErr w:type="spellStart"/>
      <w:r w:rsidRPr="00D462C4">
        <w:rPr>
          <w:i/>
          <w:iCs/>
          <w:lang w:val="de-DE"/>
        </w:rPr>
        <w:t>approval</w:t>
      </w:r>
      <w:proofErr w:type="spellEnd"/>
    </w:p>
    <w:p w14:paraId="7744B04E" w14:textId="310D9DAF" w:rsidR="00910449" w:rsidRPr="00910449" w:rsidRDefault="00910449" w:rsidP="00D462C4">
      <w:pPr>
        <w:pStyle w:val="SingleTxtG"/>
        <w:rPr>
          <w:i/>
          <w:iCs/>
          <w:lang w:val="de-DE"/>
        </w:rPr>
      </w:pPr>
      <w:r w:rsidRPr="00910449">
        <w:rPr>
          <w:i/>
          <w:iCs/>
          <w:lang w:val="de-DE"/>
        </w:rPr>
        <w:t>4.2.1</w:t>
      </w:r>
      <w:r w:rsidRPr="00910449">
        <w:rPr>
          <w:i/>
          <w:iCs/>
          <w:lang w:val="de-DE"/>
        </w:rPr>
        <w:tab/>
      </w:r>
      <w:r w:rsidRPr="00910449">
        <w:rPr>
          <w:i/>
          <w:iCs/>
        </w:rPr>
        <w:t>General</w:t>
      </w:r>
    </w:p>
    <w:p w14:paraId="4942926E" w14:textId="59582CFA" w:rsidR="00910449" w:rsidRPr="00910449" w:rsidRDefault="00910449" w:rsidP="00D462C4">
      <w:pPr>
        <w:pStyle w:val="SingleTxtG"/>
        <w:ind w:left="1701"/>
        <w:rPr>
          <w:i/>
          <w:iCs/>
          <w:lang w:val="en-US"/>
        </w:rPr>
      </w:pPr>
      <w:r w:rsidRPr="00910449">
        <w:rPr>
          <w:i/>
          <w:iCs/>
          <w:lang w:val="en-US"/>
        </w:rPr>
        <w:t xml:space="preserve">The </w:t>
      </w:r>
      <w:r w:rsidRPr="00910449">
        <w:t>inspection</w:t>
      </w:r>
      <w:r w:rsidRPr="00910449">
        <w:rPr>
          <w:i/>
          <w:iCs/>
          <w:lang w:val="en-US"/>
        </w:rPr>
        <w:t xml:space="preserve"> for type approval shall be carried out on a prototype tank of either a single tank or a range of tanks. A type approval which includes a limited variation of the design will allow </w:t>
      </w:r>
      <w:r w:rsidRPr="00910449">
        <w:rPr>
          <w:b/>
          <w:i/>
          <w:iCs/>
          <w:lang w:val="en-US"/>
        </w:rPr>
        <w:t>the following variations to the design without requiring a new approval</w:t>
      </w:r>
      <w:r w:rsidRPr="00910449">
        <w:rPr>
          <w:i/>
          <w:iCs/>
          <w:lang w:val="en-US"/>
        </w:rPr>
        <w:t>, if there are no other conflicting technical or legal requirements:</w:t>
      </w:r>
    </w:p>
    <w:p w14:paraId="687D2D46" w14:textId="5820A0A4" w:rsidR="00910449" w:rsidRPr="00910449" w:rsidRDefault="00D462C4" w:rsidP="00D462C4">
      <w:pPr>
        <w:pStyle w:val="SingleTxtG"/>
        <w:rPr>
          <w:i/>
          <w:iCs/>
          <w:lang w:val="en-US"/>
        </w:rPr>
      </w:pPr>
      <w:r>
        <w:rPr>
          <w:i/>
          <w:iCs/>
          <w:lang w:val="en-US"/>
        </w:rPr>
        <w:lastRenderedPageBreak/>
        <w:tab/>
      </w:r>
      <w:r w:rsidR="00910449" w:rsidRPr="00910449">
        <w:rPr>
          <w:i/>
          <w:iCs/>
          <w:lang w:val="en-US"/>
        </w:rPr>
        <w:t>–</w:t>
      </w:r>
      <w:r w:rsidR="00910449" w:rsidRPr="00910449">
        <w:rPr>
          <w:i/>
          <w:iCs/>
          <w:lang w:val="en-US"/>
        </w:rPr>
        <w:tab/>
        <w:t xml:space="preserve">a </w:t>
      </w:r>
      <w:r w:rsidR="00910449" w:rsidRPr="00910449">
        <w:rPr>
          <w:i/>
          <w:iCs/>
        </w:rPr>
        <w:t>decrease</w:t>
      </w:r>
      <w:r w:rsidR="00910449" w:rsidRPr="00910449">
        <w:rPr>
          <w:i/>
          <w:iCs/>
          <w:lang w:val="en-US"/>
        </w:rPr>
        <w:t xml:space="preserve"> in the initial design temperature range;</w:t>
      </w:r>
    </w:p>
    <w:p w14:paraId="253EB3F1" w14:textId="76BFA158" w:rsidR="00910449" w:rsidRPr="00910449" w:rsidRDefault="00D462C4" w:rsidP="00D462C4">
      <w:pPr>
        <w:pStyle w:val="SingleTxtG"/>
        <w:rPr>
          <w:i/>
          <w:iCs/>
          <w:lang w:val="en-US"/>
        </w:rPr>
      </w:pPr>
      <w:r w:rsidRPr="00B84F0D">
        <w:rPr>
          <w:i/>
          <w:iCs/>
          <w:lang w:val="en-US"/>
        </w:rPr>
        <w:tab/>
      </w:r>
      <w:r w:rsidR="00910449" w:rsidRPr="00910449">
        <w:rPr>
          <w:i/>
          <w:iCs/>
          <w:lang w:val="en-US"/>
        </w:rPr>
        <w:t>–</w:t>
      </w:r>
      <w:r w:rsidR="00910449" w:rsidRPr="00910449">
        <w:rPr>
          <w:i/>
          <w:iCs/>
          <w:lang w:val="en-US"/>
        </w:rPr>
        <w:tab/>
        <w:t xml:space="preserve">a </w:t>
      </w:r>
      <w:r w:rsidR="00910449" w:rsidRPr="00910449">
        <w:rPr>
          <w:i/>
          <w:iCs/>
        </w:rPr>
        <w:t>decrease</w:t>
      </w:r>
      <w:r w:rsidR="00910449" w:rsidRPr="00910449">
        <w:rPr>
          <w:i/>
          <w:iCs/>
          <w:lang w:val="en-US"/>
        </w:rPr>
        <w:t xml:space="preserve"> </w:t>
      </w:r>
      <w:r w:rsidR="00910449" w:rsidRPr="00910449">
        <w:rPr>
          <w:rFonts w:asciiTheme="majorBidi" w:hAnsiTheme="majorBidi" w:cstheme="majorBidi"/>
          <w:i/>
          <w:iCs/>
        </w:rPr>
        <w:t>in</w:t>
      </w:r>
      <w:r w:rsidR="00910449" w:rsidRPr="00910449">
        <w:rPr>
          <w:i/>
          <w:iCs/>
          <w:lang w:val="en-US"/>
        </w:rPr>
        <w:t xml:space="preserve"> the maximum gross mass;</w:t>
      </w:r>
    </w:p>
    <w:p w14:paraId="7189F266" w14:textId="309DB125" w:rsidR="00910449" w:rsidRPr="00910449" w:rsidRDefault="00D462C4" w:rsidP="00D462C4">
      <w:pPr>
        <w:pStyle w:val="SingleTxtG"/>
        <w:rPr>
          <w:i/>
          <w:iCs/>
          <w:lang w:val="en-US"/>
        </w:rPr>
      </w:pPr>
      <w:r w:rsidRPr="00B84F0D">
        <w:rPr>
          <w:i/>
          <w:iCs/>
          <w:lang w:val="en-US"/>
        </w:rPr>
        <w:tab/>
      </w:r>
      <w:r w:rsidR="00910449" w:rsidRPr="00910449">
        <w:rPr>
          <w:i/>
          <w:iCs/>
          <w:lang w:val="en-US"/>
        </w:rPr>
        <w:t>–</w:t>
      </w:r>
      <w:r w:rsidR="00910449" w:rsidRPr="00910449">
        <w:rPr>
          <w:i/>
          <w:iCs/>
          <w:lang w:val="en-US"/>
        </w:rPr>
        <w:tab/>
        <w:t xml:space="preserve">a </w:t>
      </w:r>
      <w:r w:rsidR="00910449" w:rsidRPr="00910449">
        <w:rPr>
          <w:i/>
          <w:iCs/>
        </w:rPr>
        <w:t>reduction</w:t>
      </w:r>
      <w:r w:rsidR="00910449" w:rsidRPr="00910449">
        <w:rPr>
          <w:i/>
          <w:iCs/>
          <w:lang w:val="en-US"/>
        </w:rPr>
        <w:t xml:space="preserve"> in volume;</w:t>
      </w:r>
    </w:p>
    <w:p w14:paraId="542528B1" w14:textId="2CA19BCE" w:rsidR="00910449" w:rsidRPr="00910449" w:rsidRDefault="00D462C4" w:rsidP="00D462C4">
      <w:pPr>
        <w:pStyle w:val="SingleTxtG"/>
        <w:ind w:left="2268" w:hanging="1134"/>
        <w:rPr>
          <w:i/>
          <w:iCs/>
          <w:lang w:val="en-US"/>
        </w:rPr>
      </w:pPr>
      <w:r w:rsidRPr="00B84F0D">
        <w:rPr>
          <w:i/>
          <w:iCs/>
          <w:lang w:val="en-US"/>
        </w:rPr>
        <w:tab/>
      </w:r>
      <w:r w:rsidR="00910449" w:rsidRPr="00910449">
        <w:rPr>
          <w:i/>
          <w:iCs/>
          <w:lang w:val="en-US"/>
        </w:rPr>
        <w:t>–</w:t>
      </w:r>
      <w:r w:rsidR="00910449" w:rsidRPr="00910449">
        <w:rPr>
          <w:i/>
          <w:iCs/>
          <w:lang w:val="en-US"/>
        </w:rPr>
        <w:tab/>
      </w:r>
      <w:r w:rsidR="00910449" w:rsidRPr="00910449">
        <w:rPr>
          <w:i/>
          <w:iCs/>
        </w:rPr>
        <w:t>movement</w:t>
      </w:r>
      <w:r w:rsidR="00910449" w:rsidRPr="00910449">
        <w:rPr>
          <w:i/>
          <w:iCs/>
          <w:lang w:val="en-US"/>
        </w:rPr>
        <w:t xml:space="preserve"> or modification of nozzles and manholes provided that the same level of protection is afforded and the strength calculation takes into account the most </w:t>
      </w:r>
      <w:proofErr w:type="spellStart"/>
      <w:r w:rsidR="00910449" w:rsidRPr="00910449">
        <w:rPr>
          <w:i/>
          <w:iCs/>
          <w:lang w:val="en-US"/>
        </w:rPr>
        <w:t>unfavourable</w:t>
      </w:r>
      <w:proofErr w:type="spellEnd"/>
      <w:r w:rsidR="00910449" w:rsidRPr="00910449">
        <w:rPr>
          <w:i/>
          <w:iCs/>
          <w:lang w:val="en-US"/>
        </w:rPr>
        <w:t xml:space="preserve"> case;</w:t>
      </w:r>
    </w:p>
    <w:p w14:paraId="3096EF09" w14:textId="4EE2ECA0" w:rsidR="00910449" w:rsidRPr="00910449" w:rsidRDefault="00D462C4" w:rsidP="00D462C4">
      <w:pPr>
        <w:pStyle w:val="SingleTxtG"/>
        <w:rPr>
          <w:i/>
          <w:iCs/>
          <w:lang w:val="en-US"/>
        </w:rPr>
      </w:pPr>
      <w:r w:rsidRPr="00B84F0D">
        <w:rPr>
          <w:i/>
          <w:iCs/>
          <w:lang w:val="en-US"/>
        </w:rPr>
        <w:tab/>
      </w:r>
      <w:r w:rsidR="00910449" w:rsidRPr="00910449">
        <w:rPr>
          <w:i/>
          <w:iCs/>
          <w:lang w:val="en-US"/>
        </w:rPr>
        <w:t>–</w:t>
      </w:r>
      <w:r w:rsidR="00910449" w:rsidRPr="00910449">
        <w:rPr>
          <w:i/>
          <w:iCs/>
          <w:lang w:val="en-US"/>
        </w:rPr>
        <w:tab/>
        <w:t xml:space="preserve">a </w:t>
      </w:r>
      <w:r w:rsidR="00910449" w:rsidRPr="00910449">
        <w:rPr>
          <w:i/>
          <w:iCs/>
        </w:rPr>
        <w:t>decrease</w:t>
      </w:r>
      <w:r w:rsidR="00910449" w:rsidRPr="00910449">
        <w:rPr>
          <w:i/>
          <w:iCs/>
          <w:lang w:val="en-US"/>
        </w:rPr>
        <w:t xml:space="preserve"> in the number of nozzles;</w:t>
      </w:r>
    </w:p>
    <w:p w14:paraId="295CF2DB" w14:textId="729C9834" w:rsidR="00910449" w:rsidRPr="00910449" w:rsidRDefault="00D462C4" w:rsidP="00D462C4">
      <w:pPr>
        <w:pStyle w:val="SingleTxtG"/>
        <w:rPr>
          <w:i/>
          <w:iCs/>
          <w:lang w:val="en-US"/>
        </w:rPr>
      </w:pPr>
      <w:r w:rsidRPr="00B84F0D">
        <w:rPr>
          <w:i/>
          <w:iCs/>
          <w:lang w:val="en-US"/>
        </w:rPr>
        <w:tab/>
      </w:r>
      <w:r w:rsidR="00910449" w:rsidRPr="00910449">
        <w:rPr>
          <w:i/>
          <w:iCs/>
          <w:lang w:val="en-US"/>
        </w:rPr>
        <w:t>–</w:t>
      </w:r>
      <w:r w:rsidR="00910449" w:rsidRPr="00910449">
        <w:rPr>
          <w:i/>
          <w:iCs/>
          <w:lang w:val="en-US"/>
        </w:rPr>
        <w:tab/>
        <w:t xml:space="preserve">an </w:t>
      </w:r>
      <w:r w:rsidR="00910449" w:rsidRPr="00910449">
        <w:rPr>
          <w:i/>
          <w:iCs/>
        </w:rPr>
        <w:t>increase</w:t>
      </w:r>
      <w:r w:rsidR="00910449" w:rsidRPr="00910449">
        <w:rPr>
          <w:i/>
          <w:iCs/>
          <w:lang w:val="en-US"/>
        </w:rPr>
        <w:t xml:space="preserve"> of the number of surge plates and baffles;</w:t>
      </w:r>
    </w:p>
    <w:p w14:paraId="6DDD7314" w14:textId="7C87FA2C" w:rsidR="00910449" w:rsidRPr="00910449" w:rsidRDefault="00D462C4" w:rsidP="00D462C4">
      <w:pPr>
        <w:pStyle w:val="SingleTxtG"/>
        <w:ind w:left="2268" w:hanging="1134"/>
        <w:rPr>
          <w:i/>
          <w:iCs/>
          <w:lang w:val="en-US"/>
        </w:rPr>
      </w:pPr>
      <w:r w:rsidRPr="00B84F0D">
        <w:rPr>
          <w:i/>
          <w:iCs/>
          <w:lang w:val="en-US"/>
        </w:rPr>
        <w:tab/>
      </w:r>
      <w:r w:rsidR="00910449" w:rsidRPr="00910449">
        <w:rPr>
          <w:i/>
          <w:iCs/>
          <w:lang w:val="en-US"/>
        </w:rPr>
        <w:t>–</w:t>
      </w:r>
      <w:r w:rsidR="00910449" w:rsidRPr="00910449">
        <w:rPr>
          <w:i/>
          <w:iCs/>
          <w:lang w:val="en-US"/>
        </w:rPr>
        <w:tab/>
        <w:t xml:space="preserve">an </w:t>
      </w:r>
      <w:r w:rsidR="00910449" w:rsidRPr="00910449">
        <w:rPr>
          <w:i/>
          <w:iCs/>
        </w:rPr>
        <w:t>increase</w:t>
      </w:r>
      <w:r w:rsidR="00910449" w:rsidRPr="00910449">
        <w:rPr>
          <w:i/>
          <w:iCs/>
          <w:lang w:val="en-US"/>
        </w:rPr>
        <w:t xml:space="preserve"> of the shell thickness(es) provided the same welding procedures are used;</w:t>
      </w:r>
    </w:p>
    <w:p w14:paraId="6394B6F5" w14:textId="079570C9" w:rsidR="00910449" w:rsidRPr="00910449" w:rsidRDefault="00D462C4" w:rsidP="00D462C4">
      <w:pPr>
        <w:pStyle w:val="SingleTxtG"/>
        <w:rPr>
          <w:i/>
          <w:iCs/>
          <w:lang w:val="en-US"/>
        </w:rPr>
      </w:pPr>
      <w:r w:rsidRPr="00B84F0D">
        <w:rPr>
          <w:i/>
          <w:iCs/>
          <w:lang w:val="en-US"/>
        </w:rPr>
        <w:tab/>
      </w:r>
      <w:r w:rsidR="00910449" w:rsidRPr="00910449">
        <w:rPr>
          <w:i/>
          <w:iCs/>
          <w:lang w:val="en-US"/>
        </w:rPr>
        <w:t>–</w:t>
      </w:r>
      <w:r w:rsidR="00910449" w:rsidRPr="00910449">
        <w:rPr>
          <w:i/>
          <w:iCs/>
          <w:lang w:val="en-US"/>
        </w:rPr>
        <w:tab/>
        <w:t xml:space="preserve">for </w:t>
      </w:r>
      <w:r w:rsidR="00910449" w:rsidRPr="00910449">
        <w:rPr>
          <w:i/>
          <w:iCs/>
        </w:rPr>
        <w:t>pressure</w:t>
      </w:r>
      <w:r w:rsidR="00910449" w:rsidRPr="00910449">
        <w:rPr>
          <w:i/>
          <w:iCs/>
          <w:lang w:val="en-US"/>
        </w:rPr>
        <w:t xml:space="preserve"> tanks, a decrease of the maximum working pressure;</w:t>
      </w:r>
    </w:p>
    <w:p w14:paraId="5B3BB609" w14:textId="0B1479CF" w:rsidR="00910449" w:rsidRPr="00910449" w:rsidRDefault="00D462C4" w:rsidP="00D462C4">
      <w:pPr>
        <w:pStyle w:val="SingleTxtG"/>
        <w:rPr>
          <w:i/>
          <w:iCs/>
          <w:lang w:val="en-US"/>
        </w:rPr>
      </w:pPr>
      <w:r w:rsidRPr="00B84F0D">
        <w:rPr>
          <w:i/>
          <w:iCs/>
          <w:lang w:val="en-US"/>
        </w:rPr>
        <w:tab/>
      </w:r>
      <w:r w:rsidR="00910449" w:rsidRPr="00910449">
        <w:rPr>
          <w:i/>
          <w:iCs/>
          <w:lang w:val="en-US"/>
        </w:rPr>
        <w:t>–</w:t>
      </w:r>
      <w:r w:rsidR="00910449" w:rsidRPr="00910449">
        <w:rPr>
          <w:i/>
          <w:iCs/>
          <w:lang w:val="en-US"/>
        </w:rPr>
        <w:tab/>
        <w:t xml:space="preserve">an </w:t>
      </w:r>
      <w:r w:rsidR="00910449" w:rsidRPr="00910449">
        <w:rPr>
          <w:i/>
          <w:iCs/>
        </w:rPr>
        <w:t>increase</w:t>
      </w:r>
      <w:r w:rsidR="00910449" w:rsidRPr="00910449">
        <w:rPr>
          <w:i/>
          <w:iCs/>
          <w:lang w:val="en-US"/>
        </w:rPr>
        <w:t xml:space="preserve"> in the thickness of the insulation used for additional protection;</w:t>
      </w:r>
    </w:p>
    <w:p w14:paraId="1CC359BA" w14:textId="2B91A2D0" w:rsidR="00910449" w:rsidRPr="00910449" w:rsidRDefault="00D462C4" w:rsidP="00D462C4">
      <w:pPr>
        <w:pStyle w:val="SingleTxtG"/>
        <w:rPr>
          <w:i/>
          <w:iCs/>
          <w:lang w:val="en-US"/>
        </w:rPr>
      </w:pPr>
      <w:r w:rsidRPr="00B84F0D">
        <w:rPr>
          <w:i/>
          <w:iCs/>
          <w:lang w:val="en-US"/>
        </w:rPr>
        <w:tab/>
      </w:r>
      <w:r w:rsidR="00910449" w:rsidRPr="00910449">
        <w:rPr>
          <w:i/>
          <w:iCs/>
          <w:lang w:val="en-US"/>
        </w:rPr>
        <w:t>–</w:t>
      </w:r>
      <w:r w:rsidR="00910449" w:rsidRPr="00910449">
        <w:rPr>
          <w:i/>
          <w:iCs/>
          <w:lang w:val="en-US"/>
        </w:rPr>
        <w:tab/>
        <w:t xml:space="preserve">an </w:t>
      </w:r>
      <w:r w:rsidR="00910449" w:rsidRPr="00910449">
        <w:rPr>
          <w:i/>
          <w:iCs/>
        </w:rPr>
        <w:t>increase</w:t>
      </w:r>
      <w:r w:rsidR="00910449" w:rsidRPr="00910449">
        <w:rPr>
          <w:i/>
          <w:iCs/>
          <w:lang w:val="en-US"/>
        </w:rPr>
        <w:t xml:space="preserve"> in the effectiveness of the thermal insulation of the tank;</w:t>
      </w:r>
    </w:p>
    <w:p w14:paraId="0D5601FA" w14:textId="0D1FCA46" w:rsidR="00910449" w:rsidRPr="00910449" w:rsidRDefault="00D462C4" w:rsidP="00D462C4">
      <w:pPr>
        <w:pStyle w:val="SingleTxtG"/>
        <w:ind w:left="2268" w:hanging="1134"/>
        <w:rPr>
          <w:b/>
          <w:i/>
          <w:lang w:val="en-US"/>
        </w:rPr>
      </w:pPr>
      <w:r>
        <w:rPr>
          <w:b/>
          <w:i/>
          <w:lang w:val="en-US"/>
        </w:rPr>
        <w:tab/>
      </w:r>
      <w:r w:rsidR="00910449" w:rsidRPr="00910449">
        <w:rPr>
          <w:b/>
          <w:i/>
          <w:lang w:val="en-US"/>
        </w:rPr>
        <w:t>–</w:t>
      </w:r>
      <w:r w:rsidR="00910449" w:rsidRPr="00910449">
        <w:rPr>
          <w:b/>
          <w:i/>
          <w:lang w:val="en-US"/>
        </w:rPr>
        <w:tab/>
        <w:t xml:space="preserve">the </w:t>
      </w:r>
      <w:r w:rsidR="00910449" w:rsidRPr="00910449">
        <w:rPr>
          <w:b/>
          <w:i/>
        </w:rPr>
        <w:t>use</w:t>
      </w:r>
      <w:r w:rsidR="00910449" w:rsidRPr="00910449">
        <w:rPr>
          <w:b/>
          <w:i/>
          <w:lang w:val="en-US"/>
        </w:rPr>
        <w:t xml:space="preserve"> of alternative service equipment if there is no change in the technical specification of the equipment and it is placed in the same location."</w:t>
      </w:r>
    </w:p>
    <w:p w14:paraId="22B7B878" w14:textId="77777777" w:rsidR="00910449" w:rsidRPr="00910449" w:rsidRDefault="00910449" w:rsidP="00D462C4">
      <w:pPr>
        <w:pStyle w:val="SingleTxtG"/>
        <w:rPr>
          <w:i/>
          <w:iCs/>
        </w:rPr>
      </w:pPr>
      <w:r w:rsidRPr="00910449">
        <w:t>5.</w:t>
      </w:r>
      <w:r w:rsidRPr="00910449">
        <w:tab/>
        <w:t xml:space="preserve">Although, as part of the maintenance, many inspection bodies use this interpretation of the replacement of valves as part of an extraordinary inspection, in accordance with this standard, without involving the approval body, there are always questions and ambiguities in this respect. This is particularly the case because, with regard to changes to a type approval, RID/ADR 6.8.2.3.3 states the following: </w:t>
      </w:r>
      <w:r w:rsidRPr="00910449">
        <w:rPr>
          <w:i/>
        </w:rPr>
        <w:t>“The limited variations shall be clearly described in the type approval certificate.”</w:t>
      </w:r>
    </w:p>
    <w:p w14:paraId="30B6AA2B" w14:textId="77777777" w:rsidR="00910449" w:rsidRPr="00910449" w:rsidRDefault="00910449" w:rsidP="00D462C4">
      <w:pPr>
        <w:pStyle w:val="SingleTxtG"/>
      </w:pPr>
      <w:r w:rsidRPr="00910449">
        <w:t>6.</w:t>
      </w:r>
      <w:r w:rsidRPr="00910449">
        <w:tab/>
        <w:t>The current text of RID/ADR therefore contradicts the rules of the standard referred to, both with regard to limited variations during the serial construction of tanks, and in particular with regard to the procurement of replacements in the context of maintenance.</w:t>
      </w:r>
    </w:p>
    <w:p w14:paraId="3E0B06BB" w14:textId="77777777" w:rsidR="00910449" w:rsidRPr="00910449" w:rsidRDefault="00910449" w:rsidP="00D462C4">
      <w:pPr>
        <w:pStyle w:val="SingleTxtG"/>
      </w:pPr>
      <w:r w:rsidRPr="00910449">
        <w:t>7.</w:t>
      </w:r>
      <w:r w:rsidRPr="00910449">
        <w:tab/>
        <w:t>In order to achieve an identical interpretation by all parties involved and to harmonise the procedures, UIP proposes to deal with the process in the RID/ADR and to remove the contradictions between the standard and the text of RID/ADR.</w:t>
      </w:r>
    </w:p>
    <w:p w14:paraId="5DE2BA39" w14:textId="3EE5ED4F" w:rsidR="00910449" w:rsidRPr="00910449" w:rsidRDefault="00D462C4" w:rsidP="00D462C4">
      <w:pPr>
        <w:pStyle w:val="HChG"/>
      </w:pPr>
      <w:r>
        <w:tab/>
      </w:r>
      <w:r w:rsidR="00910449" w:rsidRPr="00910449">
        <w:t>II.</w:t>
      </w:r>
      <w:r w:rsidR="00910449" w:rsidRPr="00910449">
        <w:tab/>
        <w:t>Proposal</w:t>
      </w:r>
    </w:p>
    <w:p w14:paraId="7F0F6AC9" w14:textId="77777777" w:rsidR="00910449" w:rsidRPr="00910449" w:rsidRDefault="00910449" w:rsidP="00D462C4">
      <w:pPr>
        <w:pStyle w:val="SingleTxtG"/>
      </w:pPr>
      <w:r w:rsidRPr="00910449">
        <w:t>8.</w:t>
      </w:r>
      <w:r w:rsidRPr="00910449">
        <w:tab/>
        <w:t>The following proposal would resolve the current conflict between the standard and the text of RID/ADR with regard to limited changes, i.e. during new construction (e.g. smaller nozzle dimensions) or during maintenance (e.g. replacement of valves), without jeopardising safety:</w:t>
      </w:r>
    </w:p>
    <w:p w14:paraId="1BE0CC02" w14:textId="77777777" w:rsidR="00910449" w:rsidRPr="00910449" w:rsidRDefault="00910449" w:rsidP="00D462C4">
      <w:pPr>
        <w:pStyle w:val="SingleTxtG"/>
        <w:ind w:left="2268" w:hanging="1134"/>
      </w:pPr>
      <w:r w:rsidRPr="00910449">
        <w:rPr>
          <w:bCs/>
        </w:rPr>
        <w:t>“</w:t>
      </w:r>
      <w:r w:rsidRPr="00910449">
        <w:rPr>
          <w:b/>
        </w:rPr>
        <w:t>6.8.2.3.3</w:t>
      </w:r>
      <w:r w:rsidRPr="00910449">
        <w:tab/>
      </w:r>
      <w:r w:rsidRPr="00910449">
        <w:rPr>
          <w:rFonts w:asciiTheme="majorBidi" w:hAnsiTheme="majorBidi" w:cstheme="majorBidi"/>
        </w:rPr>
        <w:t>Amend</w:t>
      </w:r>
      <w:r w:rsidRPr="00910449">
        <w:t xml:space="preserve"> the second paragraph to read as follows (deleted text is crossed out, new text is shown in bold):</w:t>
      </w:r>
    </w:p>
    <w:p w14:paraId="6AE6E8B1" w14:textId="107D6C65" w:rsidR="00910449" w:rsidRPr="00910449" w:rsidRDefault="00D462C4" w:rsidP="00D462C4">
      <w:pPr>
        <w:pStyle w:val="SingleTxtG"/>
        <w:ind w:left="2268" w:hanging="1134"/>
      </w:pPr>
      <w:r>
        <w:tab/>
      </w:r>
      <w:r>
        <w:tab/>
      </w:r>
      <w:r w:rsidR="00910449" w:rsidRPr="00910449">
        <w:t xml:space="preserve">"A type approval may </w:t>
      </w:r>
      <w:r w:rsidR="00910449" w:rsidRPr="00910449">
        <w:rPr>
          <w:rFonts w:asciiTheme="majorBidi" w:hAnsiTheme="majorBidi" w:cstheme="majorBidi"/>
        </w:rPr>
        <w:t>however</w:t>
      </w:r>
      <w:r w:rsidR="00910449" w:rsidRPr="00910449">
        <w:t xml:space="preserve"> serve for the approval of tanks with limited variations of the design that either reduce the loads and stresses on the tanks (e.g. reduced pressure, reduced mass, reduced volume) or increase the safety of the structure (e.g. increased shell thickness, more surge-plates, decreased diameter of openings). The limited variations shall be clearly described in the type approval certificate </w:t>
      </w:r>
      <w:r w:rsidR="00910449" w:rsidRPr="00910449">
        <w:rPr>
          <w:b/>
          <w:bCs/>
        </w:rPr>
        <w:t>or which are equivalent with regard to the equipment (see standard EN 12972, paragraph 4.2).</w:t>
      </w:r>
      <w:r w:rsidR="00910449" w:rsidRPr="00910449">
        <w:rPr>
          <w:b/>
        </w:rPr>
        <w:t xml:space="preserve"> </w:t>
      </w:r>
      <w:r w:rsidR="00910449" w:rsidRPr="00910449">
        <w:rPr>
          <w:b/>
          <w:bCs/>
        </w:rPr>
        <w:t>The limited changes shall be documented in the inspection body’s certificate and included in the tank record.</w:t>
      </w:r>
      <w:r w:rsidR="00910449" w:rsidRPr="00910449">
        <w:t>”</w:t>
      </w:r>
    </w:p>
    <w:p w14:paraId="51C1186A" w14:textId="114A62C2" w:rsidR="00910449" w:rsidRPr="00910449" w:rsidRDefault="00D462C4" w:rsidP="00D462C4">
      <w:pPr>
        <w:pStyle w:val="HChG"/>
        <w:rPr>
          <w:bCs/>
        </w:rPr>
      </w:pPr>
      <w:r>
        <w:lastRenderedPageBreak/>
        <w:tab/>
      </w:r>
      <w:r w:rsidR="00910449" w:rsidRPr="00910449">
        <w:t>III.</w:t>
      </w:r>
      <w:r w:rsidR="00910449" w:rsidRPr="00910449">
        <w:tab/>
        <w:t>Assessment</w:t>
      </w:r>
    </w:p>
    <w:p w14:paraId="5E30FE3D" w14:textId="77777777" w:rsidR="00910449" w:rsidRPr="00910449" w:rsidRDefault="00910449" w:rsidP="00D462C4">
      <w:pPr>
        <w:pStyle w:val="SingleTxtG"/>
      </w:pPr>
      <w:r w:rsidRPr="00910449">
        <w:t>9.</w:t>
      </w:r>
      <w:r w:rsidRPr="00910449">
        <w:tab/>
        <w:t>The proposal would remove the conflict that exists between the standard and the regulations and would allow the inspection body to make certain variations that do not jeopardise safety, even during construction in accordance with the valid approval.</w:t>
      </w:r>
    </w:p>
    <w:p w14:paraId="24130E6F" w14:textId="5884BC9E" w:rsidR="00910449" w:rsidRDefault="00910449" w:rsidP="00D462C4">
      <w:pPr>
        <w:pStyle w:val="SingleTxtG"/>
      </w:pPr>
      <w:r w:rsidRPr="00910449">
        <w:t>10.</w:t>
      </w:r>
      <w:r w:rsidRPr="00910449">
        <w:tab/>
        <w:t>Such solutions are currently implemented on the basis of standard EN 12972 and have also been introduced nationally, e.g. in Germany, and have been tried and tested operationally. As the changes/variants are minor and achieve the same or a higher level of safety, and as an inspection body must also be involved, safety is not jeopardised.</w:t>
      </w:r>
    </w:p>
    <w:p w14:paraId="2BFBF714" w14:textId="7C427A07" w:rsidR="00D462C4" w:rsidRPr="00D462C4" w:rsidRDefault="00D462C4" w:rsidP="00D462C4">
      <w:pPr>
        <w:spacing w:before="240"/>
        <w:jc w:val="center"/>
        <w:rPr>
          <w:u w:val="single"/>
        </w:rPr>
      </w:pPr>
      <w:r>
        <w:rPr>
          <w:u w:val="single"/>
        </w:rPr>
        <w:tab/>
      </w:r>
      <w:r>
        <w:rPr>
          <w:u w:val="single"/>
        </w:rPr>
        <w:tab/>
      </w:r>
      <w:r>
        <w:rPr>
          <w:u w:val="single"/>
        </w:rPr>
        <w:tab/>
      </w:r>
    </w:p>
    <w:sectPr w:rsidR="00D462C4" w:rsidRPr="00D462C4" w:rsidSect="00CF365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4F65" w14:textId="77777777" w:rsidR="003D3898" w:rsidRDefault="003D3898"/>
  </w:endnote>
  <w:endnote w:type="continuationSeparator" w:id="0">
    <w:p w14:paraId="5FE83E26" w14:textId="77777777" w:rsidR="003D3898" w:rsidRDefault="003D3898"/>
  </w:endnote>
  <w:endnote w:type="continuationNotice" w:id="1">
    <w:p w14:paraId="37748F2C" w14:textId="77777777" w:rsidR="003D3898" w:rsidRDefault="003D3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060" w14:textId="4F6B1258" w:rsidR="00CF365F" w:rsidRPr="00CF365F" w:rsidRDefault="00CF365F" w:rsidP="00CF365F">
    <w:pPr>
      <w:pStyle w:val="Footer"/>
      <w:tabs>
        <w:tab w:val="right" w:pos="9638"/>
      </w:tabs>
      <w:rPr>
        <w:sz w:val="18"/>
      </w:rPr>
    </w:pPr>
    <w:r w:rsidRPr="00CF365F">
      <w:rPr>
        <w:b/>
        <w:sz w:val="18"/>
      </w:rPr>
      <w:fldChar w:fldCharType="begin"/>
    </w:r>
    <w:r w:rsidRPr="00CF365F">
      <w:rPr>
        <w:b/>
        <w:sz w:val="18"/>
      </w:rPr>
      <w:instrText xml:space="preserve"> PAGE  \* MERGEFORMAT </w:instrText>
    </w:r>
    <w:r w:rsidRPr="00CF365F">
      <w:rPr>
        <w:b/>
        <w:sz w:val="18"/>
      </w:rPr>
      <w:fldChar w:fldCharType="separate"/>
    </w:r>
    <w:r w:rsidRPr="00CF365F">
      <w:rPr>
        <w:b/>
        <w:noProof/>
        <w:sz w:val="18"/>
      </w:rPr>
      <w:t>2</w:t>
    </w:r>
    <w:r w:rsidRPr="00CF365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0088" w14:textId="0FA57DBD" w:rsidR="00CF365F" w:rsidRPr="00CF365F" w:rsidRDefault="00CF365F" w:rsidP="00CF365F">
    <w:pPr>
      <w:pStyle w:val="Footer"/>
      <w:tabs>
        <w:tab w:val="right" w:pos="9638"/>
      </w:tabs>
      <w:rPr>
        <w:b/>
        <w:sz w:val="18"/>
      </w:rPr>
    </w:pPr>
    <w:r>
      <w:tab/>
    </w:r>
    <w:r w:rsidRPr="00CF365F">
      <w:rPr>
        <w:b/>
        <w:sz w:val="18"/>
      </w:rPr>
      <w:fldChar w:fldCharType="begin"/>
    </w:r>
    <w:r w:rsidRPr="00CF365F">
      <w:rPr>
        <w:b/>
        <w:sz w:val="18"/>
      </w:rPr>
      <w:instrText xml:space="preserve"> PAGE  \* MERGEFORMAT </w:instrText>
    </w:r>
    <w:r w:rsidRPr="00CF365F">
      <w:rPr>
        <w:b/>
        <w:sz w:val="18"/>
      </w:rPr>
      <w:fldChar w:fldCharType="separate"/>
    </w:r>
    <w:r w:rsidRPr="00CF365F">
      <w:rPr>
        <w:b/>
        <w:noProof/>
        <w:sz w:val="18"/>
      </w:rPr>
      <w:t>3</w:t>
    </w:r>
    <w:r w:rsidRPr="00CF36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61D" w14:textId="77777777" w:rsidR="0035223F" w:rsidRPr="00CF365F" w:rsidRDefault="00686A48">
    <w:pPr>
      <w:pStyle w:val="Footer"/>
      <w:rPr>
        <w:sz w:val="20"/>
      </w:rPr>
    </w:pPr>
    <w:r>
      <w:rPr>
        <w:noProof/>
        <w:lang w:val="fr-CH" w:eastAsia="fr-CH"/>
      </w:rPr>
      <w:drawing>
        <wp:anchor distT="0" distB="0" distL="114300" distR="114300" simplePos="0" relativeHeight="251659264" behindDoc="0" locked="1" layoutInCell="1" allowOverlap="1" wp14:anchorId="457CBA8D" wp14:editId="5D0D9BE5">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B933" w14:textId="77777777" w:rsidR="003D3898" w:rsidRPr="000B175B" w:rsidRDefault="003D3898" w:rsidP="000B175B">
      <w:pPr>
        <w:tabs>
          <w:tab w:val="right" w:pos="2155"/>
        </w:tabs>
        <w:spacing w:after="80"/>
        <w:ind w:left="680"/>
        <w:rPr>
          <w:u w:val="single"/>
        </w:rPr>
      </w:pPr>
      <w:r>
        <w:rPr>
          <w:u w:val="single"/>
        </w:rPr>
        <w:tab/>
      </w:r>
    </w:p>
  </w:footnote>
  <w:footnote w:type="continuationSeparator" w:id="0">
    <w:p w14:paraId="51021C88" w14:textId="77777777" w:rsidR="003D3898" w:rsidRPr="00FC68B7" w:rsidRDefault="003D3898" w:rsidP="00FC68B7">
      <w:pPr>
        <w:tabs>
          <w:tab w:val="left" w:pos="2155"/>
        </w:tabs>
        <w:spacing w:after="80"/>
        <w:ind w:left="680"/>
        <w:rPr>
          <w:u w:val="single"/>
        </w:rPr>
      </w:pPr>
      <w:r>
        <w:rPr>
          <w:u w:val="single"/>
        </w:rPr>
        <w:tab/>
      </w:r>
    </w:p>
  </w:footnote>
  <w:footnote w:type="continuationNotice" w:id="1">
    <w:p w14:paraId="71C5F2FD" w14:textId="77777777" w:rsidR="003D3898" w:rsidRDefault="003D3898"/>
  </w:footnote>
  <w:footnote w:id="2">
    <w:p w14:paraId="1483B4FD" w14:textId="77777777" w:rsidR="002C438E" w:rsidRPr="00A00089" w:rsidRDefault="002C438E" w:rsidP="002C438E">
      <w:pPr>
        <w:pStyle w:val="FootnoteText"/>
        <w:rPr>
          <w:lang w:val="fr-CH"/>
        </w:rPr>
      </w:pPr>
      <w:r>
        <w:rPr>
          <w:rStyle w:val="FootnoteReference"/>
        </w:rPr>
        <w:tab/>
      </w:r>
      <w:r w:rsidRPr="00A00089">
        <w:rPr>
          <w:rStyle w:val="FootnoteReference"/>
          <w:sz w:val="20"/>
          <w:vertAlign w:val="baseline"/>
        </w:rPr>
        <w:t>*</w:t>
      </w:r>
      <w:r>
        <w:rPr>
          <w:rStyle w:val="FootnoteReference"/>
          <w:sz w:val="20"/>
          <w:vertAlign w:val="baseline"/>
        </w:rPr>
        <w:tab/>
      </w:r>
      <w:r>
        <w:t>A/78/6 (</w:t>
      </w:r>
      <w:r w:rsidRPr="00D91455">
        <w:t>Sect</w:t>
      </w:r>
      <w:r>
        <w:t>. 20), table 20.5.</w:t>
      </w:r>
    </w:p>
  </w:footnote>
  <w:footnote w:id="3">
    <w:p w14:paraId="1BC3056F" w14:textId="4E1414B6" w:rsidR="002C438E" w:rsidRPr="00C65939" w:rsidRDefault="002C438E" w:rsidP="002C438E">
      <w:pPr>
        <w:pStyle w:val="FootnoteText"/>
        <w:rPr>
          <w:lang w:val="fr-CH"/>
        </w:rPr>
      </w:pPr>
      <w:r>
        <w:rPr>
          <w:rStyle w:val="FootnoteReference"/>
        </w:rPr>
        <w:tab/>
      </w:r>
      <w:r w:rsidRPr="00C65939">
        <w:rPr>
          <w:rStyle w:val="FootnoteReference"/>
          <w:sz w:val="20"/>
          <w:vertAlign w:val="baseline"/>
        </w:rPr>
        <w:t>**</w:t>
      </w:r>
      <w:r>
        <w:rPr>
          <w:rStyle w:val="FootnoteReference"/>
          <w:sz w:val="20"/>
          <w:vertAlign w:val="baseline"/>
        </w:rPr>
        <w:tab/>
      </w:r>
      <w:r>
        <w:rPr>
          <w:szCs w:val="18"/>
        </w:rPr>
        <w:t>Circulated by the Intergovernmental Organisation for International Carriage by Rail (OTIF) under the symbol OTIF/RID/RC/2024/34.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64FD" w14:textId="2818325E" w:rsidR="00CF365F" w:rsidRPr="00CF365F" w:rsidRDefault="00B24209">
    <w:pPr>
      <w:pStyle w:val="Header"/>
    </w:pPr>
    <w:r>
      <w:fldChar w:fldCharType="begin"/>
    </w:r>
    <w:r>
      <w:instrText xml:space="preserve"> TITLE  \* MERGEFORMAT </w:instrText>
    </w:r>
    <w:r>
      <w:fldChar w:fldCharType="separate"/>
    </w:r>
    <w:r w:rsidR="00861B86">
      <w:t>ECE/TRANS/WP.15/AC.1/2024/34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9913" w14:textId="173F8907" w:rsidR="00CF365F" w:rsidRPr="00CF365F" w:rsidRDefault="00B24209" w:rsidP="00CF365F">
    <w:pPr>
      <w:pStyle w:val="Header"/>
      <w:jc w:val="right"/>
    </w:pPr>
    <w:r>
      <w:fldChar w:fldCharType="begin"/>
    </w:r>
    <w:r>
      <w:instrText xml:space="preserve"> TITLE  \* MERGEFORMAT </w:instrText>
    </w:r>
    <w:r>
      <w:fldChar w:fldCharType="separate"/>
    </w:r>
    <w:r w:rsidR="00861B86">
      <w:t>ECE/TRANS/WP.15/AC.1/2024/34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0077103">
    <w:abstractNumId w:val="1"/>
  </w:num>
  <w:num w:numId="2" w16cid:durableId="1323238602">
    <w:abstractNumId w:val="0"/>
  </w:num>
  <w:num w:numId="3" w16cid:durableId="169569405">
    <w:abstractNumId w:val="2"/>
  </w:num>
  <w:num w:numId="4" w16cid:durableId="1455489329">
    <w:abstractNumId w:val="3"/>
  </w:num>
  <w:num w:numId="5" w16cid:durableId="867991093">
    <w:abstractNumId w:val="8"/>
  </w:num>
  <w:num w:numId="6" w16cid:durableId="308364912">
    <w:abstractNumId w:val="9"/>
  </w:num>
  <w:num w:numId="7" w16cid:durableId="2097314961">
    <w:abstractNumId w:val="7"/>
  </w:num>
  <w:num w:numId="8" w16cid:durableId="1547133610">
    <w:abstractNumId w:val="6"/>
  </w:num>
  <w:num w:numId="9" w16cid:durableId="635255843">
    <w:abstractNumId w:val="5"/>
  </w:num>
  <w:num w:numId="10" w16cid:durableId="1049646043">
    <w:abstractNumId w:val="4"/>
  </w:num>
  <w:num w:numId="11" w16cid:durableId="111365280">
    <w:abstractNumId w:val="15"/>
  </w:num>
  <w:num w:numId="12" w16cid:durableId="425728658">
    <w:abstractNumId w:val="14"/>
  </w:num>
  <w:num w:numId="13" w16cid:durableId="1116750318">
    <w:abstractNumId w:val="10"/>
  </w:num>
  <w:num w:numId="14" w16cid:durableId="986470489">
    <w:abstractNumId w:val="12"/>
  </w:num>
  <w:num w:numId="15" w16cid:durableId="1105998844">
    <w:abstractNumId w:val="16"/>
  </w:num>
  <w:num w:numId="16" w16cid:durableId="753287054">
    <w:abstractNumId w:val="13"/>
  </w:num>
  <w:num w:numId="17" w16cid:durableId="1411003387">
    <w:abstractNumId w:val="17"/>
  </w:num>
  <w:num w:numId="18" w16cid:durableId="2118794724">
    <w:abstractNumId w:val="18"/>
  </w:num>
  <w:num w:numId="19" w16cid:durableId="93521658">
    <w:abstractNumId w:val="11"/>
  </w:num>
  <w:num w:numId="20" w16cid:durableId="61717748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5F"/>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C438E"/>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B725A"/>
    <w:rsid w:val="003C2CC4"/>
    <w:rsid w:val="003D3898"/>
    <w:rsid w:val="003D4B23"/>
    <w:rsid w:val="003E278A"/>
    <w:rsid w:val="00413520"/>
    <w:rsid w:val="00430D57"/>
    <w:rsid w:val="004325CB"/>
    <w:rsid w:val="00440A07"/>
    <w:rsid w:val="00462880"/>
    <w:rsid w:val="00476F24"/>
    <w:rsid w:val="004B2D68"/>
    <w:rsid w:val="004C55B0"/>
    <w:rsid w:val="004F6BA0"/>
    <w:rsid w:val="00503BEA"/>
    <w:rsid w:val="00533616"/>
    <w:rsid w:val="00535ABA"/>
    <w:rsid w:val="0053768B"/>
    <w:rsid w:val="005420F2"/>
    <w:rsid w:val="0054285C"/>
    <w:rsid w:val="00584173"/>
    <w:rsid w:val="00595520"/>
    <w:rsid w:val="00597EA6"/>
    <w:rsid w:val="005A44B9"/>
    <w:rsid w:val="005B1BA0"/>
    <w:rsid w:val="005B3DB3"/>
    <w:rsid w:val="005D15CA"/>
    <w:rsid w:val="005D7969"/>
    <w:rsid w:val="005F08DF"/>
    <w:rsid w:val="005F3066"/>
    <w:rsid w:val="005F3E61"/>
    <w:rsid w:val="00604DDD"/>
    <w:rsid w:val="006115CC"/>
    <w:rsid w:val="00611FC4"/>
    <w:rsid w:val="00614DF1"/>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E75B6"/>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1B86"/>
    <w:rsid w:val="00866893"/>
    <w:rsid w:val="00866F02"/>
    <w:rsid w:val="00867D18"/>
    <w:rsid w:val="00871F9A"/>
    <w:rsid w:val="00871FD5"/>
    <w:rsid w:val="0088172E"/>
    <w:rsid w:val="00881EFA"/>
    <w:rsid w:val="008879CB"/>
    <w:rsid w:val="008979B1"/>
    <w:rsid w:val="008A11F3"/>
    <w:rsid w:val="008A6B25"/>
    <w:rsid w:val="008A6C4F"/>
    <w:rsid w:val="008A77AE"/>
    <w:rsid w:val="008B389E"/>
    <w:rsid w:val="008D045E"/>
    <w:rsid w:val="008D17AE"/>
    <w:rsid w:val="008D3F25"/>
    <w:rsid w:val="008D4D82"/>
    <w:rsid w:val="008E0E46"/>
    <w:rsid w:val="008E7116"/>
    <w:rsid w:val="008F143B"/>
    <w:rsid w:val="008F3882"/>
    <w:rsid w:val="008F4B7C"/>
    <w:rsid w:val="00910449"/>
    <w:rsid w:val="0091187D"/>
    <w:rsid w:val="00926E47"/>
    <w:rsid w:val="00931596"/>
    <w:rsid w:val="00947162"/>
    <w:rsid w:val="00950634"/>
    <w:rsid w:val="009610D0"/>
    <w:rsid w:val="009626C6"/>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3D55"/>
    <w:rsid w:val="00B30179"/>
    <w:rsid w:val="00B33FC7"/>
    <w:rsid w:val="00B37B15"/>
    <w:rsid w:val="00B37B5E"/>
    <w:rsid w:val="00B45C02"/>
    <w:rsid w:val="00B70B63"/>
    <w:rsid w:val="00B72A1E"/>
    <w:rsid w:val="00B81E12"/>
    <w:rsid w:val="00B84F0D"/>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19A5"/>
    <w:rsid w:val="00C408B7"/>
    <w:rsid w:val="00C411EB"/>
    <w:rsid w:val="00C463DD"/>
    <w:rsid w:val="00C745C3"/>
    <w:rsid w:val="00C978F5"/>
    <w:rsid w:val="00CA24A4"/>
    <w:rsid w:val="00CB348D"/>
    <w:rsid w:val="00CD46F5"/>
    <w:rsid w:val="00CE4A8F"/>
    <w:rsid w:val="00CE78F6"/>
    <w:rsid w:val="00CF071D"/>
    <w:rsid w:val="00CF365F"/>
    <w:rsid w:val="00D0123D"/>
    <w:rsid w:val="00D15B04"/>
    <w:rsid w:val="00D2031B"/>
    <w:rsid w:val="00D25FE2"/>
    <w:rsid w:val="00D368BE"/>
    <w:rsid w:val="00D37DA9"/>
    <w:rsid w:val="00D406A7"/>
    <w:rsid w:val="00D40765"/>
    <w:rsid w:val="00D43252"/>
    <w:rsid w:val="00D44D86"/>
    <w:rsid w:val="00D462C4"/>
    <w:rsid w:val="00D50B7D"/>
    <w:rsid w:val="00D52012"/>
    <w:rsid w:val="00D704E5"/>
    <w:rsid w:val="00D72727"/>
    <w:rsid w:val="00D978C6"/>
    <w:rsid w:val="00DA0956"/>
    <w:rsid w:val="00DA357F"/>
    <w:rsid w:val="00DA3E12"/>
    <w:rsid w:val="00DB6908"/>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115C"/>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04CA"/>
  <w15:docId w15:val="{995F76EB-DECC-4C47-8FC6-1076A74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uiPriority w:val="99"/>
    <w:rsid w:val="00910449"/>
    <w:rPr>
      <w:b/>
      <w:sz w:val="28"/>
      <w:lang w:val="en-GB"/>
    </w:rPr>
  </w:style>
  <w:style w:type="character" w:customStyle="1" w:styleId="FootnoteTextChar">
    <w:name w:val="Footnote Text Char"/>
    <w:aliases w:val="5_G Char"/>
    <w:basedOn w:val="DefaultParagraphFont"/>
    <w:link w:val="FootnoteText"/>
    <w:rsid w:val="002C438E"/>
    <w:rPr>
      <w:sz w:val="18"/>
      <w:lang w:val="en-GB"/>
    </w:rPr>
  </w:style>
  <w:style w:type="paragraph" w:styleId="Revision">
    <w:name w:val="Revision"/>
    <w:hidden/>
    <w:uiPriority w:val="99"/>
    <w:semiHidden/>
    <w:rsid w:val="00931596"/>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69CE4-F729-4E8F-BDCA-0321F310B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purl.org/dc/elements/1.1/"/>
    <ds:schemaRef ds:uri="acccb6d4-dbe5-46d2-b4d3-5733603d8cc6"/>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985ec44e-1bab-4c0b-9df0-6ba128686fc9"/>
    <ds:schemaRef ds:uri="4b4a1c0d-4a69-4996-a84a-fc699b9f49de"/>
    <ds:schemaRef ds:uri="http://www.w3.org/XML/1998/namespac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3</Pages>
  <Words>802</Words>
  <Characters>4572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ECE/TRANS/WP.15/AC.1/2024/34</vt:lpstr>
      <vt:lpstr/>
    </vt:vector>
  </TitlesOfParts>
  <Company>CSD</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ECE/TRANS/WP.15/AC.1/2024/34</dc:title>
  <dc:creator>Anastasia Barinova</dc:creator>
  <cp:lastModifiedBy>Anastasia Barinova</cp:lastModifiedBy>
  <cp:revision>2</cp:revision>
  <cp:lastPrinted>2009-02-18T09:36:00Z</cp:lastPrinted>
  <dcterms:created xsi:type="dcterms:W3CDTF">2024-06-26T13:47:00Z</dcterms:created>
  <dcterms:modified xsi:type="dcterms:W3CDTF">2024-06-26T13:47:00Z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