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709"/>
        <w:gridCol w:w="429"/>
        <w:gridCol w:w="5540"/>
        <w:gridCol w:w="2819"/>
      </w:tblGrid>
      <w:tr w:rsidR="002D5AAC" w:rsidRPr="00655F42" w14:paraId="1BE84FFB" w14:textId="77777777" w:rsidTr="002A7B4A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668A1157" w14:textId="77777777" w:rsidR="002D5AAC" w:rsidRPr="008C1A9B" w:rsidRDefault="002D5AAC" w:rsidP="00655F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lang w:val="fr-CH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9C832FC" w14:textId="77777777" w:rsidR="002D5AAC" w:rsidRPr="00BD33EE" w:rsidRDefault="002D5AAC" w:rsidP="002A7B4A"/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7058DB77" w14:textId="2C9ADD4B" w:rsidR="00655F42" w:rsidRPr="00655F42" w:rsidRDefault="00655F42" w:rsidP="00655F42">
            <w:pPr>
              <w:jc w:val="right"/>
              <w:rPr>
                <w:lang w:val="en-US"/>
              </w:rPr>
            </w:pPr>
            <w:r w:rsidRPr="00655F42">
              <w:rPr>
                <w:sz w:val="40"/>
                <w:lang w:val="en-US"/>
              </w:rPr>
              <w:t>E</w:t>
            </w:r>
            <w:r w:rsidRPr="00655F42">
              <w:rPr>
                <w:lang w:val="en-US"/>
              </w:rPr>
              <w:t>/ECE/324/Rev.1/Add.84/Rev.1/Amend.6</w:t>
            </w:r>
            <w:r w:rsidRPr="00655F42">
              <w:rPr>
                <w:rFonts w:cs="Times New Roman"/>
                <w:lang w:val="en-US"/>
              </w:rPr>
              <w:t>−</w:t>
            </w:r>
            <w:r w:rsidRPr="00655F42">
              <w:rPr>
                <w:sz w:val="40"/>
                <w:lang w:val="en-US"/>
              </w:rPr>
              <w:t>E</w:t>
            </w:r>
            <w:r w:rsidRPr="00655F42">
              <w:rPr>
                <w:lang w:val="en-US"/>
              </w:rPr>
              <w:t>/ECE/TRANS/505/Rev.1/Add.84/Rev.1/Amend.6</w:t>
            </w:r>
          </w:p>
        </w:tc>
      </w:tr>
      <w:tr w:rsidR="002D5AAC" w:rsidRPr="009D084C" w14:paraId="0BE9EAFE" w14:textId="77777777" w:rsidTr="002A7B4A">
        <w:trPr>
          <w:trHeight w:hRule="exact" w:val="2835"/>
        </w:trPr>
        <w:tc>
          <w:tcPr>
            <w:tcW w:w="128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A510B74" w14:textId="77777777" w:rsidR="002D5AAC" w:rsidRPr="00655F42" w:rsidRDefault="002D5AAC" w:rsidP="002A7B4A">
            <w:pPr>
              <w:spacing w:before="120"/>
              <w:rPr>
                <w:szCs w:val="20"/>
                <w:lang w:val="en-US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12" w:space="0" w:color="auto"/>
            </w:tcBorders>
          </w:tcPr>
          <w:p w14:paraId="52312E9E" w14:textId="77777777" w:rsidR="002D5AAC" w:rsidRPr="00655F42" w:rsidRDefault="002D5AAC" w:rsidP="002A7B4A">
            <w:pPr>
              <w:spacing w:before="120" w:line="360" w:lineRule="exact"/>
              <w:rPr>
                <w:b/>
                <w:szCs w:val="20"/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67A147CC" w14:textId="56A20534" w:rsidR="002D5AAC" w:rsidRPr="00655F42" w:rsidRDefault="002D5AAC" w:rsidP="00655F42">
            <w:pPr>
              <w:spacing w:before="120"/>
              <w:rPr>
                <w:rFonts w:eastAsia="Times New Roman" w:cs="Times New Roman"/>
                <w:szCs w:val="20"/>
                <w:lang w:val="en-GB"/>
              </w:rPr>
            </w:pPr>
          </w:p>
          <w:p w14:paraId="20AE732F" w14:textId="77777777" w:rsidR="00655F42" w:rsidRPr="00655F42" w:rsidRDefault="00655F42" w:rsidP="00655F42">
            <w:pPr>
              <w:spacing w:before="120"/>
              <w:rPr>
                <w:rFonts w:eastAsia="Times New Roman" w:cs="Times New Roman"/>
                <w:szCs w:val="20"/>
                <w:lang w:val="en-GB"/>
              </w:rPr>
            </w:pPr>
          </w:p>
          <w:p w14:paraId="43D63632" w14:textId="228DF95C" w:rsidR="00655F42" w:rsidRPr="009D084C" w:rsidRDefault="00655F42" w:rsidP="00655F42">
            <w:pPr>
              <w:spacing w:before="120"/>
              <w:rPr>
                <w:szCs w:val="20"/>
                <w:lang w:val="en-US"/>
              </w:rPr>
            </w:pPr>
            <w:r w:rsidRPr="00655F42">
              <w:rPr>
                <w:rFonts w:eastAsia="Times New Roman" w:cs="Times New Roman"/>
                <w:szCs w:val="20"/>
                <w:lang w:val="en-GB"/>
              </w:rPr>
              <w:t>13</w:t>
            </w:r>
            <w:r>
              <w:rPr>
                <w:szCs w:val="20"/>
                <w:lang w:val="en-US"/>
              </w:rPr>
              <w:t xml:space="preserve"> February 2024</w:t>
            </w:r>
          </w:p>
        </w:tc>
      </w:tr>
    </w:tbl>
    <w:p w14:paraId="6724656F" w14:textId="77777777" w:rsidR="00655F42" w:rsidRPr="005818DD" w:rsidRDefault="00655F42" w:rsidP="00655F42">
      <w:pPr>
        <w:pStyle w:val="HChG"/>
        <w:spacing w:before="120" w:after="120"/>
      </w:pPr>
      <w:bookmarkStart w:id="0" w:name="_Hlk516475680"/>
      <w:r>
        <w:tab/>
      </w:r>
      <w:r>
        <w:tab/>
      </w:r>
      <w:r>
        <w:rPr>
          <w:bCs/>
        </w:rPr>
        <w:t>Соглашение</w:t>
      </w:r>
      <w:bookmarkStart w:id="1" w:name="_Toc340666199"/>
      <w:bookmarkStart w:id="2" w:name="_Toc340745062"/>
      <w:bookmarkEnd w:id="1"/>
      <w:bookmarkEnd w:id="2"/>
    </w:p>
    <w:p w14:paraId="7A5432EE" w14:textId="77777777" w:rsidR="00655F42" w:rsidRPr="00655F42" w:rsidRDefault="00655F42" w:rsidP="00655F42">
      <w:pPr>
        <w:pStyle w:val="H1G"/>
        <w:spacing w:before="120" w:after="120"/>
      </w:pPr>
      <w:r>
        <w:tab/>
      </w:r>
      <w:r>
        <w:tab/>
      </w:r>
      <w:r>
        <w:rPr>
          <w:bCs/>
        </w:rPr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655F42">
        <w:rPr>
          <w:rStyle w:val="aa"/>
          <w:b w:val="0"/>
          <w:sz w:val="20"/>
          <w:vertAlign w:val="baseline"/>
        </w:rPr>
        <w:footnoteReference w:customMarkFollows="1" w:id="1"/>
        <w:t>*</w:t>
      </w:r>
    </w:p>
    <w:p w14:paraId="0B32CBFA" w14:textId="27EAAA73" w:rsidR="00655F42" w:rsidRDefault="00655F42" w:rsidP="00655F42">
      <w:pPr>
        <w:pStyle w:val="SingleTxtG"/>
        <w:spacing w:before="120"/>
      </w:pPr>
      <w:r>
        <w:t>(Пересмотр 3, включающий поправки, вступившие в силу 14 сентября 2017 года)</w:t>
      </w:r>
    </w:p>
    <w:p w14:paraId="7099C063" w14:textId="55768229" w:rsidR="00655F42" w:rsidRPr="00655F42" w:rsidRDefault="00655F42" w:rsidP="00655F42">
      <w:pPr>
        <w:pStyle w:val="SingleTxtG"/>
        <w:spacing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AFECE8" w14:textId="77777777" w:rsidR="00655F42" w:rsidRPr="00D7444B" w:rsidRDefault="00655F42" w:rsidP="00655F42">
      <w:pPr>
        <w:pStyle w:val="H1G"/>
        <w:spacing w:before="240" w:after="120"/>
      </w:pPr>
      <w:r>
        <w:tab/>
      </w:r>
      <w:r>
        <w:tab/>
      </w:r>
      <w:r>
        <w:rPr>
          <w:bCs/>
        </w:rPr>
        <w:t>Добавление 84 — Правила № 85 ООН</w:t>
      </w:r>
    </w:p>
    <w:p w14:paraId="7420454A" w14:textId="5A72C2D4" w:rsidR="00655F42" w:rsidRPr="00D7444B" w:rsidRDefault="00655F42" w:rsidP="00655F42">
      <w:pPr>
        <w:pStyle w:val="H1G"/>
        <w:spacing w:before="120"/>
      </w:pPr>
      <w:r>
        <w:tab/>
      </w:r>
      <w:r>
        <w:tab/>
      </w:r>
      <w:r>
        <w:rPr>
          <w:bCs/>
        </w:rPr>
        <w:t xml:space="preserve">Пересмотр 1 </w:t>
      </w:r>
      <w:r w:rsidRPr="00655F42">
        <w:rPr>
          <w:bCs/>
        </w:rPr>
        <w:t>—</w:t>
      </w:r>
      <w:r>
        <w:rPr>
          <w:bCs/>
        </w:rPr>
        <w:t xml:space="preserve"> Поправка 6</w:t>
      </w:r>
    </w:p>
    <w:p w14:paraId="150F0CE4" w14:textId="629FF649" w:rsidR="00655F42" w:rsidRPr="00D7444B" w:rsidRDefault="00655F42" w:rsidP="00655F42">
      <w:pPr>
        <w:pStyle w:val="SingleTxtG"/>
        <w:spacing w:after="240"/>
        <w:rPr>
          <w:spacing w:val="-2"/>
        </w:rPr>
      </w:pPr>
      <w:r>
        <w:t>Дополнение 12 к первоначальному варианту Правил — Дата вступления в силу: 5</w:t>
      </w:r>
      <w:r>
        <w:rPr>
          <w:lang w:val="en-US"/>
        </w:rPr>
        <w:t> </w:t>
      </w:r>
      <w:r>
        <w:t>января 2024 года</w:t>
      </w:r>
    </w:p>
    <w:p w14:paraId="7D6E349B" w14:textId="77777777" w:rsidR="00655F42" w:rsidRPr="0025454E" w:rsidRDefault="00655F42" w:rsidP="00655F42">
      <w:pPr>
        <w:pStyle w:val="H1G"/>
        <w:spacing w:before="120" w:after="120" w:line="240" w:lineRule="exact"/>
        <w:rPr>
          <w:bCs/>
        </w:rPr>
      </w:pPr>
      <w:r>
        <w:tab/>
      </w:r>
      <w:r>
        <w:tab/>
      </w:r>
      <w:r>
        <w:rPr>
          <w:bCs/>
        </w:rPr>
        <w:t>Единообразные предписания, касающиеся официального утверждения двигателей внутреннего сгорания или систем электротяги, предназначенных для приведения в движение автотранспортных средств категорий М и N, в отношении измерения полезной мощности и максимальной 30-минутной мощности систем электротяги</w:t>
      </w:r>
      <w:bookmarkEnd w:id="0"/>
    </w:p>
    <w:p w14:paraId="07E51DD7" w14:textId="149D1FA4" w:rsidR="00655F42" w:rsidRDefault="00655F42" w:rsidP="00655F42">
      <w:pPr>
        <w:pStyle w:val="SingleTxtG"/>
        <w:spacing w:after="40"/>
      </w:pPr>
      <w:r>
        <w:t>Настоящий документ опубликован исключительно в информационных целях. Аутентичным и юридически обязательным текстом является документ: ECE/TRANS/WP.29/2023/64.</w:t>
      </w:r>
    </w:p>
    <w:p w14:paraId="3405630C" w14:textId="6AD39451" w:rsidR="00655F42" w:rsidRPr="00655F42" w:rsidRDefault="00655F42" w:rsidP="00655F42">
      <w:pPr>
        <w:pStyle w:val="SingleTxtG"/>
        <w:spacing w:after="0"/>
        <w:jc w:val="center"/>
        <w:rPr>
          <w:spacing w:val="-6"/>
          <w:u w:val="single"/>
        </w:rPr>
      </w:pPr>
      <w:r w:rsidRPr="005818DD">
        <w:rPr>
          <w:b/>
          <w:noProof/>
          <w:sz w:val="24"/>
        </w:rPr>
        <w:drawing>
          <wp:anchor distT="0" distB="137160" distL="114300" distR="114300" simplePos="0" relativeHeight="251659264" behindDoc="0" locked="0" layoutInCell="1" allowOverlap="1" wp14:anchorId="60CB7E51" wp14:editId="42A35E94">
            <wp:simplePos x="0" y="0"/>
            <wp:positionH relativeFrom="column">
              <wp:posOffset>2552065</wp:posOffset>
            </wp:positionH>
            <wp:positionV relativeFrom="paragraph">
              <wp:posOffset>193675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542E45" w14:textId="0B4F5728" w:rsidR="00655F42" w:rsidRPr="00655F42" w:rsidRDefault="00655F42" w:rsidP="00655F42">
      <w:pPr>
        <w:suppressAutoHyphens w:val="0"/>
        <w:spacing w:line="240" w:lineRule="auto"/>
        <w:jc w:val="center"/>
        <w:rPr>
          <w:b/>
          <w:sz w:val="24"/>
        </w:rPr>
      </w:pPr>
      <w:r>
        <w:rPr>
          <w:b/>
          <w:bCs/>
        </w:rPr>
        <w:t>ОРГАНИЗАЦИЯ ОБЪЕДИНЕННЫХ НАЦИЙ</w:t>
      </w:r>
      <w:r w:rsidRPr="00D7444B">
        <w:br w:type="page"/>
      </w:r>
    </w:p>
    <w:p w14:paraId="667FBA79" w14:textId="77777777" w:rsidR="00655F42" w:rsidRPr="00D7444B" w:rsidRDefault="00655F42" w:rsidP="00655F42">
      <w:pPr>
        <w:spacing w:after="120" w:line="240" w:lineRule="auto"/>
        <w:ind w:left="2268" w:right="1134" w:hanging="1134"/>
        <w:jc w:val="both"/>
        <w:rPr>
          <w:iCs/>
          <w:lang w:eastAsia="fr-FR"/>
        </w:rPr>
      </w:pPr>
      <w:bookmarkStart w:id="3" w:name="_Hlk97733784"/>
      <w:r w:rsidRPr="00D7444B">
        <w:rPr>
          <w:i/>
          <w:iCs/>
          <w:lang w:eastAsia="fr-FR"/>
        </w:rPr>
        <w:lastRenderedPageBreak/>
        <w:t>Пункт 5.2.3.4</w:t>
      </w:r>
      <w:r w:rsidRPr="00D7444B">
        <w:rPr>
          <w:lang w:eastAsia="fr-FR"/>
        </w:rPr>
        <w:t xml:space="preserve"> изменить следующим образом:</w:t>
      </w:r>
    </w:p>
    <w:p w14:paraId="4D2190A5" w14:textId="77777777" w:rsidR="00655F42" w:rsidRPr="00D7444B" w:rsidRDefault="00655F42" w:rsidP="00655F42">
      <w:pPr>
        <w:spacing w:after="120"/>
        <w:ind w:left="2268" w:right="1134" w:hanging="1134"/>
        <w:jc w:val="both"/>
        <w:rPr>
          <w:lang w:eastAsia="fr-FR"/>
        </w:rPr>
      </w:pPr>
      <w:r w:rsidRPr="00D7444B">
        <w:rPr>
          <w:lang w:eastAsia="fr-FR"/>
        </w:rPr>
        <w:t>«5.2.3.4</w:t>
      </w:r>
      <w:r w:rsidRPr="00D7444B">
        <w:rPr>
          <w:lang w:eastAsia="fr-FR"/>
        </w:rPr>
        <w:tab/>
        <w:t>Для двигателей с воспламенением от сжатия и двухтопливных двигателей:</w:t>
      </w:r>
    </w:p>
    <w:p w14:paraId="1BB6D7DF" w14:textId="77777777" w:rsidR="00655F42" w:rsidRPr="00D7444B" w:rsidRDefault="00655F42" w:rsidP="00655F42">
      <w:pPr>
        <w:spacing w:after="120"/>
        <w:ind w:left="2268" w:right="1134"/>
        <w:jc w:val="both"/>
        <w:rPr>
          <w:lang w:eastAsia="fr-FR"/>
        </w:rPr>
      </w:pPr>
      <w:r w:rsidRPr="00D7444B">
        <w:rPr>
          <w:lang w:eastAsia="fr-FR"/>
        </w:rPr>
        <w:t xml:space="preserve">используют топливо, имеющееся на рынке. В любом спорном случае используют эталонное топливо, определенное КЕС для двигателей с воспламенением от сжатия в документе КЕС </w:t>
      </w:r>
      <w:r w:rsidRPr="00090E28">
        <w:rPr>
          <w:lang w:eastAsia="fr-FR"/>
        </w:rPr>
        <w:t>RF</w:t>
      </w:r>
      <w:r w:rsidRPr="00D7444B">
        <w:rPr>
          <w:lang w:eastAsia="fr-FR"/>
        </w:rPr>
        <w:t>-03-</w:t>
      </w:r>
      <w:r w:rsidRPr="00090E28">
        <w:rPr>
          <w:lang w:eastAsia="fr-FR"/>
        </w:rPr>
        <w:t>A</w:t>
      </w:r>
      <w:r w:rsidRPr="00D7444B">
        <w:rPr>
          <w:lang w:eastAsia="fr-FR"/>
        </w:rPr>
        <w:t>-84.</w:t>
      </w:r>
    </w:p>
    <w:p w14:paraId="508435E4" w14:textId="15723D89" w:rsidR="00655F42" w:rsidRPr="00D7444B" w:rsidRDefault="00655F42" w:rsidP="00655F42">
      <w:pPr>
        <w:spacing w:after="120"/>
        <w:ind w:left="2268" w:right="1134"/>
        <w:jc w:val="both"/>
      </w:pPr>
      <w:r w:rsidRPr="00D7444B">
        <w:rPr>
          <w:lang w:eastAsia="fr-FR"/>
        </w:rPr>
        <w:t xml:space="preserve">Если испытания на выбросы согласно правилам </w:t>
      </w:r>
      <w:r>
        <w:rPr>
          <w:lang w:eastAsia="fr-FR"/>
        </w:rPr>
        <w:t>№</w:t>
      </w:r>
      <w:r w:rsidRPr="00D7444B">
        <w:rPr>
          <w:lang w:eastAsia="fr-FR"/>
        </w:rPr>
        <w:t>№ 49 и/или 24 ООН проводятся одновременно с испытаниями по настоящим Правилам, то по просьбе изготовителя для целей испытаний на выбросы в рамках настоящих Правил может использоваться такое же топливо».</w:t>
      </w:r>
    </w:p>
    <w:bookmarkEnd w:id="3"/>
    <w:p w14:paraId="7B144849" w14:textId="77777777" w:rsidR="00655F42" w:rsidRPr="00D7444B" w:rsidRDefault="00655F42" w:rsidP="00655F42">
      <w:pPr>
        <w:tabs>
          <w:tab w:val="left" w:pos="2300"/>
          <w:tab w:val="left" w:pos="2800"/>
          <w:tab w:val="center" w:pos="4819"/>
        </w:tabs>
        <w:spacing w:after="120"/>
        <w:ind w:left="2302" w:right="1134" w:hanging="1168"/>
        <w:jc w:val="both"/>
        <w:rPr>
          <w:i/>
          <w:lang w:eastAsia="fr-FR"/>
        </w:rPr>
      </w:pPr>
      <w:r w:rsidRPr="00D7444B">
        <w:rPr>
          <w:i/>
          <w:iCs/>
          <w:lang w:eastAsia="fr-FR"/>
        </w:rPr>
        <w:t>Включить новый пункт 5.2.3.7</w:t>
      </w:r>
      <w:r w:rsidRPr="00D7444B">
        <w:rPr>
          <w:lang w:eastAsia="fr-FR"/>
        </w:rPr>
        <w:t xml:space="preserve"> следующего содержания:</w:t>
      </w:r>
    </w:p>
    <w:p w14:paraId="54261E44" w14:textId="77777777" w:rsidR="00655F42" w:rsidRPr="00D7444B" w:rsidRDefault="00655F42" w:rsidP="00655F42">
      <w:pPr>
        <w:spacing w:after="120"/>
        <w:ind w:left="2268" w:right="1134" w:hanging="1134"/>
        <w:jc w:val="both"/>
        <w:rPr>
          <w:rFonts w:eastAsia="MS Mincho"/>
        </w:rPr>
      </w:pPr>
      <w:r w:rsidRPr="00D7444B">
        <w:rPr>
          <w:rFonts w:eastAsia="MS Mincho"/>
        </w:rPr>
        <w:t>«5.2.3.7</w:t>
      </w:r>
      <w:r w:rsidRPr="00D7444B">
        <w:rPr>
          <w:rFonts w:eastAsia="MS Mincho"/>
        </w:rPr>
        <w:tab/>
        <w:t>Для двигателей с принудительным зажиганием, двигателей с воспламенением от сжатия и двухтопливных двигателей, работающих на водороде:</w:t>
      </w:r>
    </w:p>
    <w:p w14:paraId="5563F962" w14:textId="77777777" w:rsidR="00655F42" w:rsidRPr="00D7444B" w:rsidRDefault="00655F42" w:rsidP="00655F42">
      <w:pPr>
        <w:spacing w:after="120"/>
        <w:ind w:left="2268" w:right="1134"/>
        <w:jc w:val="both"/>
        <w:rPr>
          <w:rFonts w:eastAsia="MS Mincho"/>
          <w:color w:val="000000"/>
        </w:rPr>
      </w:pPr>
      <w:r w:rsidRPr="00D7444B">
        <w:rPr>
          <w:rFonts w:eastAsia="MS Mincho"/>
        </w:rPr>
        <w:t xml:space="preserve">используют топливо, имеющееся на рынке. В любом спорном случае используют топливо, указанное в стандарте </w:t>
      </w:r>
      <w:r w:rsidRPr="00A265BB">
        <w:rPr>
          <w:rFonts w:eastAsia="MS Mincho"/>
        </w:rPr>
        <w:t>ISO </w:t>
      </w:r>
      <w:r w:rsidRPr="00D7444B">
        <w:rPr>
          <w:rFonts w:eastAsia="MS Mincho"/>
        </w:rPr>
        <w:t xml:space="preserve">14687:2019 как имеющее сорт </w:t>
      </w:r>
      <w:r w:rsidRPr="00A265BB">
        <w:rPr>
          <w:rFonts w:eastAsia="MS Mincho"/>
        </w:rPr>
        <w:t>D</w:t>
      </w:r>
      <w:r w:rsidRPr="00D7444B">
        <w:rPr>
          <w:rFonts w:eastAsia="MS Mincho"/>
        </w:rPr>
        <w:t>».</w:t>
      </w:r>
    </w:p>
    <w:p w14:paraId="776306E8" w14:textId="77777777" w:rsidR="00655F42" w:rsidRPr="00D7444B" w:rsidRDefault="00655F42" w:rsidP="00655F42">
      <w:pPr>
        <w:spacing w:before="240"/>
        <w:jc w:val="center"/>
        <w:rPr>
          <w:u w:val="single"/>
          <w:lang w:eastAsia="fr-FR"/>
        </w:rPr>
      </w:pPr>
      <w:r w:rsidRPr="00D7444B">
        <w:rPr>
          <w:u w:val="single"/>
          <w:lang w:eastAsia="fr-FR"/>
        </w:rPr>
        <w:tab/>
      </w:r>
      <w:r w:rsidRPr="00D7444B">
        <w:rPr>
          <w:u w:val="single"/>
          <w:lang w:eastAsia="fr-FR"/>
        </w:rPr>
        <w:tab/>
      </w:r>
      <w:r w:rsidRPr="00D7444B">
        <w:rPr>
          <w:u w:val="single"/>
          <w:lang w:eastAsia="fr-FR"/>
        </w:rPr>
        <w:tab/>
      </w:r>
    </w:p>
    <w:p w14:paraId="020107A0" w14:textId="77777777" w:rsidR="00381C24" w:rsidRPr="00BC18B2" w:rsidRDefault="00381C24" w:rsidP="001F49C9"/>
    <w:sectPr w:rsidR="00381C24" w:rsidRPr="00BC18B2" w:rsidSect="00655F4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87A3" w14:textId="77777777" w:rsidR="008A6AA1" w:rsidRPr="00A312BC" w:rsidRDefault="008A6AA1" w:rsidP="00A312BC"/>
  </w:endnote>
  <w:endnote w:type="continuationSeparator" w:id="0">
    <w:p w14:paraId="7BC05EC5" w14:textId="77777777" w:rsidR="008A6AA1" w:rsidRPr="00A312BC" w:rsidRDefault="008A6AA1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5C7B" w14:textId="735A5837" w:rsidR="00655F42" w:rsidRPr="00655F42" w:rsidRDefault="00655F42">
    <w:pPr>
      <w:pStyle w:val="a8"/>
    </w:pPr>
    <w:r w:rsidRPr="00655F42">
      <w:rPr>
        <w:b/>
        <w:sz w:val="18"/>
      </w:rPr>
      <w:fldChar w:fldCharType="begin"/>
    </w:r>
    <w:r w:rsidRPr="00655F42">
      <w:rPr>
        <w:b/>
        <w:sz w:val="18"/>
      </w:rPr>
      <w:instrText xml:space="preserve"> PAGE  \* MERGEFORMAT </w:instrText>
    </w:r>
    <w:r w:rsidRPr="00655F42">
      <w:rPr>
        <w:b/>
        <w:sz w:val="18"/>
      </w:rPr>
      <w:fldChar w:fldCharType="separate"/>
    </w:r>
    <w:r w:rsidRPr="00655F42">
      <w:rPr>
        <w:b/>
        <w:noProof/>
        <w:sz w:val="18"/>
      </w:rPr>
      <w:t>2</w:t>
    </w:r>
    <w:r w:rsidRPr="00655F42">
      <w:rPr>
        <w:b/>
        <w:sz w:val="18"/>
      </w:rPr>
      <w:fldChar w:fldCharType="end"/>
    </w:r>
    <w:r>
      <w:rPr>
        <w:b/>
        <w:sz w:val="18"/>
      </w:rPr>
      <w:tab/>
    </w:r>
    <w:r>
      <w:t>GE.24-02699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8012" w14:textId="26801DBE" w:rsidR="00655F42" w:rsidRPr="00655F42" w:rsidRDefault="00655F42" w:rsidP="00655F42">
    <w:pPr>
      <w:pStyle w:val="a8"/>
      <w:tabs>
        <w:tab w:val="clear" w:pos="9639"/>
        <w:tab w:val="right" w:pos="9638"/>
      </w:tabs>
      <w:rPr>
        <w:b/>
        <w:sz w:val="18"/>
      </w:rPr>
    </w:pPr>
    <w:r>
      <w:t>GE.24-02699</w:t>
    </w:r>
    <w:r>
      <w:tab/>
    </w:r>
    <w:r w:rsidRPr="00655F42">
      <w:rPr>
        <w:b/>
        <w:sz w:val="18"/>
      </w:rPr>
      <w:fldChar w:fldCharType="begin"/>
    </w:r>
    <w:r w:rsidRPr="00655F42">
      <w:rPr>
        <w:b/>
        <w:sz w:val="18"/>
      </w:rPr>
      <w:instrText xml:space="preserve"> PAGE  \* MERGEFORMAT </w:instrText>
    </w:r>
    <w:r w:rsidRPr="00655F42">
      <w:rPr>
        <w:b/>
        <w:sz w:val="18"/>
      </w:rPr>
      <w:fldChar w:fldCharType="separate"/>
    </w:r>
    <w:r w:rsidRPr="00655F42">
      <w:rPr>
        <w:b/>
        <w:noProof/>
        <w:sz w:val="18"/>
      </w:rPr>
      <w:t>3</w:t>
    </w:r>
    <w:r w:rsidRPr="00655F4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8086C" w14:textId="55E7F08B" w:rsidR="00042B72" w:rsidRPr="00655F42" w:rsidRDefault="00655F42" w:rsidP="00655F42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A735613" wp14:editId="74EBA75F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24-02699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5192247" wp14:editId="477825F3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120324  130324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A2BC" w14:textId="77777777" w:rsidR="008A6AA1" w:rsidRPr="001075E9" w:rsidRDefault="008A6AA1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694E147" w14:textId="77777777" w:rsidR="008A6AA1" w:rsidRDefault="008A6AA1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66AFA89" w14:textId="77777777" w:rsidR="00655F42" w:rsidRPr="00765C89" w:rsidRDefault="00655F42" w:rsidP="00655F42">
      <w:pPr>
        <w:pStyle w:val="ad"/>
      </w:pPr>
      <w:r>
        <w:tab/>
      </w:r>
      <w:r w:rsidRPr="00655F42">
        <w:rPr>
          <w:sz w:val="20"/>
        </w:rPr>
        <w:t>*</w:t>
      </w:r>
      <w:r w:rsidRPr="00655F42">
        <w:tab/>
      </w:r>
      <w:r>
        <w:t>Прежние названия Соглашения:</w:t>
      </w:r>
    </w:p>
    <w:p w14:paraId="311A5853" w14:textId="77777777" w:rsidR="00655F42" w:rsidRPr="0025454E" w:rsidRDefault="00655F42" w:rsidP="00655F42">
      <w:pPr>
        <w:pStyle w:val="ad"/>
        <w:rPr>
          <w:sz w:val="20"/>
        </w:rPr>
      </w:pPr>
      <w:r>
        <w:tab/>
      </w:r>
      <w: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вариант);</w:t>
      </w:r>
    </w:p>
    <w:p w14:paraId="5ABB39F9" w14:textId="1585F7FC" w:rsidR="00655F42" w:rsidRPr="00D7444B" w:rsidRDefault="00655F42" w:rsidP="00655F42">
      <w:pPr>
        <w:pStyle w:val="ad"/>
      </w:pPr>
      <w:r>
        <w:tab/>
      </w:r>
      <w:r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</w:t>
      </w:r>
      <w:r>
        <w:t> </w:t>
      </w:r>
      <w:r>
        <w:t>октября 1995 года (пересмотр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3586" w14:textId="0E190CC4" w:rsidR="00655F42" w:rsidRPr="00655F42" w:rsidRDefault="00655F42">
    <w:pPr>
      <w:pStyle w:val="a5"/>
    </w:pPr>
    <w:fldSimple w:instr=" TITLE  \* MERGEFORMAT ">
      <w:r w:rsidR="00E57EED">
        <w:t>E/ECE/324/Rev.1/Add.84/Rev.1/Amend.6</w:t>
      </w:r>
    </w:fldSimple>
    <w:r>
      <w:br/>
    </w:r>
    <w:fldSimple w:instr=" KEYWORDS  \* MERGEFORMAT ">
      <w:r w:rsidR="00E57EED">
        <w:t>E/ECE/TRANS/505/Rev.1/Add.84/Rev.1/Amend.6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2C07" w14:textId="40B8DB73" w:rsidR="00655F42" w:rsidRPr="00655F42" w:rsidRDefault="00655F42" w:rsidP="00655F42">
    <w:pPr>
      <w:pStyle w:val="a5"/>
      <w:jc w:val="right"/>
    </w:pPr>
    <w:fldSimple w:instr=" TITLE  \* MERGEFORMAT ">
      <w:r w:rsidR="00E57EED">
        <w:t>E/ECE/324/Rev.1/Add.84/Rev.1/Amend.6</w:t>
      </w:r>
    </w:fldSimple>
    <w:r>
      <w:br/>
    </w:r>
    <w:fldSimple w:instr=" KEYWORDS  \* MERGEFORMAT ">
      <w:r w:rsidR="00E57EED">
        <w:t>E/ECE/TRANS/505/Rev.1/Add.84/Rev.1/Amend.6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291133">
    <w:abstractNumId w:val="17"/>
  </w:num>
  <w:num w:numId="2" w16cid:durableId="593435106">
    <w:abstractNumId w:val="13"/>
  </w:num>
  <w:num w:numId="3" w16cid:durableId="318508118">
    <w:abstractNumId w:val="11"/>
  </w:num>
  <w:num w:numId="4" w16cid:durableId="453914691">
    <w:abstractNumId w:val="12"/>
  </w:num>
  <w:num w:numId="5" w16cid:durableId="1448431852">
    <w:abstractNumId w:val="10"/>
  </w:num>
  <w:num w:numId="6" w16cid:durableId="272397362">
    <w:abstractNumId w:val="8"/>
  </w:num>
  <w:num w:numId="7" w16cid:durableId="992100412">
    <w:abstractNumId w:val="3"/>
  </w:num>
  <w:num w:numId="8" w16cid:durableId="922841709">
    <w:abstractNumId w:val="2"/>
  </w:num>
  <w:num w:numId="9" w16cid:durableId="1630278322">
    <w:abstractNumId w:val="1"/>
  </w:num>
  <w:num w:numId="10" w16cid:durableId="769663718">
    <w:abstractNumId w:val="0"/>
  </w:num>
  <w:num w:numId="11" w16cid:durableId="164713433">
    <w:abstractNumId w:val="9"/>
  </w:num>
  <w:num w:numId="12" w16cid:durableId="876045343">
    <w:abstractNumId w:val="7"/>
  </w:num>
  <w:num w:numId="13" w16cid:durableId="1747727863">
    <w:abstractNumId w:val="6"/>
  </w:num>
  <w:num w:numId="14" w16cid:durableId="374543517">
    <w:abstractNumId w:val="5"/>
  </w:num>
  <w:num w:numId="15" w16cid:durableId="39792555">
    <w:abstractNumId w:val="4"/>
  </w:num>
  <w:num w:numId="16" w16cid:durableId="275720389">
    <w:abstractNumId w:val="16"/>
  </w:num>
  <w:num w:numId="17" w16cid:durableId="1809349038">
    <w:abstractNumId w:val="14"/>
  </w:num>
  <w:num w:numId="18" w16cid:durableId="523640866">
    <w:abstractNumId w:val="15"/>
  </w:num>
  <w:num w:numId="19" w16cid:durableId="206991614">
    <w:abstractNumId w:val="16"/>
  </w:num>
  <w:num w:numId="20" w16cid:durableId="160237972">
    <w:abstractNumId w:val="14"/>
  </w:num>
  <w:num w:numId="21" w16cid:durableId="9845169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A1"/>
    <w:rsid w:val="00033EE1"/>
    <w:rsid w:val="00042B72"/>
    <w:rsid w:val="000558BD"/>
    <w:rsid w:val="000B57E7"/>
    <w:rsid w:val="000B6373"/>
    <w:rsid w:val="000F09DF"/>
    <w:rsid w:val="000F61B2"/>
    <w:rsid w:val="000F6F41"/>
    <w:rsid w:val="001075E9"/>
    <w:rsid w:val="00180183"/>
    <w:rsid w:val="0018024D"/>
    <w:rsid w:val="0018649F"/>
    <w:rsid w:val="00196389"/>
    <w:rsid w:val="001B3EF6"/>
    <w:rsid w:val="001C7A89"/>
    <w:rsid w:val="001F49C9"/>
    <w:rsid w:val="0020092A"/>
    <w:rsid w:val="00205D9D"/>
    <w:rsid w:val="0025556A"/>
    <w:rsid w:val="002A2EFC"/>
    <w:rsid w:val="002A7B4A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30198"/>
    <w:rsid w:val="003402C2"/>
    <w:rsid w:val="00373BCE"/>
    <w:rsid w:val="00381C24"/>
    <w:rsid w:val="003958D0"/>
    <w:rsid w:val="003B00E5"/>
    <w:rsid w:val="003B658E"/>
    <w:rsid w:val="003B65A9"/>
    <w:rsid w:val="003D6715"/>
    <w:rsid w:val="00407B78"/>
    <w:rsid w:val="0041453E"/>
    <w:rsid w:val="00424203"/>
    <w:rsid w:val="00452493"/>
    <w:rsid w:val="00454E07"/>
    <w:rsid w:val="00471B10"/>
    <w:rsid w:val="00472C5C"/>
    <w:rsid w:val="00491047"/>
    <w:rsid w:val="004D541E"/>
    <w:rsid w:val="0050108D"/>
    <w:rsid w:val="00513081"/>
    <w:rsid w:val="00517901"/>
    <w:rsid w:val="00526683"/>
    <w:rsid w:val="005709E0"/>
    <w:rsid w:val="00572E19"/>
    <w:rsid w:val="005961C8"/>
    <w:rsid w:val="005D7914"/>
    <w:rsid w:val="005E2B41"/>
    <w:rsid w:val="005F0B42"/>
    <w:rsid w:val="00655F42"/>
    <w:rsid w:val="006567A0"/>
    <w:rsid w:val="00681A10"/>
    <w:rsid w:val="006A1ED8"/>
    <w:rsid w:val="006C2031"/>
    <w:rsid w:val="006D461A"/>
    <w:rsid w:val="006E5645"/>
    <w:rsid w:val="006F35EE"/>
    <w:rsid w:val="007021FF"/>
    <w:rsid w:val="00712895"/>
    <w:rsid w:val="00757357"/>
    <w:rsid w:val="00825F8D"/>
    <w:rsid w:val="00834B71"/>
    <w:rsid w:val="0086445C"/>
    <w:rsid w:val="00870BDA"/>
    <w:rsid w:val="00894693"/>
    <w:rsid w:val="008A08D7"/>
    <w:rsid w:val="008A697B"/>
    <w:rsid w:val="008A6AA1"/>
    <w:rsid w:val="008B6909"/>
    <w:rsid w:val="008C1A9B"/>
    <w:rsid w:val="00906890"/>
    <w:rsid w:val="00911BE4"/>
    <w:rsid w:val="00943923"/>
    <w:rsid w:val="00951972"/>
    <w:rsid w:val="009608F3"/>
    <w:rsid w:val="009A24AC"/>
    <w:rsid w:val="009D084C"/>
    <w:rsid w:val="009F307A"/>
    <w:rsid w:val="00A04E47"/>
    <w:rsid w:val="00A312BC"/>
    <w:rsid w:val="00A84021"/>
    <w:rsid w:val="00A84D35"/>
    <w:rsid w:val="00A917B3"/>
    <w:rsid w:val="00AB4B51"/>
    <w:rsid w:val="00AC3DF0"/>
    <w:rsid w:val="00B10CC7"/>
    <w:rsid w:val="00B539E7"/>
    <w:rsid w:val="00B62458"/>
    <w:rsid w:val="00BB7B85"/>
    <w:rsid w:val="00BC18B2"/>
    <w:rsid w:val="00BC4F55"/>
    <w:rsid w:val="00BD33EE"/>
    <w:rsid w:val="00C106D6"/>
    <w:rsid w:val="00C60F0C"/>
    <w:rsid w:val="00C805C9"/>
    <w:rsid w:val="00C92939"/>
    <w:rsid w:val="00CA1679"/>
    <w:rsid w:val="00CB151C"/>
    <w:rsid w:val="00CB58E1"/>
    <w:rsid w:val="00CE073C"/>
    <w:rsid w:val="00CE5A1A"/>
    <w:rsid w:val="00CF55F6"/>
    <w:rsid w:val="00D33D63"/>
    <w:rsid w:val="00D90028"/>
    <w:rsid w:val="00D90138"/>
    <w:rsid w:val="00DD4D3A"/>
    <w:rsid w:val="00DF71B9"/>
    <w:rsid w:val="00E16204"/>
    <w:rsid w:val="00E57EED"/>
    <w:rsid w:val="00E73F76"/>
    <w:rsid w:val="00E74E9E"/>
    <w:rsid w:val="00EA2C9F"/>
    <w:rsid w:val="00EB1EAF"/>
    <w:rsid w:val="00ED0BDA"/>
    <w:rsid w:val="00EF1360"/>
    <w:rsid w:val="00EF3220"/>
    <w:rsid w:val="00F03EFE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23E7C"/>
  <w15:docId w15:val="{6FE1D7B0-150D-4F71-BE54-BBB223D3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9C9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41453E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BB7B85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"/>
    <w:basedOn w:val="a0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Fußnotentext,5_G_6,5_GR"/>
    <w:basedOn w:val="a"/>
    <w:link w:val="ae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Fußnotentext Знак,5_G_6 Знак,5_GR Знак"/>
    <w:basedOn w:val="a0"/>
    <w:link w:val="ad"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rsid w:val="00BB7B85"/>
    <w:rPr>
      <w:color w:val="0000FF" w:themeColor="hyperlink"/>
      <w:u w:val="none"/>
    </w:rPr>
  </w:style>
  <w:style w:type="character" w:customStyle="1" w:styleId="H1GChar">
    <w:name w:val="_ H_1_G Char"/>
    <w:link w:val="H1G"/>
    <w:rsid w:val="00655F42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655F42"/>
    <w:rPr>
      <w:lang w:val="ru-RU" w:eastAsia="en-US"/>
    </w:rPr>
  </w:style>
  <w:style w:type="character" w:customStyle="1" w:styleId="HChGChar">
    <w:name w:val="_ H _Ch_G Char"/>
    <w:link w:val="HChG"/>
    <w:rsid w:val="00655F42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8DE47-DF0E-453F-BCB9-735B141C58A8}"/>
</file>

<file path=customXml/itemProps2.xml><?xml version="1.0" encoding="utf-8"?>
<ds:datastoreItem xmlns:ds="http://schemas.openxmlformats.org/officeDocument/2006/customXml" ds:itemID="{DB37C35E-F10D-40AC-9062-65128BC38678}"/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E/ECE/324/Rev.1/Add.84/Rev.1/Amend.6</vt:lpstr>
      <vt:lpstr>A/</vt:lpstr>
      <vt:lpstr>A/</vt:lpstr>
    </vt:vector>
  </TitlesOfParts>
  <Company>DCM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E/ECE/324/Rev.1/Add.84/Rev.1/Amend.6</dc:title>
  <dc:subject/>
  <dc:creator>Elena IZOTOVA</dc:creator>
  <cp:keywords>E/ECE/TRANS/505/Rev.1/Add.84/Rev.1/Amend.6</cp:keywords>
  <cp:lastModifiedBy>Elena Izotova</cp:lastModifiedBy>
  <cp:revision>3</cp:revision>
  <cp:lastPrinted>2024-03-13T07:33:00Z</cp:lastPrinted>
  <dcterms:created xsi:type="dcterms:W3CDTF">2024-03-13T07:33:00Z</dcterms:created>
  <dcterms:modified xsi:type="dcterms:W3CDTF">2024-03-13T07:33:00Z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