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1B30851" w14:textId="77777777" w:rsidTr="00F01738">
        <w:trPr>
          <w:trHeight w:hRule="exact" w:val="851"/>
        </w:trPr>
        <w:tc>
          <w:tcPr>
            <w:tcW w:w="1276" w:type="dxa"/>
            <w:tcBorders>
              <w:bottom w:val="single" w:sz="4" w:space="0" w:color="auto"/>
            </w:tcBorders>
          </w:tcPr>
          <w:p w14:paraId="19CE78C0" w14:textId="77777777" w:rsidR="00132EA9" w:rsidRPr="00DB58B5" w:rsidRDefault="00132EA9" w:rsidP="00B973D0"/>
        </w:tc>
        <w:tc>
          <w:tcPr>
            <w:tcW w:w="2268" w:type="dxa"/>
            <w:tcBorders>
              <w:bottom w:val="single" w:sz="4" w:space="0" w:color="auto"/>
            </w:tcBorders>
            <w:vAlign w:val="bottom"/>
          </w:tcPr>
          <w:p w14:paraId="20FB11F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ED6E73" w14:textId="5CF5AD34" w:rsidR="00132EA9" w:rsidRPr="00DB58B5" w:rsidRDefault="00B973D0" w:rsidP="00B973D0">
            <w:pPr>
              <w:jc w:val="right"/>
            </w:pPr>
            <w:r w:rsidRPr="00B973D0">
              <w:rPr>
                <w:sz w:val="40"/>
              </w:rPr>
              <w:t>ST</w:t>
            </w:r>
            <w:r>
              <w:t>/SG/AC.10/C.3/2024/56</w:t>
            </w:r>
          </w:p>
        </w:tc>
      </w:tr>
      <w:tr w:rsidR="00132EA9" w:rsidRPr="00DB58B5" w14:paraId="5C485874" w14:textId="77777777" w:rsidTr="00F01738">
        <w:trPr>
          <w:trHeight w:hRule="exact" w:val="2835"/>
        </w:trPr>
        <w:tc>
          <w:tcPr>
            <w:tcW w:w="1276" w:type="dxa"/>
            <w:tcBorders>
              <w:top w:val="single" w:sz="4" w:space="0" w:color="auto"/>
              <w:bottom w:val="single" w:sz="12" w:space="0" w:color="auto"/>
            </w:tcBorders>
          </w:tcPr>
          <w:p w14:paraId="2C5303C3" w14:textId="77777777" w:rsidR="00132EA9" w:rsidRPr="00DB58B5" w:rsidRDefault="00132EA9" w:rsidP="00F01738">
            <w:pPr>
              <w:spacing w:before="120"/>
              <w:jc w:val="center"/>
            </w:pPr>
            <w:r>
              <w:rPr>
                <w:noProof/>
                <w:lang w:eastAsia="fr-CH"/>
              </w:rPr>
              <w:drawing>
                <wp:inline distT="0" distB="0" distL="0" distR="0" wp14:anchorId="794483E0" wp14:editId="54842A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C41EB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4291FD9" w14:textId="77777777" w:rsidR="00132EA9" w:rsidRDefault="00B973D0" w:rsidP="00F01738">
            <w:pPr>
              <w:spacing w:before="240"/>
            </w:pPr>
            <w:proofErr w:type="spellStart"/>
            <w:r>
              <w:t>Distr</w:t>
            </w:r>
            <w:proofErr w:type="spellEnd"/>
            <w:r>
              <w:t>. générale</w:t>
            </w:r>
          </w:p>
          <w:p w14:paraId="6913A1A0" w14:textId="77777777" w:rsidR="00B973D0" w:rsidRDefault="00B973D0" w:rsidP="00B973D0">
            <w:pPr>
              <w:spacing w:line="240" w:lineRule="exact"/>
            </w:pPr>
            <w:r>
              <w:t>18 avril 2024</w:t>
            </w:r>
          </w:p>
          <w:p w14:paraId="32F3284A" w14:textId="77777777" w:rsidR="00B973D0" w:rsidRDefault="00B973D0" w:rsidP="00B973D0">
            <w:pPr>
              <w:spacing w:line="240" w:lineRule="exact"/>
            </w:pPr>
            <w:r>
              <w:t>Français</w:t>
            </w:r>
          </w:p>
          <w:p w14:paraId="09DC1CC5" w14:textId="5A18EEFA" w:rsidR="00B973D0" w:rsidRPr="00DB58B5" w:rsidRDefault="00B973D0" w:rsidP="00B973D0">
            <w:pPr>
              <w:spacing w:line="240" w:lineRule="exact"/>
            </w:pPr>
            <w:r>
              <w:t>Original : anglais</w:t>
            </w:r>
          </w:p>
        </w:tc>
      </w:tr>
    </w:tbl>
    <w:p w14:paraId="61564AB6" w14:textId="42D39A36" w:rsidR="00B973D0" w:rsidRPr="00B973D0" w:rsidRDefault="00B973D0" w:rsidP="00B973D0">
      <w:pPr>
        <w:spacing w:before="120"/>
        <w:rPr>
          <w:b/>
          <w:sz w:val="32"/>
          <w:szCs w:val="32"/>
          <w:lang w:val="fr-FR"/>
        </w:rPr>
      </w:pPr>
      <w:r w:rsidRPr="00B973D0">
        <w:rPr>
          <w:b/>
          <w:bCs/>
          <w:sz w:val="24"/>
          <w:szCs w:val="24"/>
          <w:lang w:val="fr-FR"/>
        </w:rPr>
        <w:t xml:space="preserve">Comité d’experts du transport des marchandises </w:t>
      </w:r>
      <w:r>
        <w:rPr>
          <w:b/>
          <w:bCs/>
          <w:sz w:val="24"/>
          <w:szCs w:val="24"/>
          <w:lang w:val="fr-FR"/>
        </w:rPr>
        <w:br/>
      </w:r>
      <w:r w:rsidRPr="00B973D0">
        <w:rPr>
          <w:b/>
          <w:bCs/>
          <w:sz w:val="24"/>
          <w:szCs w:val="24"/>
          <w:lang w:val="fr-FR"/>
        </w:rPr>
        <w:t xml:space="preserve">dangereuses et du Système général harmonisé </w:t>
      </w:r>
      <w:r>
        <w:rPr>
          <w:b/>
          <w:bCs/>
          <w:sz w:val="24"/>
          <w:szCs w:val="24"/>
          <w:lang w:val="fr-FR"/>
        </w:rPr>
        <w:br/>
      </w:r>
      <w:r w:rsidRPr="00B973D0">
        <w:rPr>
          <w:b/>
          <w:bCs/>
          <w:sz w:val="24"/>
          <w:szCs w:val="24"/>
          <w:lang w:val="fr-FR"/>
        </w:rPr>
        <w:t>de classification et d’étiquetage des produits chimiques</w:t>
      </w:r>
    </w:p>
    <w:p w14:paraId="467D00CB" w14:textId="77777777" w:rsidR="00B973D0" w:rsidRPr="00232D55" w:rsidRDefault="00B973D0" w:rsidP="00B973D0">
      <w:pPr>
        <w:spacing w:before="120"/>
        <w:rPr>
          <w:rFonts w:ascii="Helv" w:hAnsi="Helv" w:cs="Helv"/>
          <w:b/>
          <w:color w:val="000000"/>
          <w:lang w:val="fr-FR"/>
        </w:rPr>
      </w:pPr>
      <w:r>
        <w:rPr>
          <w:b/>
          <w:bCs/>
          <w:lang w:val="fr-FR"/>
        </w:rPr>
        <w:t>Sous-Comité d’experts du transport des marchandises dangereuses</w:t>
      </w:r>
    </w:p>
    <w:p w14:paraId="449457A5" w14:textId="77777777" w:rsidR="00B973D0" w:rsidRPr="00232D55" w:rsidRDefault="00B973D0" w:rsidP="00B973D0">
      <w:pPr>
        <w:spacing w:before="120"/>
        <w:rPr>
          <w:b/>
          <w:lang w:val="fr-FR"/>
        </w:rPr>
      </w:pPr>
      <w:r>
        <w:rPr>
          <w:b/>
          <w:bCs/>
          <w:lang w:val="fr-FR"/>
        </w:rPr>
        <w:t>Soixante-quatrième session</w:t>
      </w:r>
    </w:p>
    <w:p w14:paraId="09F31E00" w14:textId="77777777" w:rsidR="00B973D0" w:rsidRPr="00232D55" w:rsidRDefault="00B973D0" w:rsidP="00B973D0">
      <w:pPr>
        <w:rPr>
          <w:lang w:val="fr-FR"/>
        </w:rPr>
      </w:pPr>
      <w:r>
        <w:rPr>
          <w:lang w:val="fr-FR"/>
        </w:rPr>
        <w:t xml:space="preserve">Genève, 24 juin-3 juillet 2024 </w:t>
      </w:r>
    </w:p>
    <w:p w14:paraId="4ED29D4C" w14:textId="77777777" w:rsidR="00B973D0" w:rsidRPr="00232D55" w:rsidRDefault="00B973D0" w:rsidP="00B973D0">
      <w:pPr>
        <w:rPr>
          <w:lang w:val="fr-FR"/>
        </w:rPr>
      </w:pPr>
      <w:r>
        <w:rPr>
          <w:lang w:val="fr-FR"/>
        </w:rPr>
        <w:t>Point 4 a) de l’ordre du jour provisoire</w:t>
      </w:r>
    </w:p>
    <w:p w14:paraId="00E94867" w14:textId="77777777" w:rsidR="00B973D0" w:rsidRPr="00232D55" w:rsidRDefault="00B973D0" w:rsidP="00B973D0">
      <w:pPr>
        <w:rPr>
          <w:b/>
          <w:bCs/>
          <w:lang w:val="fr-FR"/>
        </w:rPr>
      </w:pPr>
      <w:r>
        <w:rPr>
          <w:b/>
          <w:bCs/>
          <w:lang w:val="fr-FR"/>
        </w:rPr>
        <w:t>Systèmes de stockage de l’électricité :</w:t>
      </w:r>
    </w:p>
    <w:p w14:paraId="108B3817" w14:textId="77777777" w:rsidR="00B973D0" w:rsidRPr="00232D55" w:rsidRDefault="00B973D0" w:rsidP="00B973D0">
      <w:pPr>
        <w:rPr>
          <w:b/>
          <w:bCs/>
          <w:lang w:val="fr-FR"/>
        </w:rPr>
      </w:pPr>
      <w:r>
        <w:rPr>
          <w:b/>
          <w:bCs/>
          <w:lang w:val="fr-FR"/>
        </w:rPr>
        <w:t>Épreuves pour les batteries au lithium</w:t>
      </w:r>
    </w:p>
    <w:p w14:paraId="47F38553" w14:textId="5C7C8995" w:rsidR="00B973D0" w:rsidRPr="00232D55" w:rsidRDefault="00B973D0" w:rsidP="00B973D0">
      <w:pPr>
        <w:pStyle w:val="HChG"/>
        <w:rPr>
          <w:color w:val="000000" w:themeColor="text1"/>
          <w:lang w:val="fr-FR"/>
        </w:rPr>
      </w:pPr>
      <w:r>
        <w:rPr>
          <w:lang w:val="fr-FR"/>
        </w:rPr>
        <w:tab/>
      </w:r>
      <w:r>
        <w:rPr>
          <w:lang w:val="fr-FR"/>
        </w:rPr>
        <w:tab/>
        <w:t xml:space="preserve">Ordre des épreuves prescrites pour les batteries au lithium au titre de la sous-section 38.3 du Manuel d’épreuves </w:t>
      </w:r>
      <w:r>
        <w:rPr>
          <w:lang w:val="fr-FR"/>
        </w:rPr>
        <w:br/>
      </w:r>
      <w:r>
        <w:rPr>
          <w:lang w:val="fr-FR"/>
        </w:rPr>
        <w:t xml:space="preserve">et de critères </w:t>
      </w:r>
      <w:r>
        <w:rPr>
          <w:lang w:val="fr-FR"/>
        </w:rPr>
        <w:t>−</w:t>
      </w:r>
      <w:r>
        <w:rPr>
          <w:lang w:val="fr-FR"/>
        </w:rPr>
        <w:t xml:space="preserve"> précisions</w:t>
      </w:r>
    </w:p>
    <w:p w14:paraId="644EA49E" w14:textId="2D6F0E3B" w:rsidR="00B973D0" w:rsidRPr="00232D55" w:rsidRDefault="00B973D0" w:rsidP="00B973D0">
      <w:pPr>
        <w:pStyle w:val="H1G"/>
        <w:rPr>
          <w:rFonts w:asciiTheme="majorBidi" w:hAnsiTheme="majorBidi" w:cstheme="majorBidi"/>
          <w:color w:val="000000" w:themeColor="text1"/>
          <w:lang w:val="fr-FR"/>
        </w:rPr>
      </w:pPr>
      <w:r>
        <w:rPr>
          <w:lang w:val="fr-FR"/>
        </w:rPr>
        <w:tab/>
      </w:r>
      <w:r>
        <w:rPr>
          <w:lang w:val="fr-FR"/>
        </w:rPr>
        <w:tab/>
        <w:t>Communication de la Rechargeable Battery Association (PRBA)</w:t>
      </w:r>
      <w:r w:rsidRPr="00B973D0">
        <w:rPr>
          <w:rStyle w:val="Appelnotedebasdep"/>
          <w:b w:val="0"/>
          <w:bCs/>
          <w:sz w:val="20"/>
          <w:vertAlign w:val="baseline"/>
          <w:lang w:val="fr-FR"/>
        </w:rPr>
        <w:footnoteReference w:customMarkFollows="1" w:id="2"/>
        <w:t>*</w:t>
      </w:r>
      <w:r w:rsidRPr="00B973D0">
        <w:rPr>
          <w:b w:val="0"/>
          <w:bCs/>
          <w:sz w:val="20"/>
          <w:szCs w:val="16"/>
          <w:vertAlign w:val="superscript"/>
          <w:lang w:val="fr-FR"/>
        </w:rPr>
        <w:t>,</w:t>
      </w:r>
      <w:r w:rsidRPr="00B973D0">
        <w:rPr>
          <w:b w:val="0"/>
          <w:bCs/>
          <w:sz w:val="20"/>
          <w:szCs w:val="16"/>
          <w:vertAlign w:val="superscript"/>
          <w:lang w:val="fr-FR"/>
        </w:rPr>
        <w:t xml:space="preserve"> </w:t>
      </w:r>
      <w:r w:rsidRPr="00B973D0">
        <w:rPr>
          <w:rStyle w:val="Appelnotedebasdep"/>
          <w:b w:val="0"/>
          <w:bCs/>
          <w:sz w:val="20"/>
          <w:vertAlign w:val="baseline"/>
          <w:lang w:val="fr-FR"/>
        </w:rPr>
        <w:footnoteReference w:customMarkFollows="1" w:id="3"/>
        <w:t>**</w:t>
      </w:r>
    </w:p>
    <w:p w14:paraId="380E334A" w14:textId="77777777" w:rsidR="00B973D0" w:rsidRPr="00232D55" w:rsidRDefault="00B973D0" w:rsidP="00B973D0">
      <w:pPr>
        <w:pStyle w:val="HChG"/>
        <w:rPr>
          <w:lang w:val="fr-FR"/>
        </w:rPr>
      </w:pPr>
      <w:r>
        <w:rPr>
          <w:lang w:val="fr-FR"/>
        </w:rPr>
        <w:tab/>
        <w:t>I.</w:t>
      </w:r>
      <w:r>
        <w:rPr>
          <w:lang w:val="fr-FR"/>
        </w:rPr>
        <w:tab/>
        <w:t>Introduction</w:t>
      </w:r>
    </w:p>
    <w:p w14:paraId="13D27B52" w14:textId="77777777" w:rsidR="00B973D0" w:rsidRPr="00232D55" w:rsidRDefault="00B973D0" w:rsidP="00B973D0">
      <w:pPr>
        <w:pStyle w:val="SingleTxtG"/>
        <w:rPr>
          <w:lang w:val="fr-FR"/>
        </w:rPr>
      </w:pPr>
      <w:r>
        <w:rPr>
          <w:lang w:val="fr-FR"/>
        </w:rPr>
        <w:t>1.</w:t>
      </w:r>
      <w:r>
        <w:rPr>
          <w:lang w:val="fr-FR"/>
        </w:rPr>
        <w:tab/>
        <w:t>Selon le mode opératoire énoncé au 38.3.4 du Manuel d’épreuves et de critères, les épreuves T.1 à T.5 doivent être exécutées dans l’ordre sur la même pile ou batterie. Les épreuves T.6 et T.8 doivent être faites sur des piles ou des batteries qui n’ont pas été testées par ailleurs. L’épreuve T.7 peut être faite sur des batteries non endommagées qui ont été utilisées auparavant dans les épreuves T.1 à T.5 pour les essais effectués sur des batteries ayant subi des cycles.</w:t>
      </w:r>
    </w:p>
    <w:p w14:paraId="0CD1BFAD" w14:textId="77777777" w:rsidR="00B973D0" w:rsidRPr="00067EAE" w:rsidRDefault="00B973D0" w:rsidP="00B973D0">
      <w:pPr>
        <w:pStyle w:val="SingleTxtG"/>
        <w:rPr>
          <w:lang w:val="fr-FR"/>
        </w:rPr>
      </w:pPr>
      <w:r>
        <w:rPr>
          <w:lang w:val="fr-FR"/>
        </w:rPr>
        <w:t>2.</w:t>
      </w:r>
      <w:r>
        <w:rPr>
          <w:lang w:val="fr-FR"/>
        </w:rPr>
        <w:tab/>
        <w:t>Il a été demandé si l’expression « dans l’ordre » faisait explicitement référence à un ordre séquentiel de 1 à 5 ou s’il s’agissait que les contraintes de la séquence d’épreuves T.1 à T.5 soient appliquées sur la même pile ou batterie.</w:t>
      </w:r>
    </w:p>
    <w:p w14:paraId="65B2FCE1" w14:textId="77777777" w:rsidR="00B973D0" w:rsidRPr="00232D55" w:rsidRDefault="00B973D0" w:rsidP="00B973D0">
      <w:pPr>
        <w:pStyle w:val="SingleTxtG"/>
        <w:rPr>
          <w:lang w:val="fr-FR"/>
        </w:rPr>
      </w:pPr>
      <w:r>
        <w:rPr>
          <w:lang w:val="fr-FR"/>
        </w:rPr>
        <w:t>3.</w:t>
      </w:r>
      <w:r>
        <w:rPr>
          <w:lang w:val="fr-FR"/>
        </w:rPr>
        <w:tab/>
        <w:t>Si l’ordre séquentiel de T.1 à T.5 n’est pas déterminant, les épreuves réalisées sur les batteries de grande taille sont plus efficaces, en raison de certains avantages de nature opérationnelle. Par exemple, comme l’épreuve T.2 prend environ deux semaines, il n’est souvent possible de tester qu’une ou deux batteries de grande taille en même temps dans une enceinte. Pendant qu’une batterie est soumise à l’épreuve T.2, il serait pratique de soumettre les autres aux épreuves T.3 et T.4.</w:t>
      </w:r>
    </w:p>
    <w:p w14:paraId="1E9C23F3" w14:textId="5EDBAF39" w:rsidR="00B973D0" w:rsidRPr="00232D55" w:rsidRDefault="00B973D0" w:rsidP="00B973D0">
      <w:pPr>
        <w:pStyle w:val="SingleTxtG"/>
        <w:rPr>
          <w:lang w:val="fr-FR"/>
        </w:rPr>
      </w:pPr>
      <w:r>
        <w:rPr>
          <w:lang w:val="fr-FR"/>
        </w:rPr>
        <w:t>4.</w:t>
      </w:r>
      <w:r>
        <w:rPr>
          <w:lang w:val="fr-FR"/>
        </w:rPr>
        <w:tab/>
        <w:t xml:space="preserve">Les événements imprévus qui se produisent pendant l’épreuve sont un autre exemple de cas dans lequel il serait utile de pouvoir modifier l’ordre des épreuves. Par exemple, récemment, une panne d’électricité survenue pendant les épreuves T.2 a interrompu partiellement un cycle thermique et seuls 9 cycles ont pu être achevés à la fin des épreuves. </w:t>
      </w:r>
      <w:r>
        <w:rPr>
          <w:lang w:val="fr-FR"/>
        </w:rPr>
        <w:lastRenderedPageBreak/>
        <w:t>Le laboratoire d’essai n’a su que le cycle était incomplet qu’après la fin de l’épreuve de T.3 (vibrations). Si l’on interprète l’ordre des épreuves comme étant une suite séquentielle de T.1 à T.5, il faudrait alors recommencer la procédure de la sous-section 38.3 avec de nouveaux échantillons à l’épreuve T.1. En revanche, si l’ordre des épreuves n’est pas déterminant, mais qu’il s’agit simplement de soumettre les batteries aux contraintes des épreuves T.1 à T.5, quel que soit l’ordre, le laboratoire d’essai peut revenir en arrière et effectuer un cycle thermique supplémentaire afin de compléter le dixième cycle, puis effectuer ensuite les épreuves T.4 et</w:t>
      </w:r>
      <w:r>
        <w:rPr>
          <w:lang w:val="fr-FR"/>
        </w:rPr>
        <w:t> </w:t>
      </w:r>
      <w:r>
        <w:rPr>
          <w:lang w:val="fr-FR"/>
        </w:rPr>
        <w:t>T.5.</w:t>
      </w:r>
    </w:p>
    <w:p w14:paraId="671BDD71" w14:textId="77777777" w:rsidR="00B973D0" w:rsidRPr="00232D55" w:rsidRDefault="00B973D0" w:rsidP="00B973D0">
      <w:pPr>
        <w:pStyle w:val="SingleTxtG"/>
        <w:rPr>
          <w:lang w:val="fr-FR"/>
        </w:rPr>
      </w:pPr>
      <w:r>
        <w:rPr>
          <w:lang w:val="fr-FR"/>
        </w:rPr>
        <w:t>5.</w:t>
      </w:r>
      <w:r>
        <w:rPr>
          <w:lang w:val="fr-FR"/>
        </w:rPr>
        <w:tab/>
        <w:t>On pourrait s’attendre à ce que l’épreuve T.5 soit la dernière de la séquence, en raison de sa nature destructive. Les contraintes cumulées associés aux épreuves T.1 à T.4 devraient prouver la robustesse de la protection contre les courts-circuits.</w:t>
      </w:r>
    </w:p>
    <w:p w14:paraId="330B32C9" w14:textId="5A51C8D3" w:rsidR="00B973D0" w:rsidRPr="00232D55" w:rsidRDefault="00B973D0" w:rsidP="00B973D0">
      <w:pPr>
        <w:pStyle w:val="SingleTxtG"/>
        <w:rPr>
          <w:lang w:val="fr-FR"/>
        </w:rPr>
      </w:pPr>
      <w:r>
        <w:rPr>
          <w:lang w:val="fr-FR"/>
        </w:rPr>
        <w:t>6.</w:t>
      </w:r>
      <w:r>
        <w:rPr>
          <w:lang w:val="fr-FR"/>
        </w:rPr>
        <w:tab/>
        <w:t>Par conséquent, la PRBA propose de modifier le texte du mode opératoire au 38.3.4 du Manuel d’épreuves et de critères afin de préciser l’ordre dans lequel les épreuves T.1 à</w:t>
      </w:r>
      <w:r>
        <w:rPr>
          <w:lang w:val="fr-FR"/>
        </w:rPr>
        <w:t> </w:t>
      </w:r>
      <w:r>
        <w:rPr>
          <w:lang w:val="fr-FR"/>
        </w:rPr>
        <w:t>T.5 peuvent être effectuées.</w:t>
      </w:r>
    </w:p>
    <w:p w14:paraId="4FA810BA" w14:textId="3A232B4D" w:rsidR="00B973D0" w:rsidRPr="00232D55" w:rsidRDefault="00B973D0" w:rsidP="00B973D0">
      <w:pPr>
        <w:pStyle w:val="HChG"/>
        <w:rPr>
          <w:lang w:val="fr-FR"/>
        </w:rPr>
      </w:pPr>
      <w:r>
        <w:rPr>
          <w:lang w:val="fr-FR"/>
        </w:rPr>
        <w:tab/>
      </w:r>
      <w:r>
        <w:rPr>
          <w:lang w:val="fr-FR"/>
        </w:rPr>
        <w:t>II.</w:t>
      </w:r>
      <w:r>
        <w:rPr>
          <w:lang w:val="fr-FR"/>
        </w:rPr>
        <w:tab/>
        <w:t>Proposition</w:t>
      </w:r>
    </w:p>
    <w:p w14:paraId="32643043" w14:textId="77777777" w:rsidR="00B973D0" w:rsidRDefault="00B973D0" w:rsidP="00B973D0">
      <w:pPr>
        <w:pStyle w:val="SingleTxtG"/>
        <w:rPr>
          <w:lang w:val="fr-FR"/>
        </w:rPr>
      </w:pPr>
      <w:r>
        <w:rPr>
          <w:lang w:val="fr-FR"/>
        </w:rPr>
        <w:t>7.</w:t>
      </w:r>
      <w:r>
        <w:rPr>
          <w:lang w:val="fr-FR"/>
        </w:rPr>
        <w:tab/>
        <w:t xml:space="preserve">Le Sous-Comité est invité à modifier le 38.3.4 comme suit (les ajouts apparaissent en caractères </w:t>
      </w:r>
      <w:r>
        <w:rPr>
          <w:u w:val="single"/>
          <w:lang w:val="fr-FR"/>
        </w:rPr>
        <w:t>soulignés</w:t>
      </w:r>
      <w:r>
        <w:rPr>
          <w:lang w:val="fr-FR"/>
        </w:rPr>
        <w:t xml:space="preserve">, les suppressions en caractères </w:t>
      </w:r>
      <w:r>
        <w:rPr>
          <w:strike/>
          <w:lang w:val="fr-FR"/>
        </w:rPr>
        <w:t>biffés</w:t>
      </w:r>
      <w:r>
        <w:rPr>
          <w:lang w:val="fr-FR"/>
        </w:rPr>
        <w:t>) :</w:t>
      </w:r>
      <w:r>
        <w:rPr>
          <w:lang w:val="fr-FR"/>
        </w:rPr>
        <w:t xml:space="preserve"> </w:t>
      </w:r>
    </w:p>
    <w:p w14:paraId="5E763E65" w14:textId="3D85002A" w:rsidR="00B973D0" w:rsidRDefault="00B973D0" w:rsidP="00B973D0">
      <w:pPr>
        <w:pStyle w:val="SingleTxtG"/>
      </w:pPr>
      <w:r>
        <w:rPr>
          <w:lang w:val="fr-FR"/>
        </w:rPr>
        <w:tab/>
        <w:t>« Les épreuves T.1 à T.</w:t>
      </w:r>
      <w:r>
        <w:rPr>
          <w:strike/>
          <w:lang w:val="fr-FR"/>
        </w:rPr>
        <w:t>5</w:t>
      </w:r>
      <w:r>
        <w:rPr>
          <w:u w:val="single"/>
          <w:lang w:val="fr-FR"/>
        </w:rPr>
        <w:t>4</w:t>
      </w:r>
      <w:r>
        <w:rPr>
          <w:lang w:val="fr-FR"/>
        </w:rPr>
        <w:t xml:space="preserve"> doivent être effectuées dans l’ordre </w:t>
      </w:r>
      <w:r>
        <w:rPr>
          <w:u w:val="single"/>
          <w:lang w:val="fr-FR"/>
        </w:rPr>
        <w:t>ou non</w:t>
      </w:r>
      <w:r>
        <w:rPr>
          <w:lang w:val="fr-FR"/>
        </w:rPr>
        <w:t xml:space="preserve"> sur le même élément ou la même batterie</w:t>
      </w:r>
      <w:r>
        <w:rPr>
          <w:u w:val="single"/>
          <w:lang w:val="fr-FR"/>
        </w:rPr>
        <w:t>, et suivies de l’épreuve T.5</w:t>
      </w:r>
      <w:r>
        <w:rPr>
          <w:lang w:val="fr-FR"/>
        </w:rPr>
        <w:t>. Les épreuves T.6 et T.8 doivent être faites sur des piles ou des batteries qui n’ont pas été testées par ailleurs. L’épreuve T.7 peut être faite sur des batteries non endommagées qui ont été utilisées auparavant dans les épreuves T.1 à T.5 pour les essais effectués sur des batteries ayant subi des cycles.</w:t>
      </w:r>
    </w:p>
    <w:p w14:paraId="506ED8C8" w14:textId="489C4E7C" w:rsidR="00446FE5" w:rsidRPr="00B973D0" w:rsidRDefault="00B973D0" w:rsidP="00B973D0">
      <w:pPr>
        <w:pStyle w:val="SingleTxtG"/>
        <w:spacing w:before="240" w:after="0"/>
        <w:jc w:val="center"/>
        <w:rPr>
          <w:u w:val="single"/>
        </w:rPr>
      </w:pPr>
      <w:r>
        <w:rPr>
          <w:u w:val="single"/>
        </w:rPr>
        <w:tab/>
      </w:r>
      <w:r>
        <w:rPr>
          <w:u w:val="single"/>
        </w:rPr>
        <w:tab/>
      </w:r>
      <w:r>
        <w:rPr>
          <w:u w:val="single"/>
        </w:rPr>
        <w:tab/>
      </w:r>
    </w:p>
    <w:sectPr w:rsidR="00446FE5" w:rsidRPr="00B973D0" w:rsidSect="00B973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2D27" w14:textId="77777777" w:rsidR="007E2A8A" w:rsidRDefault="007E2A8A" w:rsidP="00F95C08">
      <w:pPr>
        <w:spacing w:line="240" w:lineRule="auto"/>
      </w:pPr>
    </w:p>
  </w:endnote>
  <w:endnote w:type="continuationSeparator" w:id="0">
    <w:p w14:paraId="6130C950" w14:textId="77777777" w:rsidR="007E2A8A" w:rsidRPr="00AC3823" w:rsidRDefault="007E2A8A" w:rsidP="00AC3823">
      <w:pPr>
        <w:pStyle w:val="Pieddepage"/>
      </w:pPr>
    </w:p>
  </w:endnote>
  <w:endnote w:type="continuationNotice" w:id="1">
    <w:p w14:paraId="6DF0FB7C" w14:textId="77777777" w:rsidR="007E2A8A" w:rsidRDefault="007E2A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D088" w14:textId="01E961C1" w:rsidR="00B973D0" w:rsidRPr="00B973D0" w:rsidRDefault="00B973D0" w:rsidP="00B973D0">
    <w:pPr>
      <w:pStyle w:val="Pieddepage"/>
      <w:tabs>
        <w:tab w:val="right" w:pos="9638"/>
      </w:tabs>
    </w:pPr>
    <w:r w:rsidRPr="00B973D0">
      <w:rPr>
        <w:b/>
        <w:sz w:val="18"/>
      </w:rPr>
      <w:fldChar w:fldCharType="begin"/>
    </w:r>
    <w:r w:rsidRPr="00B973D0">
      <w:rPr>
        <w:b/>
        <w:sz w:val="18"/>
      </w:rPr>
      <w:instrText xml:space="preserve"> PAGE  \* MERGEFORMAT </w:instrText>
    </w:r>
    <w:r w:rsidRPr="00B973D0">
      <w:rPr>
        <w:b/>
        <w:sz w:val="18"/>
      </w:rPr>
      <w:fldChar w:fldCharType="separate"/>
    </w:r>
    <w:r w:rsidRPr="00B973D0">
      <w:rPr>
        <w:b/>
        <w:noProof/>
        <w:sz w:val="18"/>
      </w:rPr>
      <w:t>2</w:t>
    </w:r>
    <w:r w:rsidRPr="00B973D0">
      <w:rPr>
        <w:b/>
        <w:sz w:val="18"/>
      </w:rPr>
      <w:fldChar w:fldCharType="end"/>
    </w:r>
    <w:r>
      <w:rPr>
        <w:b/>
        <w:sz w:val="18"/>
      </w:rPr>
      <w:tab/>
    </w:r>
    <w:r>
      <w:t>GE.24-07077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7D10" w14:textId="73691B2F" w:rsidR="00B973D0" w:rsidRPr="00B973D0" w:rsidRDefault="00B973D0" w:rsidP="00B973D0">
    <w:pPr>
      <w:pStyle w:val="Pieddepage"/>
      <w:tabs>
        <w:tab w:val="right" w:pos="9638"/>
      </w:tabs>
      <w:rPr>
        <w:b/>
        <w:sz w:val="18"/>
      </w:rPr>
    </w:pPr>
    <w:r>
      <w:t>GE.24-07077</w:t>
    </w:r>
    <w:r>
      <w:tab/>
    </w:r>
    <w:r w:rsidRPr="00B973D0">
      <w:rPr>
        <w:b/>
        <w:sz w:val="18"/>
      </w:rPr>
      <w:fldChar w:fldCharType="begin"/>
    </w:r>
    <w:r w:rsidRPr="00B973D0">
      <w:rPr>
        <w:b/>
        <w:sz w:val="18"/>
      </w:rPr>
      <w:instrText xml:space="preserve"> PAGE  \* MERGEFORMAT </w:instrText>
    </w:r>
    <w:r w:rsidRPr="00B973D0">
      <w:rPr>
        <w:b/>
        <w:sz w:val="18"/>
      </w:rPr>
      <w:fldChar w:fldCharType="separate"/>
    </w:r>
    <w:r w:rsidRPr="00B973D0">
      <w:rPr>
        <w:b/>
        <w:noProof/>
        <w:sz w:val="18"/>
      </w:rPr>
      <w:t>3</w:t>
    </w:r>
    <w:r w:rsidRPr="00B973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840E" w14:textId="5A37A6E6" w:rsidR="0068456F" w:rsidRPr="00B973D0" w:rsidRDefault="00B973D0" w:rsidP="00B973D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E2485B7" wp14:editId="53083A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24-07077  (F)</w:t>
    </w:r>
    <w:r>
      <w:rPr>
        <w:noProof/>
        <w:sz w:val="20"/>
      </w:rPr>
      <w:drawing>
        <wp:anchor distT="0" distB="0" distL="114300" distR="114300" simplePos="0" relativeHeight="251660288" behindDoc="0" locked="0" layoutInCell="1" allowOverlap="1" wp14:anchorId="1C0B223B" wp14:editId="5C0FE5F4">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170524    170524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E3AF" w14:textId="77777777" w:rsidR="007E2A8A" w:rsidRPr="00AC3823" w:rsidRDefault="007E2A8A" w:rsidP="00AC3823">
      <w:pPr>
        <w:pStyle w:val="Pieddepage"/>
        <w:tabs>
          <w:tab w:val="right" w:pos="2155"/>
        </w:tabs>
        <w:spacing w:after="80" w:line="240" w:lineRule="atLeast"/>
        <w:ind w:left="680"/>
        <w:rPr>
          <w:u w:val="single"/>
        </w:rPr>
      </w:pPr>
      <w:r>
        <w:rPr>
          <w:u w:val="single"/>
        </w:rPr>
        <w:tab/>
      </w:r>
    </w:p>
  </w:footnote>
  <w:footnote w:type="continuationSeparator" w:id="0">
    <w:p w14:paraId="7E16BC84" w14:textId="77777777" w:rsidR="007E2A8A" w:rsidRPr="00AC3823" w:rsidRDefault="007E2A8A" w:rsidP="00AC3823">
      <w:pPr>
        <w:pStyle w:val="Pieddepage"/>
        <w:tabs>
          <w:tab w:val="right" w:pos="2155"/>
        </w:tabs>
        <w:spacing w:after="80" w:line="240" w:lineRule="atLeast"/>
        <w:ind w:left="680"/>
        <w:rPr>
          <w:u w:val="single"/>
        </w:rPr>
      </w:pPr>
      <w:r>
        <w:rPr>
          <w:u w:val="single"/>
        </w:rPr>
        <w:tab/>
      </w:r>
    </w:p>
  </w:footnote>
  <w:footnote w:type="continuationNotice" w:id="1">
    <w:p w14:paraId="623F7E08" w14:textId="77777777" w:rsidR="007E2A8A" w:rsidRPr="00AC3823" w:rsidRDefault="007E2A8A">
      <w:pPr>
        <w:spacing w:line="240" w:lineRule="auto"/>
        <w:rPr>
          <w:sz w:val="2"/>
          <w:szCs w:val="2"/>
        </w:rPr>
      </w:pPr>
    </w:p>
  </w:footnote>
  <w:footnote w:id="2">
    <w:p w14:paraId="2CE1F8E7" w14:textId="77777777" w:rsidR="00B973D0" w:rsidRPr="00232D55" w:rsidRDefault="00B973D0" w:rsidP="00B973D0">
      <w:pPr>
        <w:pStyle w:val="Notedebasdepage"/>
        <w:rPr>
          <w:lang w:val="fr-FR"/>
        </w:rPr>
      </w:pPr>
      <w:r w:rsidRPr="00B973D0">
        <w:rPr>
          <w:sz w:val="20"/>
          <w:szCs w:val="22"/>
          <w:lang w:val="fr-FR"/>
        </w:rPr>
        <w:tab/>
        <w:t>*</w:t>
      </w:r>
      <w:r w:rsidRPr="00B973D0">
        <w:rPr>
          <w:sz w:val="20"/>
          <w:szCs w:val="22"/>
          <w:lang w:val="fr-FR"/>
        </w:rPr>
        <w:tab/>
      </w:r>
      <w:r>
        <w:rPr>
          <w:lang w:val="fr-FR"/>
        </w:rPr>
        <w:t>A/78/6 (Sect. 20), tableau 20.5.</w:t>
      </w:r>
    </w:p>
  </w:footnote>
  <w:footnote w:id="3">
    <w:p w14:paraId="741690E1" w14:textId="77777777" w:rsidR="00B973D0" w:rsidRDefault="00B973D0" w:rsidP="00B973D0">
      <w:pPr>
        <w:pStyle w:val="Notedebasdepage"/>
        <w:rPr>
          <w:lang w:val="fr-FR"/>
        </w:rPr>
      </w:pPr>
      <w:r w:rsidRPr="00B973D0">
        <w:rPr>
          <w:sz w:val="20"/>
          <w:szCs w:val="22"/>
          <w:lang w:val="fr-FR"/>
        </w:rPr>
        <w:tab/>
        <w:t>**</w:t>
      </w:r>
      <w:r w:rsidRPr="00B973D0">
        <w:rPr>
          <w:sz w:val="20"/>
          <w:szCs w:val="22"/>
          <w:lang w:val="fr-FR"/>
        </w:rPr>
        <w:tab/>
      </w:r>
      <w:r>
        <w:rPr>
          <w:lang w:val="fr-FR"/>
        </w:rPr>
        <w:t>La version originale du présent document a été soumise tardivement aux services de conférence sans l’explication requise au paragraphe 8 de la résolution 53/208 B de l’Assemblée générale.</w:t>
      </w:r>
    </w:p>
    <w:p w14:paraId="54766809" w14:textId="77777777" w:rsidR="00B973D0" w:rsidRPr="00232D55" w:rsidRDefault="00B973D0" w:rsidP="00B973D0">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420" w14:textId="5C26917C" w:rsidR="00B973D0" w:rsidRPr="00B973D0" w:rsidRDefault="00B973D0">
    <w:pPr>
      <w:pStyle w:val="En-tte"/>
    </w:pPr>
    <w:fldSimple w:instr=" TITLE  \* MERGEFORMAT ">
      <w:r w:rsidR="008B72E8">
        <w:t>ST/SG/AC.10/C.3/2024/56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61AE" w14:textId="2692737A" w:rsidR="00B973D0" w:rsidRPr="00B973D0" w:rsidRDefault="00B973D0" w:rsidP="00B973D0">
    <w:pPr>
      <w:pStyle w:val="En-tte"/>
      <w:jc w:val="right"/>
    </w:pPr>
    <w:fldSimple w:instr=" TITLE  \* MERGEFORMAT ">
      <w:r w:rsidR="008B72E8">
        <w:t>ST/SG/AC.10/C.3/2024/56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16617949">
    <w:abstractNumId w:val="12"/>
  </w:num>
  <w:num w:numId="2" w16cid:durableId="500119651">
    <w:abstractNumId w:val="11"/>
  </w:num>
  <w:num w:numId="3" w16cid:durableId="1126243868">
    <w:abstractNumId w:val="10"/>
  </w:num>
  <w:num w:numId="4" w16cid:durableId="1980911471">
    <w:abstractNumId w:val="8"/>
  </w:num>
  <w:num w:numId="5" w16cid:durableId="70153584">
    <w:abstractNumId w:val="3"/>
  </w:num>
  <w:num w:numId="6" w16cid:durableId="763767416">
    <w:abstractNumId w:val="2"/>
  </w:num>
  <w:num w:numId="7" w16cid:durableId="25914367">
    <w:abstractNumId w:val="1"/>
  </w:num>
  <w:num w:numId="8" w16cid:durableId="1026447338">
    <w:abstractNumId w:val="0"/>
  </w:num>
  <w:num w:numId="9" w16cid:durableId="1564759040">
    <w:abstractNumId w:val="9"/>
  </w:num>
  <w:num w:numId="10" w16cid:durableId="390469873">
    <w:abstractNumId w:val="7"/>
  </w:num>
  <w:num w:numId="11" w16cid:durableId="1747023759">
    <w:abstractNumId w:val="6"/>
  </w:num>
  <w:num w:numId="12" w16cid:durableId="2126726935">
    <w:abstractNumId w:val="5"/>
  </w:num>
  <w:num w:numId="13" w16cid:durableId="1053382383">
    <w:abstractNumId w:val="4"/>
  </w:num>
  <w:num w:numId="14" w16cid:durableId="133644706">
    <w:abstractNumId w:val="12"/>
  </w:num>
  <w:num w:numId="15" w16cid:durableId="1869022886">
    <w:abstractNumId w:val="11"/>
  </w:num>
  <w:num w:numId="16" w16cid:durableId="188300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8A"/>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C61CD"/>
    <w:rsid w:val="0068456F"/>
    <w:rsid w:val="0071601D"/>
    <w:rsid w:val="007A62E6"/>
    <w:rsid w:val="007E2A8A"/>
    <w:rsid w:val="0080684C"/>
    <w:rsid w:val="008123E0"/>
    <w:rsid w:val="00871C75"/>
    <w:rsid w:val="008776DC"/>
    <w:rsid w:val="008B40CD"/>
    <w:rsid w:val="008B72E8"/>
    <w:rsid w:val="009705C8"/>
    <w:rsid w:val="009C1CF4"/>
    <w:rsid w:val="00A30353"/>
    <w:rsid w:val="00A81281"/>
    <w:rsid w:val="00AC3823"/>
    <w:rsid w:val="00AE323C"/>
    <w:rsid w:val="00B00181"/>
    <w:rsid w:val="00B00B0D"/>
    <w:rsid w:val="00B765F7"/>
    <w:rsid w:val="00B973D0"/>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2C808"/>
  <w15:docId w15:val="{70DEB0C9-F6C8-474A-8000-6F0E066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rsid w:val="00B973D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973D0"/>
    <w:rPr>
      <w:rFonts w:ascii="Times New Roman" w:eastAsiaTheme="minorHAnsi" w:hAnsi="Times New Roman" w:cs="Times New Roman"/>
      <w:sz w:val="20"/>
      <w:szCs w:val="20"/>
      <w:lang w:eastAsia="en-US"/>
    </w:rPr>
  </w:style>
  <w:style w:type="character" w:customStyle="1" w:styleId="H1GChar">
    <w:name w:val="_ H_1_G Char"/>
    <w:link w:val="H1G"/>
    <w:qFormat/>
    <w:locked/>
    <w:rsid w:val="00B973D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2BAD5-27A0-47EA-95D0-222AF1EBBAA2}"/>
</file>

<file path=customXml/itemProps2.xml><?xml version="1.0" encoding="utf-8"?>
<ds:datastoreItem xmlns:ds="http://schemas.openxmlformats.org/officeDocument/2006/customXml" ds:itemID="{E680BA40-15A8-4B48-95F9-324FD3A0EE70}"/>
</file>

<file path=docProps/app.xml><?xml version="1.0" encoding="utf-8"?>
<Properties xmlns="http://schemas.openxmlformats.org/officeDocument/2006/extended-properties" xmlns:vt="http://schemas.openxmlformats.org/officeDocument/2006/docPropsVTypes">
  <Template>ST.dotm</Template>
  <TotalTime>2</TotalTime>
  <Pages>2</Pages>
  <Words>466</Words>
  <Characters>3578</Characters>
  <Application>Microsoft Office Word</Application>
  <DocSecurity>0</DocSecurity>
  <Lines>1192</Lines>
  <Paragraphs>336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ST/SG/AC.10/C.3/2024/56</dc:title>
  <dc:subject/>
  <dc:creator>Maud DARICHE</dc:creator>
  <cp:keywords/>
  <cp:lastModifiedBy>Maud Dariche</cp:lastModifiedBy>
  <cp:revision>3</cp:revision>
  <cp:lastPrinted>2024-05-17T06:28:00Z</cp:lastPrinted>
  <dcterms:created xsi:type="dcterms:W3CDTF">2024-05-17T06:28:00Z</dcterms:created>
  <dcterms:modified xsi:type="dcterms:W3CDTF">2024-05-17T06:29:00Z</dcterms:modified>
</cp:coreProperties>
</file>