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35848926" w14:textId="77777777" w:rsidTr="00F01738">
        <w:trPr>
          <w:trHeight w:hRule="exact" w:val="851"/>
        </w:trPr>
        <w:tc>
          <w:tcPr>
            <w:tcW w:w="1276" w:type="dxa"/>
            <w:tcBorders>
              <w:bottom w:val="single" w:sz="4" w:space="0" w:color="auto"/>
            </w:tcBorders>
          </w:tcPr>
          <w:p w14:paraId="759B7D42" w14:textId="77777777" w:rsidR="00132EA9" w:rsidRPr="00DB58B5" w:rsidRDefault="00132EA9" w:rsidP="00B202E4"/>
        </w:tc>
        <w:tc>
          <w:tcPr>
            <w:tcW w:w="2268" w:type="dxa"/>
            <w:tcBorders>
              <w:bottom w:val="single" w:sz="4" w:space="0" w:color="auto"/>
            </w:tcBorders>
            <w:vAlign w:val="bottom"/>
          </w:tcPr>
          <w:p w14:paraId="6921429D"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C0561C5" w14:textId="38164A04" w:rsidR="00132EA9" w:rsidRPr="00DB58B5" w:rsidRDefault="00B202E4" w:rsidP="00B202E4">
            <w:pPr>
              <w:jc w:val="right"/>
            </w:pPr>
            <w:r w:rsidRPr="00B202E4">
              <w:rPr>
                <w:sz w:val="40"/>
              </w:rPr>
              <w:t>ST</w:t>
            </w:r>
            <w:r>
              <w:t>/SG/AC</w:t>
            </w:r>
            <w:r w:rsidR="003E48F0" w:rsidRPr="003E48F0">
              <w:t>.</w:t>
            </w:r>
            <w:r w:rsidRPr="003E48F0">
              <w:t>10</w:t>
            </w:r>
            <w:r>
              <w:t>/C</w:t>
            </w:r>
            <w:r w:rsidR="003E48F0" w:rsidRPr="003E48F0">
              <w:t>.</w:t>
            </w:r>
            <w:r w:rsidRPr="003E48F0">
              <w:t>3</w:t>
            </w:r>
            <w:r>
              <w:t>/</w:t>
            </w:r>
            <w:r w:rsidRPr="003E48F0">
              <w:t>2024</w:t>
            </w:r>
            <w:r>
              <w:t>/</w:t>
            </w:r>
            <w:r w:rsidRPr="003E48F0">
              <w:t>55</w:t>
            </w:r>
          </w:p>
        </w:tc>
      </w:tr>
      <w:tr w:rsidR="00132EA9" w:rsidRPr="00DB58B5" w14:paraId="060DA1C7" w14:textId="77777777" w:rsidTr="00F01738">
        <w:trPr>
          <w:trHeight w:hRule="exact" w:val="2835"/>
        </w:trPr>
        <w:tc>
          <w:tcPr>
            <w:tcW w:w="1276" w:type="dxa"/>
            <w:tcBorders>
              <w:top w:val="single" w:sz="4" w:space="0" w:color="auto"/>
              <w:bottom w:val="single" w:sz="12" w:space="0" w:color="auto"/>
            </w:tcBorders>
          </w:tcPr>
          <w:p w14:paraId="388E54B1" w14:textId="77777777" w:rsidR="00132EA9" w:rsidRPr="00DB58B5" w:rsidRDefault="00132EA9" w:rsidP="00F01738">
            <w:pPr>
              <w:spacing w:before="120"/>
              <w:jc w:val="center"/>
            </w:pPr>
            <w:r>
              <w:rPr>
                <w:noProof/>
                <w:lang w:eastAsia="fr-CH"/>
              </w:rPr>
              <w:drawing>
                <wp:inline distT="0" distB="0" distL="0" distR="0" wp14:anchorId="3713A673" wp14:editId="07E5547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53D4A1"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38CFCFBA" w14:textId="1EAE1845" w:rsidR="00132EA9" w:rsidRDefault="00B202E4" w:rsidP="00F01738">
            <w:pPr>
              <w:spacing w:before="240"/>
            </w:pPr>
            <w:r>
              <w:t>Distr</w:t>
            </w:r>
            <w:r w:rsidR="003E48F0" w:rsidRPr="003E48F0">
              <w:t>.</w:t>
            </w:r>
            <w:r>
              <w:t xml:space="preserve"> générale</w:t>
            </w:r>
          </w:p>
          <w:p w14:paraId="3318ECDF" w14:textId="77777777" w:rsidR="00B202E4" w:rsidRDefault="00B202E4" w:rsidP="00B202E4">
            <w:pPr>
              <w:spacing w:line="240" w:lineRule="exact"/>
            </w:pPr>
            <w:r w:rsidRPr="003E48F0">
              <w:t>18</w:t>
            </w:r>
            <w:r>
              <w:t xml:space="preserve"> avril </w:t>
            </w:r>
            <w:r w:rsidRPr="003E48F0">
              <w:t>2024</w:t>
            </w:r>
          </w:p>
          <w:p w14:paraId="4B3F35B1" w14:textId="77777777" w:rsidR="00B202E4" w:rsidRDefault="00B202E4" w:rsidP="00B202E4">
            <w:pPr>
              <w:spacing w:line="240" w:lineRule="exact"/>
            </w:pPr>
            <w:r>
              <w:t>Français</w:t>
            </w:r>
          </w:p>
          <w:p w14:paraId="76110584" w14:textId="5B9025C5" w:rsidR="00B202E4" w:rsidRPr="00DB58B5" w:rsidRDefault="00B202E4" w:rsidP="00B202E4">
            <w:pPr>
              <w:spacing w:line="240" w:lineRule="exact"/>
            </w:pPr>
            <w:r>
              <w:t>Original</w:t>
            </w:r>
            <w:r w:rsidR="00557C04">
              <w:t> :</w:t>
            </w:r>
            <w:r>
              <w:t xml:space="preserve"> anglais</w:t>
            </w:r>
          </w:p>
        </w:tc>
      </w:tr>
    </w:tbl>
    <w:p w14:paraId="1801AD9C" w14:textId="5FD37E73" w:rsidR="00B202E4" w:rsidRPr="00B202E4" w:rsidRDefault="00B202E4" w:rsidP="00B202E4">
      <w:pPr>
        <w:spacing w:before="120" w:after="120"/>
        <w:ind w:right="3117"/>
        <w:rPr>
          <w:b/>
          <w:sz w:val="24"/>
          <w:szCs w:val="24"/>
          <w:lang w:val="fr-FR"/>
        </w:rPr>
      </w:pPr>
      <w:r w:rsidRPr="00B202E4">
        <w:rPr>
          <w:b/>
          <w:bCs/>
          <w:sz w:val="24"/>
          <w:szCs w:val="24"/>
          <w:lang w:val="fr-FR"/>
        </w:rPr>
        <w:t>Comité d</w:t>
      </w:r>
      <w:r w:rsidR="00557C04">
        <w:rPr>
          <w:b/>
          <w:bCs/>
          <w:sz w:val="24"/>
          <w:szCs w:val="24"/>
          <w:lang w:val="fr-FR"/>
        </w:rPr>
        <w:t>’</w:t>
      </w:r>
      <w:r w:rsidRPr="00B202E4">
        <w:rPr>
          <w:b/>
          <w:bCs/>
          <w:sz w:val="24"/>
          <w:szCs w:val="24"/>
          <w:lang w:val="fr-FR"/>
        </w:rPr>
        <w:t>experts du transport des marchandises dangereuses et du Système général harmonisé de classification et</w:t>
      </w:r>
      <w:r>
        <w:rPr>
          <w:b/>
          <w:bCs/>
          <w:sz w:val="24"/>
          <w:szCs w:val="24"/>
          <w:lang w:val="fr-FR"/>
        </w:rPr>
        <w:t> </w:t>
      </w:r>
      <w:r w:rsidRPr="00B202E4">
        <w:rPr>
          <w:b/>
          <w:bCs/>
          <w:sz w:val="24"/>
          <w:szCs w:val="24"/>
          <w:lang w:val="fr-FR"/>
        </w:rPr>
        <w:t>d</w:t>
      </w:r>
      <w:r w:rsidR="00557C04">
        <w:rPr>
          <w:b/>
          <w:bCs/>
          <w:sz w:val="24"/>
          <w:szCs w:val="24"/>
          <w:lang w:val="fr-FR"/>
        </w:rPr>
        <w:t>’</w:t>
      </w:r>
      <w:r w:rsidRPr="00B202E4">
        <w:rPr>
          <w:b/>
          <w:bCs/>
          <w:sz w:val="24"/>
          <w:szCs w:val="24"/>
          <w:lang w:val="fr-FR"/>
        </w:rPr>
        <w:t>étiquetage des produits chimiques</w:t>
      </w:r>
    </w:p>
    <w:p w14:paraId="136DF28C" w14:textId="527FE8D3" w:rsidR="00B202E4" w:rsidRPr="005F4D10" w:rsidRDefault="00B202E4" w:rsidP="00B202E4">
      <w:pPr>
        <w:spacing w:before="120"/>
        <w:rPr>
          <w:rFonts w:ascii="Helv" w:hAnsi="Helv" w:cs="Helv"/>
          <w:b/>
          <w:color w:val="000000"/>
          <w:lang w:val="fr-FR"/>
        </w:rPr>
      </w:pPr>
      <w:r>
        <w:rPr>
          <w:b/>
          <w:bCs/>
          <w:lang w:val="fr-FR"/>
        </w:rPr>
        <w:t>Sous-Comité d</w:t>
      </w:r>
      <w:r w:rsidR="00557C04">
        <w:rPr>
          <w:b/>
          <w:bCs/>
          <w:lang w:val="fr-FR"/>
        </w:rPr>
        <w:t>’</w:t>
      </w:r>
      <w:r>
        <w:rPr>
          <w:b/>
          <w:bCs/>
          <w:lang w:val="fr-FR"/>
        </w:rPr>
        <w:t>experts du transport des marchandises dangereuses</w:t>
      </w:r>
    </w:p>
    <w:p w14:paraId="7BFE9329" w14:textId="77777777" w:rsidR="00B202E4" w:rsidRPr="005F4D10" w:rsidRDefault="00B202E4" w:rsidP="00B202E4">
      <w:pPr>
        <w:spacing w:before="120"/>
        <w:rPr>
          <w:b/>
          <w:lang w:val="fr-FR"/>
        </w:rPr>
      </w:pPr>
      <w:r>
        <w:rPr>
          <w:b/>
          <w:bCs/>
          <w:lang w:val="fr-FR"/>
        </w:rPr>
        <w:t>Soixante-quatrième session</w:t>
      </w:r>
    </w:p>
    <w:p w14:paraId="706095D6" w14:textId="15A48559" w:rsidR="00B202E4" w:rsidRPr="005F4D10" w:rsidRDefault="00B202E4" w:rsidP="00B202E4">
      <w:pPr>
        <w:rPr>
          <w:lang w:val="fr-FR"/>
        </w:rPr>
      </w:pPr>
      <w:r>
        <w:rPr>
          <w:lang w:val="fr-FR"/>
        </w:rPr>
        <w:t xml:space="preserve">Genève, </w:t>
      </w:r>
      <w:r w:rsidRPr="003E48F0">
        <w:rPr>
          <w:lang w:val="fr-FR"/>
        </w:rPr>
        <w:t>24</w:t>
      </w:r>
      <w:r>
        <w:rPr>
          <w:lang w:val="fr-FR"/>
        </w:rPr>
        <w:t xml:space="preserve"> juin-</w:t>
      </w:r>
      <w:r w:rsidRPr="003E48F0">
        <w:rPr>
          <w:lang w:val="fr-FR"/>
        </w:rPr>
        <w:t>3</w:t>
      </w:r>
      <w:r>
        <w:rPr>
          <w:lang w:val="fr-FR"/>
        </w:rPr>
        <w:t xml:space="preserve"> juillet </w:t>
      </w:r>
      <w:r w:rsidRPr="003E48F0">
        <w:rPr>
          <w:lang w:val="fr-FR"/>
        </w:rPr>
        <w:t>2024</w:t>
      </w:r>
    </w:p>
    <w:p w14:paraId="44611C04" w14:textId="61173015" w:rsidR="00B202E4" w:rsidRPr="005F4D10" w:rsidRDefault="00B202E4" w:rsidP="00B202E4">
      <w:pPr>
        <w:rPr>
          <w:lang w:val="fr-FR"/>
        </w:rPr>
      </w:pPr>
      <w:r>
        <w:rPr>
          <w:lang w:val="fr-FR"/>
        </w:rPr>
        <w:t xml:space="preserve">Point </w:t>
      </w:r>
      <w:r w:rsidRPr="003E48F0">
        <w:rPr>
          <w:lang w:val="fr-FR"/>
        </w:rPr>
        <w:t>4</w:t>
      </w:r>
      <w:r>
        <w:rPr>
          <w:lang w:val="fr-FR"/>
        </w:rPr>
        <w:t xml:space="preserve"> a) de l</w:t>
      </w:r>
      <w:r w:rsidR="00557C04">
        <w:rPr>
          <w:lang w:val="fr-FR"/>
        </w:rPr>
        <w:t>’</w:t>
      </w:r>
      <w:r>
        <w:rPr>
          <w:lang w:val="fr-FR"/>
        </w:rPr>
        <w:t>ordre du jour provisoire</w:t>
      </w:r>
    </w:p>
    <w:p w14:paraId="35288436" w14:textId="303DFEC1" w:rsidR="00B202E4" w:rsidRPr="005F4D10" w:rsidRDefault="00B202E4" w:rsidP="00B202E4">
      <w:pPr>
        <w:ind w:right="5810"/>
        <w:rPr>
          <w:b/>
          <w:bCs/>
          <w:lang w:val="fr-FR"/>
        </w:rPr>
      </w:pPr>
      <w:r>
        <w:rPr>
          <w:b/>
          <w:bCs/>
          <w:lang w:val="fr-FR"/>
        </w:rPr>
        <w:t>Systèmes de stockage de l</w:t>
      </w:r>
      <w:r w:rsidR="00557C04">
        <w:rPr>
          <w:b/>
          <w:bCs/>
          <w:lang w:val="fr-FR"/>
        </w:rPr>
        <w:t>’</w:t>
      </w:r>
      <w:r>
        <w:rPr>
          <w:b/>
          <w:bCs/>
          <w:lang w:val="fr-FR"/>
        </w:rPr>
        <w:t>électricité</w:t>
      </w:r>
      <w:r w:rsidR="00557C04">
        <w:rPr>
          <w:b/>
          <w:bCs/>
          <w:lang w:val="fr-FR"/>
        </w:rPr>
        <w:t> :</w:t>
      </w:r>
      <w:r>
        <w:rPr>
          <w:b/>
          <w:bCs/>
          <w:lang w:val="fr-FR"/>
        </w:rPr>
        <w:t xml:space="preserve"> </w:t>
      </w:r>
      <w:r>
        <w:rPr>
          <w:b/>
          <w:bCs/>
          <w:lang w:val="fr-FR"/>
        </w:rPr>
        <w:t>Épreuves pour les batteries au lithium</w:t>
      </w:r>
    </w:p>
    <w:p w14:paraId="6E64D62B" w14:textId="674ABECD" w:rsidR="00B202E4" w:rsidRPr="005F4D10" w:rsidRDefault="00B202E4" w:rsidP="00DC6587">
      <w:pPr>
        <w:pStyle w:val="HChG"/>
        <w:rPr>
          <w:lang w:val="fr-FR"/>
        </w:rPr>
      </w:pPr>
      <w:r>
        <w:rPr>
          <w:lang w:val="fr-FR"/>
        </w:rPr>
        <w:tab/>
      </w:r>
      <w:r>
        <w:rPr>
          <w:lang w:val="fr-FR"/>
        </w:rPr>
        <w:tab/>
        <w:t xml:space="preserve">Réutilisation, réparation et reconversion des piles et batteries </w:t>
      </w:r>
      <w:r w:rsidRPr="00DC6587">
        <w:rPr>
          <w:spacing w:val="-2"/>
          <w:lang w:val="fr-FR"/>
        </w:rPr>
        <w:t xml:space="preserve">au lithium ionique et incidences sur les dispositions relatives </w:t>
      </w:r>
      <w:r>
        <w:rPr>
          <w:lang w:val="fr-FR"/>
        </w:rPr>
        <w:t>à</w:t>
      </w:r>
      <w:r w:rsidR="00DC6587">
        <w:rPr>
          <w:lang w:val="fr-FR"/>
        </w:rPr>
        <w:t> </w:t>
      </w:r>
      <w:r>
        <w:rPr>
          <w:lang w:val="fr-FR"/>
        </w:rPr>
        <w:t xml:space="preserve">la sécurité et aux épreuves de la section </w:t>
      </w:r>
      <w:r w:rsidRPr="003E48F0">
        <w:rPr>
          <w:lang w:val="fr-FR"/>
        </w:rPr>
        <w:t>38</w:t>
      </w:r>
      <w:r w:rsidR="003E48F0" w:rsidRPr="003E48F0">
        <w:rPr>
          <w:lang w:val="fr-FR"/>
        </w:rPr>
        <w:t>.</w:t>
      </w:r>
      <w:r w:rsidRPr="003E48F0">
        <w:rPr>
          <w:lang w:val="fr-FR"/>
        </w:rPr>
        <w:t>3</w:t>
      </w:r>
      <w:r>
        <w:rPr>
          <w:lang w:val="fr-FR"/>
        </w:rPr>
        <w:t xml:space="preserve"> </w:t>
      </w:r>
      <w:r w:rsidR="00DC6587">
        <w:rPr>
          <w:lang w:val="fr-FR"/>
        </w:rPr>
        <w:br/>
      </w:r>
      <w:r>
        <w:rPr>
          <w:lang w:val="fr-FR"/>
        </w:rPr>
        <w:t>du Manuel d</w:t>
      </w:r>
      <w:r w:rsidR="00557C04">
        <w:rPr>
          <w:lang w:val="fr-FR"/>
        </w:rPr>
        <w:t>’</w:t>
      </w:r>
      <w:r>
        <w:rPr>
          <w:lang w:val="fr-FR"/>
        </w:rPr>
        <w:t>épreuves et de critères</w:t>
      </w:r>
    </w:p>
    <w:p w14:paraId="2D79258F" w14:textId="302C966E" w:rsidR="00B202E4" w:rsidRPr="005F4D10" w:rsidRDefault="00B202E4" w:rsidP="00DC6587">
      <w:pPr>
        <w:pStyle w:val="H1G"/>
        <w:rPr>
          <w:lang w:val="fr-FR"/>
        </w:rPr>
      </w:pPr>
      <w:r>
        <w:rPr>
          <w:lang w:val="fr-FR"/>
        </w:rPr>
        <w:tab/>
      </w:r>
      <w:r>
        <w:rPr>
          <w:lang w:val="fr-FR"/>
        </w:rPr>
        <w:tab/>
      </w:r>
      <w:r w:rsidRPr="00557C04">
        <w:rPr>
          <w:spacing w:val="4"/>
          <w:lang w:val="fr-FR"/>
        </w:rPr>
        <w:t xml:space="preserve">Communication de la Rechargeable Battery Association (PRBA) </w:t>
      </w:r>
      <w:r w:rsidR="00DC6587" w:rsidRPr="00557C04">
        <w:rPr>
          <w:spacing w:val="4"/>
          <w:lang w:val="fr-FR"/>
        </w:rPr>
        <w:br/>
      </w:r>
      <w:r w:rsidRPr="00557C04">
        <w:rPr>
          <w:spacing w:val="-2"/>
          <w:lang w:val="fr-FR"/>
        </w:rPr>
        <w:t>et de l</w:t>
      </w:r>
      <w:r w:rsidR="00557C04" w:rsidRPr="00557C04">
        <w:rPr>
          <w:spacing w:val="-2"/>
          <w:lang w:val="fr-FR"/>
        </w:rPr>
        <w:t>’</w:t>
      </w:r>
      <w:r w:rsidRPr="00557C04">
        <w:rPr>
          <w:spacing w:val="-2"/>
          <w:lang w:val="fr-FR"/>
        </w:rPr>
        <w:t>Advanced Rechargeable and Lithium Batteries Association</w:t>
      </w:r>
      <w:r>
        <w:rPr>
          <w:lang w:val="fr-FR"/>
        </w:rPr>
        <w:t xml:space="preserve"> (RECHARGE)</w:t>
      </w:r>
      <w:r w:rsidRPr="00DC6587">
        <w:rPr>
          <w:rStyle w:val="FootnoteReference"/>
          <w:b w:val="0"/>
          <w:bCs/>
          <w:sz w:val="20"/>
          <w:vertAlign w:val="baseline"/>
          <w:lang w:val="fr-FR"/>
        </w:rPr>
        <w:footnoteReference w:customMarkFollows="1" w:id="2"/>
        <w:t>*</w:t>
      </w:r>
      <w:r w:rsidRPr="00DC6587">
        <w:rPr>
          <w:b w:val="0"/>
          <w:bCs/>
          <w:position w:val="4"/>
          <w:sz w:val="20"/>
          <w:lang w:val="fr-FR"/>
        </w:rPr>
        <w:t>,</w:t>
      </w:r>
      <w:r w:rsidR="00DC6587" w:rsidRPr="00DC6587">
        <w:rPr>
          <w:b w:val="0"/>
          <w:bCs/>
          <w:position w:val="4"/>
          <w:sz w:val="20"/>
          <w:lang w:val="fr-FR"/>
        </w:rPr>
        <w:t xml:space="preserve"> </w:t>
      </w:r>
      <w:r w:rsidRPr="00DC6587">
        <w:rPr>
          <w:rStyle w:val="FootnoteReference"/>
          <w:b w:val="0"/>
          <w:bCs/>
          <w:sz w:val="20"/>
          <w:vertAlign w:val="baseline"/>
          <w:lang w:val="fr-FR"/>
        </w:rPr>
        <w:footnoteReference w:customMarkFollows="1" w:id="3"/>
        <w:t>**</w:t>
      </w:r>
    </w:p>
    <w:p w14:paraId="1BA2B532" w14:textId="7D2074A0" w:rsidR="00B202E4" w:rsidRPr="0014568F" w:rsidRDefault="00DC6587" w:rsidP="00DC6587">
      <w:pPr>
        <w:pStyle w:val="HChG"/>
        <w:rPr>
          <w:lang w:val="fr-FR"/>
        </w:rPr>
      </w:pPr>
      <w:r>
        <w:rPr>
          <w:lang w:val="fr-FR"/>
        </w:rPr>
        <w:tab/>
      </w:r>
      <w:r w:rsidR="00B202E4">
        <w:rPr>
          <w:lang w:val="fr-FR"/>
        </w:rPr>
        <w:t>I</w:t>
      </w:r>
      <w:r w:rsidR="003E48F0" w:rsidRPr="003E48F0">
        <w:rPr>
          <w:lang w:val="fr-FR"/>
        </w:rPr>
        <w:t>.</w:t>
      </w:r>
      <w:r w:rsidR="00B202E4">
        <w:rPr>
          <w:lang w:val="fr-FR"/>
        </w:rPr>
        <w:tab/>
        <w:t>Introduction</w:t>
      </w:r>
    </w:p>
    <w:p w14:paraId="4C0DF543" w14:textId="5DFEC673" w:rsidR="00B202E4" w:rsidRPr="000C0C42" w:rsidRDefault="00B202E4" w:rsidP="00DC6587">
      <w:pPr>
        <w:pStyle w:val="SingleTxtG"/>
        <w:rPr>
          <w:lang w:val="fr-FR"/>
        </w:rPr>
      </w:pPr>
      <w:r w:rsidRPr="003E48F0">
        <w:rPr>
          <w:lang w:val="fr-FR"/>
        </w:rPr>
        <w:t>1</w:t>
      </w:r>
      <w:r w:rsidR="003E48F0" w:rsidRPr="003E48F0">
        <w:rPr>
          <w:lang w:val="fr-FR"/>
        </w:rPr>
        <w:t>.</w:t>
      </w:r>
      <w:r>
        <w:rPr>
          <w:lang w:val="fr-FR"/>
        </w:rPr>
        <w:tab/>
        <w:t>La PRBA et RECHARGE ont déjà présenté des informations sur la manière dont les gouvernements et les organisations non gouvernementales (ONG) promeuvent les concepts associés à une « économie circulaire » et sur les raisons pour lesquelles les piles et batteries au lithium ionique sont souvent considérées comme des produits qui devraient être « réutilisés » (c</w:t>
      </w:r>
      <w:r w:rsidR="00557C04">
        <w:rPr>
          <w:lang w:val="fr-FR"/>
        </w:rPr>
        <w:t>’</w:t>
      </w:r>
      <w:r>
        <w:rPr>
          <w:lang w:val="fr-FR"/>
        </w:rPr>
        <w:t>est-à-dire remanufacturés ou réparés) et « reconvertis » avant d</w:t>
      </w:r>
      <w:r w:rsidR="00557C04">
        <w:rPr>
          <w:lang w:val="fr-FR"/>
        </w:rPr>
        <w:t>’</w:t>
      </w:r>
      <w:r>
        <w:rPr>
          <w:lang w:val="fr-FR"/>
        </w:rPr>
        <w:t>être éliminés ou recyclés en fin de vie</w:t>
      </w:r>
      <w:r w:rsidR="003E48F0" w:rsidRPr="003E48F0">
        <w:rPr>
          <w:lang w:val="fr-FR"/>
        </w:rPr>
        <w:t>.</w:t>
      </w:r>
      <w:r>
        <w:rPr>
          <w:lang w:val="fr-FR"/>
        </w:rPr>
        <w:t xml:space="preserve"> Dans les documents informels qu</w:t>
      </w:r>
      <w:r w:rsidR="00557C04">
        <w:rPr>
          <w:lang w:val="fr-FR"/>
        </w:rPr>
        <w:t>’</w:t>
      </w:r>
      <w:r>
        <w:rPr>
          <w:lang w:val="fr-FR"/>
        </w:rPr>
        <w:t xml:space="preserve">elles ont présentés précédemment sur cette question, la PRBA et RECHARGE avaient montré que la réutilisation, la réparation ou la reconversion des piles et batteries au lithium ionique pouvait avoir des incidences sur les prescriptions techniques et réglementaires et sur les prescriptions de sécurité énoncées dans la section </w:t>
      </w:r>
      <w:r w:rsidRPr="003E48F0">
        <w:rPr>
          <w:lang w:val="fr-FR"/>
        </w:rPr>
        <w:t>38</w:t>
      </w:r>
      <w:r w:rsidR="003E48F0" w:rsidRPr="003E48F0">
        <w:rPr>
          <w:lang w:val="fr-FR"/>
        </w:rPr>
        <w:t>.</w:t>
      </w:r>
      <w:r w:rsidRPr="003E48F0">
        <w:rPr>
          <w:lang w:val="fr-FR"/>
        </w:rPr>
        <w:t>3</w:t>
      </w:r>
      <w:r>
        <w:rPr>
          <w:lang w:val="fr-FR"/>
        </w:rPr>
        <w:t xml:space="preserve"> du Manuel d</w:t>
      </w:r>
      <w:r w:rsidR="00557C04">
        <w:rPr>
          <w:lang w:val="fr-FR"/>
        </w:rPr>
        <w:t>’</w:t>
      </w:r>
      <w:r>
        <w:rPr>
          <w:lang w:val="fr-FR"/>
        </w:rPr>
        <w:t>épreuves et de critères (épreuves relatives aux piles au lithium) et dans le Règlement type, qui sont associées à la sécurité du transport de ces marchandises dangereuses</w:t>
      </w:r>
      <w:r w:rsidR="003E48F0" w:rsidRPr="003E48F0">
        <w:rPr>
          <w:lang w:val="fr-FR"/>
        </w:rPr>
        <w:t>.</w:t>
      </w:r>
    </w:p>
    <w:p w14:paraId="4E86EAB9" w14:textId="25F12111" w:rsidR="00B202E4" w:rsidRDefault="00B202E4" w:rsidP="00DC6587">
      <w:pPr>
        <w:pStyle w:val="SingleTxtG"/>
        <w:rPr>
          <w:lang w:val="fr-FR"/>
        </w:rPr>
      </w:pPr>
      <w:r w:rsidRPr="003E48F0">
        <w:rPr>
          <w:lang w:val="fr-FR"/>
        </w:rPr>
        <w:t>2</w:t>
      </w:r>
      <w:r w:rsidR="003E48F0" w:rsidRPr="003E48F0">
        <w:rPr>
          <w:lang w:val="fr-FR"/>
        </w:rPr>
        <w:t>.</w:t>
      </w:r>
      <w:r>
        <w:rPr>
          <w:lang w:val="fr-FR"/>
        </w:rPr>
        <w:tab/>
        <w:t>Compte tenu des observations et des questions formulées au sujet de ces documents informels à la soixante-troisième session, la PRBA et RECHARGE proposent désormais d</w:t>
      </w:r>
      <w:r w:rsidR="00557C04">
        <w:rPr>
          <w:lang w:val="fr-FR"/>
        </w:rPr>
        <w:t>’</w:t>
      </w:r>
      <w:r>
        <w:rPr>
          <w:lang w:val="fr-FR"/>
        </w:rPr>
        <w:t xml:space="preserve">ajouter simplement une nouvelle disposition et une note au </w:t>
      </w:r>
      <w:r w:rsidRPr="003E48F0">
        <w:rPr>
          <w:lang w:val="fr-FR"/>
        </w:rPr>
        <w:t>38</w:t>
      </w:r>
      <w:r w:rsidR="003E48F0" w:rsidRPr="003E48F0">
        <w:rPr>
          <w:lang w:val="fr-FR"/>
        </w:rPr>
        <w:t>.</w:t>
      </w:r>
      <w:r w:rsidRPr="003E48F0">
        <w:rPr>
          <w:lang w:val="fr-FR"/>
        </w:rPr>
        <w:t>3</w:t>
      </w:r>
      <w:r w:rsidR="003E48F0" w:rsidRPr="003E48F0">
        <w:rPr>
          <w:lang w:val="fr-FR"/>
        </w:rPr>
        <w:t>.</w:t>
      </w:r>
      <w:r w:rsidRPr="003E48F0">
        <w:rPr>
          <w:lang w:val="fr-FR"/>
        </w:rPr>
        <w:t>2</w:t>
      </w:r>
      <w:r w:rsidR="003E48F0" w:rsidRPr="003E48F0">
        <w:rPr>
          <w:lang w:val="fr-FR"/>
        </w:rPr>
        <w:t>.</w:t>
      </w:r>
      <w:r w:rsidRPr="003E48F0">
        <w:rPr>
          <w:lang w:val="fr-FR"/>
        </w:rPr>
        <w:t>1</w:t>
      </w:r>
      <w:r>
        <w:rPr>
          <w:lang w:val="fr-FR"/>
        </w:rPr>
        <w:t>, afin de tenir compte des modifications de conception susceptibles de résulter de la reconversion, de la remanufacture ou de la réparation d</w:t>
      </w:r>
      <w:r w:rsidR="00557C04">
        <w:rPr>
          <w:lang w:val="fr-FR"/>
        </w:rPr>
        <w:t>’</w:t>
      </w:r>
      <w:r>
        <w:rPr>
          <w:lang w:val="fr-FR"/>
        </w:rPr>
        <w:t>une batterie et de la nécessité ou non de procéder à de nouvelles épreuves</w:t>
      </w:r>
      <w:r w:rsidR="003E48F0" w:rsidRPr="003E48F0">
        <w:rPr>
          <w:lang w:val="fr-FR"/>
        </w:rPr>
        <w:t>.</w:t>
      </w:r>
      <w:r>
        <w:rPr>
          <w:lang w:val="fr-FR"/>
        </w:rPr>
        <w:t xml:space="preserve"> Contrairement à ce qu</w:t>
      </w:r>
      <w:r w:rsidR="00557C04">
        <w:rPr>
          <w:lang w:val="fr-FR"/>
        </w:rPr>
        <w:t>’</w:t>
      </w:r>
      <w:r>
        <w:rPr>
          <w:lang w:val="fr-FR"/>
        </w:rPr>
        <w:t xml:space="preserve">elles avaient privilégié dans les documents </w:t>
      </w:r>
      <w:r>
        <w:rPr>
          <w:lang w:val="fr-FR"/>
        </w:rPr>
        <w:lastRenderedPageBreak/>
        <w:t>informels précédents, dans lesquels figuraient des définitions et pour lesquels ces questions avaient été abordées sous un angle plus complexe, la PRBA et RECHARGE estiment que la présente approche simplifiée fournira les orientations nécessaires aux entreprises ainsi qu</w:t>
      </w:r>
      <w:r w:rsidR="00557C04">
        <w:rPr>
          <w:lang w:val="fr-FR"/>
        </w:rPr>
        <w:t>’</w:t>
      </w:r>
      <w:r>
        <w:rPr>
          <w:lang w:val="fr-FR"/>
        </w:rPr>
        <w:t>aux autorités chargées de faire respecter la réglementation relative aux marchandises dangereuses</w:t>
      </w:r>
      <w:r w:rsidR="003E48F0" w:rsidRPr="003E48F0">
        <w:rPr>
          <w:lang w:val="fr-FR"/>
        </w:rPr>
        <w:t>.</w:t>
      </w:r>
    </w:p>
    <w:p w14:paraId="28E79DD0" w14:textId="26EF6856" w:rsidR="00B202E4" w:rsidRPr="005F4D10" w:rsidRDefault="00DC6587" w:rsidP="00DC6587">
      <w:pPr>
        <w:pStyle w:val="HChG"/>
        <w:rPr>
          <w:lang w:val="fr-FR"/>
        </w:rPr>
      </w:pPr>
      <w:r>
        <w:rPr>
          <w:lang w:val="fr-FR"/>
        </w:rPr>
        <w:tab/>
      </w:r>
      <w:r w:rsidR="00B202E4">
        <w:rPr>
          <w:lang w:val="fr-FR"/>
        </w:rPr>
        <w:t>II</w:t>
      </w:r>
      <w:r w:rsidR="003E48F0" w:rsidRPr="003E48F0">
        <w:rPr>
          <w:lang w:val="fr-FR"/>
        </w:rPr>
        <w:t>.</w:t>
      </w:r>
      <w:r w:rsidR="00B202E4">
        <w:rPr>
          <w:lang w:val="fr-FR"/>
        </w:rPr>
        <w:tab/>
        <w:t>Proposition</w:t>
      </w:r>
    </w:p>
    <w:p w14:paraId="589E0FE6" w14:textId="2A0316F5" w:rsidR="00B202E4" w:rsidRPr="005F4D10" w:rsidRDefault="00B202E4" w:rsidP="00DC6587">
      <w:pPr>
        <w:pStyle w:val="SingleTxtG"/>
        <w:rPr>
          <w:lang w:val="fr-FR"/>
        </w:rPr>
      </w:pPr>
      <w:r w:rsidRPr="003E48F0">
        <w:rPr>
          <w:lang w:val="fr-FR"/>
        </w:rPr>
        <w:t>3</w:t>
      </w:r>
      <w:r w:rsidR="003E48F0" w:rsidRPr="003E48F0">
        <w:rPr>
          <w:lang w:val="fr-FR"/>
        </w:rPr>
        <w:t>.</w:t>
      </w:r>
      <w:r>
        <w:rPr>
          <w:lang w:val="fr-FR"/>
        </w:rPr>
        <w:tab/>
        <w:t xml:space="preserve">Ajouter un nouvel alinéa g) sous le NOTA du </w:t>
      </w:r>
      <w:r w:rsidRPr="003E48F0">
        <w:rPr>
          <w:lang w:val="fr-FR"/>
        </w:rPr>
        <w:t>38</w:t>
      </w:r>
      <w:r w:rsidR="003E48F0" w:rsidRPr="003E48F0">
        <w:rPr>
          <w:lang w:val="fr-FR"/>
        </w:rPr>
        <w:t>.</w:t>
      </w:r>
      <w:r w:rsidRPr="003E48F0">
        <w:rPr>
          <w:lang w:val="fr-FR"/>
        </w:rPr>
        <w:t>3</w:t>
      </w:r>
      <w:r w:rsidR="003E48F0" w:rsidRPr="003E48F0">
        <w:rPr>
          <w:lang w:val="fr-FR"/>
        </w:rPr>
        <w:t>.</w:t>
      </w:r>
      <w:r w:rsidRPr="003E48F0">
        <w:rPr>
          <w:lang w:val="fr-FR"/>
        </w:rPr>
        <w:t>2</w:t>
      </w:r>
      <w:r w:rsidR="003E48F0" w:rsidRPr="003E48F0">
        <w:rPr>
          <w:lang w:val="fr-FR"/>
        </w:rPr>
        <w:t>.</w:t>
      </w:r>
      <w:r w:rsidRPr="003E48F0">
        <w:rPr>
          <w:lang w:val="fr-FR"/>
        </w:rPr>
        <w:t>2</w:t>
      </w:r>
      <w:r>
        <w:rPr>
          <w:lang w:val="fr-FR"/>
        </w:rPr>
        <w:t xml:space="preserve"> du Manuel d</w:t>
      </w:r>
      <w:r w:rsidR="00557C04">
        <w:rPr>
          <w:lang w:val="fr-FR"/>
        </w:rPr>
        <w:t>’</w:t>
      </w:r>
      <w:r>
        <w:rPr>
          <w:lang w:val="fr-FR"/>
        </w:rPr>
        <w:t xml:space="preserve">épreuves et de critères, comme suit (les ajouts apparaissent en caractères </w:t>
      </w:r>
      <w:r>
        <w:rPr>
          <w:u w:val="single"/>
          <w:lang w:val="fr-FR"/>
        </w:rPr>
        <w:t>soulignés</w:t>
      </w:r>
      <w:r>
        <w:rPr>
          <w:lang w:val="fr-FR"/>
        </w:rPr>
        <w:t>)</w:t>
      </w:r>
      <w:r w:rsidR="00557C04">
        <w:rPr>
          <w:lang w:val="fr-FR"/>
        </w:rPr>
        <w:t> :</w:t>
      </w:r>
    </w:p>
    <w:p w14:paraId="42D4D481" w14:textId="39754C12" w:rsidR="00B202E4" w:rsidRPr="003E48F0" w:rsidRDefault="00B202E4" w:rsidP="00DC6587">
      <w:pPr>
        <w:pStyle w:val="SingleTxtG"/>
        <w:rPr>
          <w:i/>
          <w:iCs/>
          <w:lang w:val="fr-FR"/>
        </w:rPr>
      </w:pPr>
      <w:r w:rsidRPr="00DC6587">
        <w:rPr>
          <w:lang w:val="fr-FR"/>
        </w:rPr>
        <w:t>« </w:t>
      </w:r>
      <w:r w:rsidRPr="003E48F0">
        <w:rPr>
          <w:b/>
          <w:bCs/>
          <w:i/>
          <w:iCs/>
          <w:lang w:val="fr-FR"/>
        </w:rPr>
        <w:t>NOTA</w:t>
      </w:r>
      <w:r w:rsidR="00557C04" w:rsidRPr="003E48F0">
        <w:rPr>
          <w:i/>
          <w:iCs/>
          <w:lang w:val="fr-FR"/>
        </w:rPr>
        <w:t> :</w:t>
      </w:r>
      <w:r w:rsidRPr="003E48F0">
        <w:rPr>
          <w:i/>
          <w:iCs/>
          <w:lang w:val="fr-FR"/>
        </w:rPr>
        <w:t xml:space="preserve"> Parmi les types de modifications susceptibles d</w:t>
      </w:r>
      <w:r w:rsidR="00557C04" w:rsidRPr="003E48F0">
        <w:rPr>
          <w:i/>
          <w:iCs/>
          <w:lang w:val="fr-FR"/>
        </w:rPr>
        <w:t>’</w:t>
      </w:r>
      <w:r w:rsidRPr="003E48F0">
        <w:rPr>
          <w:i/>
          <w:iCs/>
          <w:lang w:val="fr-FR"/>
        </w:rPr>
        <w:t>être considérés comme entraînant une différence par rapport à un type éprouvé, et qui risquent de provoquer ainsi l</w:t>
      </w:r>
      <w:r w:rsidR="00557C04" w:rsidRPr="003E48F0">
        <w:rPr>
          <w:i/>
          <w:iCs/>
          <w:lang w:val="fr-FR"/>
        </w:rPr>
        <w:t>’</w:t>
      </w:r>
      <w:r w:rsidRPr="003E48F0">
        <w:rPr>
          <w:i/>
          <w:iCs/>
          <w:lang w:val="fr-FR"/>
        </w:rPr>
        <w:t>échec de l</w:t>
      </w:r>
      <w:r w:rsidR="00557C04" w:rsidRPr="003E48F0">
        <w:rPr>
          <w:i/>
          <w:iCs/>
          <w:lang w:val="fr-FR"/>
        </w:rPr>
        <w:t>’</w:t>
      </w:r>
      <w:r w:rsidRPr="003E48F0">
        <w:rPr>
          <w:i/>
          <w:iCs/>
          <w:lang w:val="fr-FR"/>
        </w:rPr>
        <w:t>une des épreuves, peuvent figurer notamment</w:t>
      </w:r>
      <w:r w:rsidR="00557C04" w:rsidRPr="003E48F0">
        <w:rPr>
          <w:i/>
          <w:iCs/>
          <w:lang w:val="fr-FR"/>
        </w:rPr>
        <w:t> :</w:t>
      </w:r>
    </w:p>
    <w:p w14:paraId="79E92C8E" w14:textId="44DEF063" w:rsidR="00B202E4" w:rsidRPr="003E48F0" w:rsidRDefault="003E48F0" w:rsidP="00DC6587">
      <w:pPr>
        <w:pStyle w:val="SingleTxtG"/>
        <w:ind w:firstLine="567"/>
        <w:rPr>
          <w:i/>
          <w:iCs/>
          <w:lang w:val="fr-FR"/>
        </w:rPr>
      </w:pPr>
      <w:r w:rsidRPr="003E48F0">
        <w:rPr>
          <w:i/>
          <w:iCs/>
          <w:lang w:val="fr-FR"/>
        </w:rPr>
        <w:t>...</w:t>
      </w:r>
    </w:p>
    <w:p w14:paraId="015F3FAC" w14:textId="4BBC2FF8" w:rsidR="00B202E4" w:rsidRPr="000C0C42" w:rsidRDefault="00B202E4" w:rsidP="00DC6587">
      <w:pPr>
        <w:pStyle w:val="SingleTxtG"/>
        <w:ind w:firstLine="567"/>
        <w:rPr>
          <w:lang w:val="fr-FR"/>
        </w:rPr>
      </w:pPr>
      <w:bookmarkStart w:id="0" w:name="_Hlk161139238"/>
      <w:r w:rsidRPr="003E48F0">
        <w:rPr>
          <w:i/>
          <w:iCs/>
          <w:u w:val="single"/>
          <w:lang w:val="fr-FR"/>
        </w:rPr>
        <w:t>g)</w:t>
      </w:r>
      <w:r w:rsidRPr="00344C71">
        <w:rPr>
          <w:u w:val="single"/>
          <w:lang w:val="fr-FR"/>
        </w:rPr>
        <w:tab/>
      </w:r>
      <w:r w:rsidRPr="003E48F0">
        <w:rPr>
          <w:i/>
          <w:iCs/>
          <w:u w:val="single"/>
          <w:lang w:val="fr-FR"/>
        </w:rPr>
        <w:t>Une modification de conception résultant de la reconversion, de la remanufacture ou de la réparation d</w:t>
      </w:r>
      <w:r w:rsidR="00557C04" w:rsidRPr="003E48F0">
        <w:rPr>
          <w:i/>
          <w:iCs/>
          <w:u w:val="single"/>
          <w:lang w:val="fr-FR"/>
        </w:rPr>
        <w:t>’</w:t>
      </w:r>
      <w:r w:rsidRPr="003E48F0">
        <w:rPr>
          <w:i/>
          <w:iCs/>
          <w:u w:val="single"/>
          <w:lang w:val="fr-FR"/>
        </w:rPr>
        <w:t>une batterie</w:t>
      </w:r>
      <w:r w:rsidR="003E48F0" w:rsidRPr="003E48F0">
        <w:rPr>
          <w:i/>
          <w:iCs/>
          <w:u w:val="single"/>
          <w:lang w:val="fr-FR"/>
        </w:rPr>
        <w:t>.</w:t>
      </w:r>
      <w:r>
        <w:rPr>
          <w:lang w:val="fr-FR"/>
        </w:rPr>
        <w:t xml:space="preserve"> </w:t>
      </w:r>
      <w:r w:rsidRPr="003E48F0">
        <w:rPr>
          <w:b/>
          <w:bCs/>
          <w:i/>
          <w:iCs/>
          <w:u w:val="single"/>
          <w:lang w:val="fr-FR"/>
        </w:rPr>
        <w:t>Note</w:t>
      </w:r>
      <w:r w:rsidR="00557C04" w:rsidRPr="003E48F0">
        <w:rPr>
          <w:i/>
          <w:iCs/>
          <w:u w:val="single"/>
          <w:lang w:val="fr-FR"/>
        </w:rPr>
        <w:t> :</w:t>
      </w:r>
      <w:r w:rsidRPr="003E48F0">
        <w:rPr>
          <w:i/>
          <w:iCs/>
          <w:u w:val="single"/>
          <w:lang w:val="fr-FR"/>
        </w:rPr>
        <w:t xml:space="preserve"> Les opérations de réparation, effectuées selon un procédé autorisé par le fabricant de la batterie d</w:t>
      </w:r>
      <w:r w:rsidR="00557C04" w:rsidRPr="003E48F0">
        <w:rPr>
          <w:i/>
          <w:iCs/>
          <w:u w:val="single"/>
          <w:lang w:val="fr-FR"/>
        </w:rPr>
        <w:t>’</w:t>
      </w:r>
      <w:r w:rsidRPr="003E48F0">
        <w:rPr>
          <w:i/>
          <w:iCs/>
          <w:u w:val="single"/>
          <w:lang w:val="fr-FR"/>
        </w:rPr>
        <w:t>origine et visant à remettre une batterie dans un état équivalent à celui du type éprouvé en remplaçant des pièces défectueuses par des pièces de rechange d</w:t>
      </w:r>
      <w:r w:rsidR="00557C04" w:rsidRPr="003E48F0">
        <w:rPr>
          <w:i/>
          <w:iCs/>
          <w:u w:val="single"/>
          <w:lang w:val="fr-FR"/>
        </w:rPr>
        <w:t>’</w:t>
      </w:r>
      <w:r w:rsidRPr="003E48F0">
        <w:rPr>
          <w:i/>
          <w:iCs/>
          <w:u w:val="single"/>
          <w:lang w:val="fr-FR"/>
        </w:rPr>
        <w:t>origine ou par des pièces dotées des mêmes caractéristiques et de même qualité, ne sont pas considérées comme entraînant une différence par rapport à un type éprouvé</w:t>
      </w:r>
      <w:r w:rsidR="003E48F0" w:rsidRPr="003E48F0">
        <w:rPr>
          <w:u w:val="single"/>
          <w:lang w:val="fr-FR"/>
        </w:rPr>
        <w:t>.</w:t>
      </w:r>
      <w:bookmarkEnd w:id="0"/>
    </w:p>
    <w:p w14:paraId="5F16FF79" w14:textId="59923CD1" w:rsidR="00446FE5" w:rsidRDefault="003E48F0" w:rsidP="00DC6587">
      <w:pPr>
        <w:pStyle w:val="SingleTxtG"/>
        <w:ind w:firstLine="567"/>
        <w:rPr>
          <w:lang w:val="fr-FR"/>
        </w:rPr>
      </w:pPr>
      <w:r w:rsidRPr="003E48F0">
        <w:rPr>
          <w:lang w:val="fr-FR"/>
        </w:rPr>
        <w:t>...</w:t>
      </w:r>
      <w:r w:rsidR="00557C04">
        <w:rPr>
          <w:lang w:val="fr-FR"/>
        </w:rPr>
        <w:t> </w:t>
      </w:r>
      <w:r w:rsidR="00B202E4">
        <w:rPr>
          <w:lang w:val="fr-FR"/>
        </w:rPr>
        <w:t>»</w:t>
      </w:r>
    </w:p>
    <w:p w14:paraId="4004D5C0" w14:textId="1488F2E1" w:rsidR="00B202E4" w:rsidRPr="00B202E4" w:rsidRDefault="00B202E4" w:rsidP="00B202E4">
      <w:pPr>
        <w:pStyle w:val="SingleTxtG"/>
        <w:spacing w:before="240" w:after="0"/>
        <w:jc w:val="center"/>
        <w:rPr>
          <w:u w:val="single"/>
        </w:rPr>
      </w:pPr>
      <w:r>
        <w:rPr>
          <w:u w:val="single"/>
        </w:rPr>
        <w:tab/>
      </w:r>
      <w:r>
        <w:rPr>
          <w:u w:val="single"/>
        </w:rPr>
        <w:tab/>
      </w:r>
      <w:r>
        <w:rPr>
          <w:u w:val="single"/>
        </w:rPr>
        <w:tab/>
      </w:r>
    </w:p>
    <w:sectPr w:rsidR="00B202E4" w:rsidRPr="00B202E4" w:rsidSect="00B202E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FC67A0" w14:textId="77777777" w:rsidR="006666C5" w:rsidRDefault="006666C5" w:rsidP="00F95C08">
      <w:pPr>
        <w:spacing w:line="240" w:lineRule="auto"/>
      </w:pPr>
    </w:p>
  </w:endnote>
  <w:endnote w:type="continuationSeparator" w:id="0">
    <w:p w14:paraId="0093E568" w14:textId="77777777" w:rsidR="006666C5" w:rsidRPr="00AC3823" w:rsidRDefault="006666C5" w:rsidP="00AC3823">
      <w:pPr>
        <w:pStyle w:val="Footer"/>
      </w:pPr>
    </w:p>
  </w:endnote>
  <w:endnote w:type="continuationNotice" w:id="1">
    <w:p w14:paraId="23D0C544" w14:textId="77777777" w:rsidR="006666C5" w:rsidRDefault="006666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C0E328" w14:textId="43B29048" w:rsidR="00B202E4" w:rsidRPr="00B202E4" w:rsidRDefault="00B202E4" w:rsidP="00B202E4">
    <w:pPr>
      <w:pStyle w:val="Footer"/>
      <w:tabs>
        <w:tab w:val="right" w:pos="9638"/>
      </w:tabs>
    </w:pPr>
    <w:r w:rsidRPr="00B202E4">
      <w:rPr>
        <w:b/>
        <w:sz w:val="18"/>
      </w:rPr>
      <w:fldChar w:fldCharType="begin"/>
    </w:r>
    <w:r w:rsidRPr="00B202E4">
      <w:rPr>
        <w:b/>
        <w:sz w:val="18"/>
      </w:rPr>
      <w:instrText xml:space="preserve"> PAGE  \* MERGEFORMAT </w:instrText>
    </w:r>
    <w:r w:rsidRPr="00B202E4">
      <w:rPr>
        <w:b/>
        <w:sz w:val="18"/>
      </w:rPr>
      <w:fldChar w:fldCharType="separate"/>
    </w:r>
    <w:r w:rsidRPr="00B202E4">
      <w:rPr>
        <w:b/>
        <w:noProof/>
        <w:sz w:val="18"/>
      </w:rPr>
      <w:t>2</w:t>
    </w:r>
    <w:r w:rsidRPr="00B202E4">
      <w:rPr>
        <w:b/>
        <w:sz w:val="18"/>
      </w:rPr>
      <w:fldChar w:fldCharType="end"/>
    </w:r>
    <w:r>
      <w:rPr>
        <w:b/>
        <w:sz w:val="18"/>
      </w:rPr>
      <w:tab/>
    </w:r>
    <w:r>
      <w:t>GE.24-07076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AA044" w14:textId="15F63981" w:rsidR="00B202E4" w:rsidRPr="00B202E4" w:rsidRDefault="00B202E4" w:rsidP="00B202E4">
    <w:pPr>
      <w:pStyle w:val="Footer"/>
      <w:tabs>
        <w:tab w:val="right" w:pos="9638"/>
      </w:tabs>
      <w:rPr>
        <w:b/>
        <w:sz w:val="18"/>
      </w:rPr>
    </w:pPr>
    <w:r>
      <w:t>GE.24-07076</w:t>
    </w:r>
    <w:r>
      <w:tab/>
    </w:r>
    <w:r w:rsidRPr="00B202E4">
      <w:rPr>
        <w:b/>
        <w:sz w:val="18"/>
      </w:rPr>
      <w:fldChar w:fldCharType="begin"/>
    </w:r>
    <w:r w:rsidRPr="00B202E4">
      <w:rPr>
        <w:b/>
        <w:sz w:val="18"/>
      </w:rPr>
      <w:instrText xml:space="preserve"> PAGE  \* MERGEFORMAT </w:instrText>
    </w:r>
    <w:r w:rsidRPr="00B202E4">
      <w:rPr>
        <w:b/>
        <w:sz w:val="18"/>
      </w:rPr>
      <w:fldChar w:fldCharType="separate"/>
    </w:r>
    <w:r w:rsidRPr="00B202E4">
      <w:rPr>
        <w:b/>
        <w:noProof/>
        <w:sz w:val="18"/>
      </w:rPr>
      <w:t>3</w:t>
    </w:r>
    <w:r w:rsidRPr="00B202E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B13CAC" w14:textId="1A357CF0" w:rsidR="0068456F" w:rsidRPr="00B202E4" w:rsidRDefault="00B202E4" w:rsidP="00B202E4">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00C36CC8" wp14:editId="2154F8B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24-07076  (F)</w:t>
    </w:r>
    <w:r>
      <w:rPr>
        <w:noProof/>
        <w:sz w:val="20"/>
      </w:rPr>
      <w:drawing>
        <wp:anchor distT="0" distB="0" distL="114300" distR="114300" simplePos="0" relativeHeight="251660288" behindDoc="0" locked="0" layoutInCell="1" allowOverlap="1" wp14:anchorId="1A5E6182" wp14:editId="7A544608">
          <wp:simplePos x="0" y="0"/>
          <wp:positionH relativeFrom="margin">
            <wp:posOffset>5489575</wp:posOffset>
          </wp:positionH>
          <wp:positionV relativeFrom="margin">
            <wp:posOffset>8891905</wp:posOffset>
          </wp:positionV>
          <wp:extent cx="628650" cy="628650"/>
          <wp:effectExtent l="0" t="0" r="0" b="0"/>
          <wp:wrapNone/>
          <wp:docPr id="3077026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160524    160524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CDDC04" w14:textId="77777777" w:rsidR="006666C5" w:rsidRPr="00AC3823" w:rsidRDefault="006666C5" w:rsidP="00AC3823">
      <w:pPr>
        <w:pStyle w:val="Footer"/>
        <w:tabs>
          <w:tab w:val="right" w:pos="2155"/>
        </w:tabs>
        <w:spacing w:after="80" w:line="240" w:lineRule="atLeast"/>
        <w:ind w:left="680"/>
        <w:rPr>
          <w:u w:val="single"/>
        </w:rPr>
      </w:pPr>
      <w:r>
        <w:rPr>
          <w:u w:val="single"/>
        </w:rPr>
        <w:tab/>
      </w:r>
    </w:p>
  </w:footnote>
  <w:footnote w:type="continuationSeparator" w:id="0">
    <w:p w14:paraId="35854427" w14:textId="77777777" w:rsidR="006666C5" w:rsidRPr="00AC3823" w:rsidRDefault="006666C5" w:rsidP="00AC3823">
      <w:pPr>
        <w:pStyle w:val="Footer"/>
        <w:tabs>
          <w:tab w:val="right" w:pos="2155"/>
        </w:tabs>
        <w:spacing w:after="80" w:line="240" w:lineRule="atLeast"/>
        <w:ind w:left="680"/>
        <w:rPr>
          <w:u w:val="single"/>
        </w:rPr>
      </w:pPr>
      <w:r>
        <w:rPr>
          <w:u w:val="single"/>
        </w:rPr>
        <w:tab/>
      </w:r>
    </w:p>
  </w:footnote>
  <w:footnote w:type="continuationNotice" w:id="1">
    <w:p w14:paraId="5CE08379" w14:textId="77777777" w:rsidR="006666C5" w:rsidRPr="00AC3823" w:rsidRDefault="006666C5">
      <w:pPr>
        <w:spacing w:line="240" w:lineRule="auto"/>
        <w:rPr>
          <w:sz w:val="2"/>
          <w:szCs w:val="2"/>
        </w:rPr>
      </w:pPr>
    </w:p>
  </w:footnote>
  <w:footnote w:id="2">
    <w:p w14:paraId="1342287E" w14:textId="2EB89D17" w:rsidR="00B202E4" w:rsidRPr="005F4D10" w:rsidRDefault="00B202E4" w:rsidP="00B202E4">
      <w:pPr>
        <w:pStyle w:val="FootnoteText"/>
        <w:rPr>
          <w:lang w:val="fr-FR"/>
        </w:rPr>
      </w:pPr>
      <w:r>
        <w:rPr>
          <w:lang w:val="fr-FR"/>
        </w:rPr>
        <w:tab/>
      </w:r>
      <w:r w:rsidRPr="00557C04">
        <w:rPr>
          <w:sz w:val="20"/>
          <w:lang w:val="fr-FR"/>
        </w:rPr>
        <w:t>*</w:t>
      </w:r>
      <w:r>
        <w:rPr>
          <w:lang w:val="fr-FR"/>
        </w:rPr>
        <w:tab/>
      </w:r>
      <w:hyperlink r:id="rId1" w:history="1">
        <w:r w:rsidRPr="003E48F0">
          <w:rPr>
            <w:rStyle w:val="Hyperlink"/>
            <w:lang w:val="fr-FR"/>
          </w:rPr>
          <w:t>A/78/6 (Sect. 20)</w:t>
        </w:r>
      </w:hyperlink>
      <w:r>
        <w:rPr>
          <w:lang w:val="fr-FR"/>
        </w:rPr>
        <w:t>, tableau 20.5.</w:t>
      </w:r>
    </w:p>
  </w:footnote>
  <w:footnote w:id="3">
    <w:p w14:paraId="6C182EDB" w14:textId="79323684" w:rsidR="00B202E4" w:rsidRPr="005F4D10" w:rsidRDefault="00B202E4" w:rsidP="00B202E4">
      <w:pPr>
        <w:pStyle w:val="FootnoteText"/>
        <w:rPr>
          <w:lang w:val="fr-FR"/>
        </w:rPr>
      </w:pPr>
      <w:r>
        <w:rPr>
          <w:lang w:val="fr-FR"/>
        </w:rPr>
        <w:tab/>
      </w:r>
      <w:r w:rsidRPr="00557C04">
        <w:rPr>
          <w:sz w:val="20"/>
          <w:lang w:val="fr-FR"/>
        </w:rPr>
        <w:t>**</w:t>
      </w:r>
      <w:r>
        <w:rPr>
          <w:lang w:val="fr-FR"/>
        </w:rPr>
        <w:tab/>
        <w:t xml:space="preserve">La version originale du présent document a été soumise tardivement aux services de conférence sans l’explication requise au paragraphe 8 de la résolution </w:t>
      </w:r>
      <w:r w:rsidRPr="003E48F0">
        <w:rPr>
          <w:lang w:val="fr-FR"/>
        </w:rPr>
        <w:t>53/208 B</w:t>
      </w:r>
      <w:r>
        <w:rPr>
          <w:lang w:val="fr-FR"/>
        </w:rPr>
        <w:t xml:space="preserve"> de l’Assemblée générale.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7E0C5" w14:textId="6A7F62B2" w:rsidR="00B202E4" w:rsidRPr="00B202E4" w:rsidRDefault="00B202E4">
    <w:pPr>
      <w:pStyle w:val="Header"/>
    </w:pPr>
    <w:fldSimple w:instr=" TITLE  \* MERGEFORMAT ">
      <w:r w:rsidR="000A1CBD">
        <w:t>ST/SG/AC.10/C.3/2024/55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40E3B" w14:textId="21B478E3" w:rsidR="00B202E4" w:rsidRPr="00B202E4" w:rsidRDefault="00B202E4" w:rsidP="00B202E4">
    <w:pPr>
      <w:pStyle w:val="Header"/>
      <w:jc w:val="right"/>
    </w:pPr>
    <w:fldSimple w:instr=" TITLE  \* MERGEFORMAT ">
      <w:r w:rsidR="000A1CBD">
        <w:t>ST/SG/AC.10/C.3/2024/55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688752105">
    <w:abstractNumId w:val="12"/>
  </w:num>
  <w:num w:numId="2" w16cid:durableId="1953046402">
    <w:abstractNumId w:val="11"/>
  </w:num>
  <w:num w:numId="3" w16cid:durableId="502161395">
    <w:abstractNumId w:val="10"/>
  </w:num>
  <w:num w:numId="4" w16cid:durableId="1286154954">
    <w:abstractNumId w:val="8"/>
  </w:num>
  <w:num w:numId="5" w16cid:durableId="171578631">
    <w:abstractNumId w:val="3"/>
  </w:num>
  <w:num w:numId="6" w16cid:durableId="920722923">
    <w:abstractNumId w:val="2"/>
  </w:num>
  <w:num w:numId="7" w16cid:durableId="248004654">
    <w:abstractNumId w:val="1"/>
  </w:num>
  <w:num w:numId="8" w16cid:durableId="792334318">
    <w:abstractNumId w:val="0"/>
  </w:num>
  <w:num w:numId="9" w16cid:durableId="1069425994">
    <w:abstractNumId w:val="9"/>
  </w:num>
  <w:num w:numId="10" w16cid:durableId="763526578">
    <w:abstractNumId w:val="7"/>
  </w:num>
  <w:num w:numId="11" w16cid:durableId="1586182921">
    <w:abstractNumId w:val="6"/>
  </w:num>
  <w:num w:numId="12" w16cid:durableId="781147715">
    <w:abstractNumId w:val="5"/>
  </w:num>
  <w:num w:numId="13" w16cid:durableId="2042394499">
    <w:abstractNumId w:val="4"/>
  </w:num>
  <w:num w:numId="14" w16cid:durableId="2102219182">
    <w:abstractNumId w:val="12"/>
  </w:num>
  <w:num w:numId="15" w16cid:durableId="418258178">
    <w:abstractNumId w:val="11"/>
  </w:num>
  <w:num w:numId="16" w16cid:durableId="15545359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8"/>
  <w:proofState w:spelling="clean" w:grammar="clean"/>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6C5"/>
    <w:rsid w:val="00017F94"/>
    <w:rsid w:val="00023842"/>
    <w:rsid w:val="000305D3"/>
    <w:rsid w:val="000334F9"/>
    <w:rsid w:val="0007796D"/>
    <w:rsid w:val="000A1CBD"/>
    <w:rsid w:val="000B7790"/>
    <w:rsid w:val="00111F2F"/>
    <w:rsid w:val="00132EA9"/>
    <w:rsid w:val="0014365E"/>
    <w:rsid w:val="00172E49"/>
    <w:rsid w:val="00176178"/>
    <w:rsid w:val="001F525A"/>
    <w:rsid w:val="00223272"/>
    <w:rsid w:val="0024779E"/>
    <w:rsid w:val="00283190"/>
    <w:rsid w:val="002832AC"/>
    <w:rsid w:val="002D7C93"/>
    <w:rsid w:val="00344C71"/>
    <w:rsid w:val="003E48F0"/>
    <w:rsid w:val="00441C3B"/>
    <w:rsid w:val="00446FE5"/>
    <w:rsid w:val="00452396"/>
    <w:rsid w:val="004E468C"/>
    <w:rsid w:val="005505B7"/>
    <w:rsid w:val="00557C04"/>
    <w:rsid w:val="00573BE5"/>
    <w:rsid w:val="00584DC4"/>
    <w:rsid w:val="00586ED3"/>
    <w:rsid w:val="00596AA9"/>
    <w:rsid w:val="006666C5"/>
    <w:rsid w:val="0068456F"/>
    <w:rsid w:val="006D5891"/>
    <w:rsid w:val="0071601D"/>
    <w:rsid w:val="00755CC9"/>
    <w:rsid w:val="007A62E6"/>
    <w:rsid w:val="0080684C"/>
    <w:rsid w:val="008123E0"/>
    <w:rsid w:val="00871C75"/>
    <w:rsid w:val="008776DC"/>
    <w:rsid w:val="008B40CD"/>
    <w:rsid w:val="008E2C41"/>
    <w:rsid w:val="009705C8"/>
    <w:rsid w:val="009C1CF4"/>
    <w:rsid w:val="00A30353"/>
    <w:rsid w:val="00A81281"/>
    <w:rsid w:val="00AC3823"/>
    <w:rsid w:val="00AD3AE4"/>
    <w:rsid w:val="00AE323C"/>
    <w:rsid w:val="00B00181"/>
    <w:rsid w:val="00B00B0D"/>
    <w:rsid w:val="00B202E4"/>
    <w:rsid w:val="00B765F7"/>
    <w:rsid w:val="00BA0CA9"/>
    <w:rsid w:val="00C02897"/>
    <w:rsid w:val="00D3439C"/>
    <w:rsid w:val="00DB1831"/>
    <w:rsid w:val="00DC6587"/>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BB2BB"/>
  <w15:docId w15:val="{E5FC2CED-47E6-49AB-85E2-5224AD8B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qFormat/>
    <w:rsid w:val="00B202E4"/>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B202E4"/>
    <w:rPr>
      <w:rFonts w:ascii="Times New Roman" w:eastAsiaTheme="minorHAnsi" w:hAnsi="Times New Roman" w:cs="Times New Roman"/>
      <w:sz w:val="20"/>
      <w:szCs w:val="20"/>
      <w:lang w:eastAsia="en-US"/>
    </w:rPr>
  </w:style>
  <w:style w:type="character" w:customStyle="1" w:styleId="H1GChar">
    <w:name w:val="_ H_1_G Char"/>
    <w:link w:val="H1G"/>
    <w:qFormat/>
    <w:locked/>
    <w:rsid w:val="00B202E4"/>
    <w:rPr>
      <w:rFonts w:ascii="Times New Roman" w:eastAsiaTheme="minorHAnsi" w:hAnsi="Times New Roman" w:cs="Times New Roman"/>
      <w:b/>
      <w:sz w:val="24"/>
      <w:szCs w:val="20"/>
      <w:lang w:eastAsia="en-US"/>
    </w:rPr>
  </w:style>
  <w:style w:type="character" w:styleId="UnresolvedMention">
    <w:name w:val="Unresolved Mention"/>
    <w:basedOn w:val="DefaultParagraphFont"/>
    <w:uiPriority w:val="99"/>
    <w:semiHidden/>
    <w:unhideWhenUsed/>
    <w:rsid w:val="003E4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fr/A/78/6(Sect.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037A70-60AC-4900-9948-82EB155C6C64}"/>
</file>

<file path=customXml/itemProps2.xml><?xml version="1.0" encoding="utf-8"?>
<ds:datastoreItem xmlns:ds="http://schemas.openxmlformats.org/officeDocument/2006/customXml" ds:itemID="{C5D378FC-3D18-4208-9982-E785E32399A6}"/>
</file>

<file path=docProps/app.xml><?xml version="1.0" encoding="utf-8"?>
<Properties xmlns="http://schemas.openxmlformats.org/officeDocument/2006/extended-properties" xmlns:vt="http://schemas.openxmlformats.org/officeDocument/2006/docPropsVTypes">
  <Template>ST.dotm</Template>
  <TotalTime>0</TotalTime>
  <Pages>2</Pages>
  <Words>560</Words>
  <Characters>3200</Characters>
  <Application>Microsoft Office Word</Application>
  <DocSecurity>0</DocSecurity>
  <Lines>65</Lines>
  <Paragraphs>28</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ST/SG/AC.10/C.3/2024/55</dc:title>
  <dc:subject/>
  <dc:creator>Luisa PENA-MONTERO</dc:creator>
  <cp:keywords/>
  <cp:lastModifiedBy>Luisa PENA-MONTERO</cp:lastModifiedBy>
  <cp:revision>3</cp:revision>
  <cp:lastPrinted>2024-05-16T13:58:00Z</cp:lastPrinted>
  <dcterms:created xsi:type="dcterms:W3CDTF">2024-05-16T13:58:00Z</dcterms:created>
  <dcterms:modified xsi:type="dcterms:W3CDTF">2024-05-16T13:58:00Z</dcterms:modified>
</cp:coreProperties>
</file>