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43BF" w14:paraId="208DD039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93842DC" w14:textId="77777777" w:rsidR="00132EA9" w:rsidRPr="00DB58B5" w:rsidRDefault="00132EA9" w:rsidP="00DB43B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E69DAAC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DF6CFC7" w14:textId="718A98C1" w:rsidR="00DB43BF" w:rsidRPr="00DB43BF" w:rsidRDefault="00DB43BF" w:rsidP="00DB43BF">
            <w:pPr>
              <w:jc w:val="right"/>
              <w:rPr>
                <w:lang w:val="en-US"/>
              </w:rPr>
            </w:pPr>
            <w:r w:rsidRPr="00DB43BF">
              <w:rPr>
                <w:sz w:val="40"/>
                <w:lang w:val="en-US"/>
              </w:rPr>
              <w:t>ST</w:t>
            </w:r>
            <w:r w:rsidRPr="00DB43BF">
              <w:rPr>
                <w:lang w:val="en-US"/>
              </w:rPr>
              <w:t>/SG/AC</w:t>
            </w:r>
            <w:r w:rsidR="00510D67" w:rsidRPr="00510D67">
              <w:rPr>
                <w:lang w:val="en-US"/>
              </w:rPr>
              <w:t>.</w:t>
            </w:r>
            <w:r w:rsidRPr="00DB43BF">
              <w:rPr>
                <w:lang w:val="en-US"/>
              </w:rPr>
              <w:t>10/C</w:t>
            </w:r>
            <w:r w:rsidR="00510D67" w:rsidRPr="00510D67">
              <w:rPr>
                <w:lang w:val="en-US"/>
              </w:rPr>
              <w:t>.</w:t>
            </w:r>
            <w:r w:rsidRPr="00DB43BF">
              <w:rPr>
                <w:lang w:val="en-US"/>
              </w:rPr>
              <w:t>3/2024/52−</w:t>
            </w:r>
            <w:r w:rsidRPr="00DB43BF">
              <w:rPr>
                <w:sz w:val="40"/>
                <w:lang w:val="en-US"/>
              </w:rPr>
              <w:t>ST</w:t>
            </w:r>
            <w:r w:rsidRPr="00DB43BF">
              <w:rPr>
                <w:lang w:val="en-US"/>
              </w:rPr>
              <w:t>/SG/AC</w:t>
            </w:r>
            <w:r w:rsidR="00510D67" w:rsidRPr="00510D67">
              <w:rPr>
                <w:lang w:val="en-US"/>
              </w:rPr>
              <w:t>.</w:t>
            </w:r>
            <w:r w:rsidRPr="00DB43BF">
              <w:rPr>
                <w:lang w:val="en-US"/>
              </w:rPr>
              <w:t>10/C</w:t>
            </w:r>
            <w:r w:rsidR="00510D67" w:rsidRPr="00510D67">
              <w:rPr>
                <w:lang w:val="en-US"/>
              </w:rPr>
              <w:t>.</w:t>
            </w:r>
            <w:r w:rsidRPr="00DB43BF">
              <w:rPr>
                <w:lang w:val="en-US"/>
              </w:rPr>
              <w:t>4/2024/8</w:t>
            </w:r>
          </w:p>
        </w:tc>
      </w:tr>
      <w:tr w:rsidR="00132EA9" w:rsidRPr="00DB58B5" w14:paraId="472C7CC4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B79E6C2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D1AB43B" wp14:editId="04813C3D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E968855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4D50547" w14:textId="0EE151BB" w:rsidR="00132EA9" w:rsidRDefault="00DB43BF" w:rsidP="00F01738">
            <w:pPr>
              <w:spacing w:before="240"/>
            </w:pPr>
            <w:proofErr w:type="spellStart"/>
            <w:r>
              <w:t>Distr</w:t>
            </w:r>
            <w:proofErr w:type="spellEnd"/>
            <w:r w:rsidR="00510D67" w:rsidRPr="00510D67">
              <w:t>.</w:t>
            </w:r>
            <w:r>
              <w:t xml:space="preserve"> générale</w:t>
            </w:r>
          </w:p>
          <w:p w14:paraId="058C0010" w14:textId="77777777" w:rsidR="00DB43BF" w:rsidRDefault="00DB43BF" w:rsidP="00DB43BF">
            <w:pPr>
              <w:spacing w:line="240" w:lineRule="exact"/>
            </w:pPr>
            <w:r>
              <w:t>8 avril 2024</w:t>
            </w:r>
          </w:p>
          <w:p w14:paraId="0814D0F0" w14:textId="77777777" w:rsidR="00DB43BF" w:rsidRDefault="00DB43BF" w:rsidP="00DB43BF">
            <w:pPr>
              <w:spacing w:line="240" w:lineRule="exact"/>
            </w:pPr>
            <w:r>
              <w:t>Français</w:t>
            </w:r>
          </w:p>
          <w:p w14:paraId="3FF8CF10" w14:textId="1925B262" w:rsidR="00DB43BF" w:rsidRPr="00DB58B5" w:rsidRDefault="00DB43BF" w:rsidP="00DB43BF">
            <w:pPr>
              <w:spacing w:line="240" w:lineRule="exact"/>
            </w:pPr>
            <w:r>
              <w:t>Original : anglais</w:t>
            </w:r>
          </w:p>
        </w:tc>
      </w:tr>
    </w:tbl>
    <w:p w14:paraId="47F19534" w14:textId="78948BC1" w:rsidR="00DB43BF" w:rsidRPr="00DB43BF" w:rsidRDefault="00DB43BF" w:rsidP="00DB43BF">
      <w:pPr>
        <w:spacing w:before="120"/>
        <w:rPr>
          <w:b/>
          <w:sz w:val="32"/>
          <w:szCs w:val="32"/>
        </w:rPr>
      </w:pPr>
      <w:r w:rsidRPr="00DB43BF">
        <w:rPr>
          <w:b/>
          <w:bCs/>
          <w:sz w:val="24"/>
          <w:szCs w:val="24"/>
          <w:lang w:val="fr-FR"/>
        </w:rPr>
        <w:t xml:space="preserve">Comité d’experts du transport des marchandises </w:t>
      </w:r>
      <w:r>
        <w:rPr>
          <w:b/>
          <w:bCs/>
          <w:sz w:val="24"/>
          <w:szCs w:val="24"/>
          <w:lang w:val="fr-FR"/>
        </w:rPr>
        <w:br/>
      </w:r>
      <w:r w:rsidRPr="00DB43BF">
        <w:rPr>
          <w:b/>
          <w:bCs/>
          <w:sz w:val="24"/>
          <w:szCs w:val="24"/>
          <w:lang w:val="fr-FR"/>
        </w:rPr>
        <w:t xml:space="preserve">dangereuses et du Système général harmonisé </w:t>
      </w:r>
      <w:r>
        <w:rPr>
          <w:b/>
          <w:bCs/>
          <w:sz w:val="24"/>
          <w:szCs w:val="24"/>
          <w:lang w:val="fr-FR"/>
        </w:rPr>
        <w:br/>
      </w:r>
      <w:r w:rsidRPr="00DB43BF">
        <w:rPr>
          <w:b/>
          <w:bCs/>
          <w:sz w:val="24"/>
          <w:szCs w:val="24"/>
          <w:lang w:val="fr-FR"/>
        </w:rPr>
        <w:t>de classification et d’étiquetage des produits chimiques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3"/>
        <w:gridCol w:w="5046"/>
      </w:tblGrid>
      <w:tr w:rsidR="00DB43BF" w:rsidRPr="00A3081C" w14:paraId="07679A84" w14:textId="77777777" w:rsidTr="00DB43BF">
        <w:tc>
          <w:tcPr>
            <w:tcW w:w="4593" w:type="dxa"/>
            <w:shd w:val="clear" w:color="auto" w:fill="auto"/>
          </w:tcPr>
          <w:p w14:paraId="19F5CC07" w14:textId="75C254C2" w:rsidR="00DB43BF" w:rsidRPr="003D23E7" w:rsidRDefault="00DB43BF" w:rsidP="00277498">
            <w:pPr>
              <w:spacing w:before="120"/>
              <w:rPr>
                <w:b/>
              </w:rPr>
            </w:pPr>
            <w:r>
              <w:rPr>
                <w:b/>
                <w:bCs/>
                <w:lang w:val="fr-FR"/>
              </w:rPr>
              <w:t xml:space="preserve">Sous-Comité d’experts du transport </w:t>
            </w:r>
            <w:r>
              <w:rPr>
                <w:b/>
                <w:bCs/>
                <w:lang w:val="fr-FR"/>
              </w:rPr>
              <w:br/>
            </w:r>
            <w:r>
              <w:rPr>
                <w:b/>
                <w:bCs/>
                <w:lang w:val="fr-FR"/>
              </w:rPr>
              <w:t>des marchandises dangereuses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5046" w:type="dxa"/>
            <w:shd w:val="clear" w:color="auto" w:fill="auto"/>
          </w:tcPr>
          <w:p w14:paraId="05A0DDBF" w14:textId="3B3A9B2D" w:rsidR="00DB43BF" w:rsidRPr="003D23E7" w:rsidRDefault="00DB43BF" w:rsidP="00277498">
            <w:pPr>
              <w:spacing w:before="120"/>
              <w:rPr>
                <w:b/>
              </w:rPr>
            </w:pPr>
            <w:r>
              <w:rPr>
                <w:b/>
                <w:bCs/>
                <w:lang w:val="fr-FR"/>
              </w:rPr>
              <w:t xml:space="preserve">Sous-Comité d’experts du Système général harmonisé </w:t>
            </w:r>
            <w:r>
              <w:rPr>
                <w:b/>
                <w:bCs/>
                <w:lang w:val="fr-FR"/>
              </w:rPr>
              <w:br/>
            </w:r>
            <w:r>
              <w:rPr>
                <w:b/>
                <w:bCs/>
                <w:lang w:val="fr-FR"/>
              </w:rPr>
              <w:t>de classification et d’étiquetage des produits chimiques</w:t>
            </w:r>
            <w:r>
              <w:rPr>
                <w:lang w:val="fr-FR"/>
              </w:rPr>
              <w:t xml:space="preserve"> </w:t>
            </w:r>
          </w:p>
        </w:tc>
      </w:tr>
      <w:tr w:rsidR="00DB43BF" w:rsidRPr="00302456" w14:paraId="04C14B45" w14:textId="77777777" w:rsidTr="00DB43BF">
        <w:tc>
          <w:tcPr>
            <w:tcW w:w="4593" w:type="dxa"/>
            <w:shd w:val="clear" w:color="auto" w:fill="auto"/>
          </w:tcPr>
          <w:p w14:paraId="2C9F8149" w14:textId="77777777" w:rsidR="00DB43BF" w:rsidRPr="00302456" w:rsidRDefault="00DB43BF" w:rsidP="00277498">
            <w:pPr>
              <w:spacing w:before="120"/>
              <w:rPr>
                <w:b/>
              </w:rPr>
            </w:pPr>
            <w:r>
              <w:rPr>
                <w:b/>
                <w:bCs/>
                <w:lang w:val="fr-FR"/>
              </w:rPr>
              <w:t>Soixante-quatrième session</w:t>
            </w:r>
          </w:p>
        </w:tc>
        <w:tc>
          <w:tcPr>
            <w:tcW w:w="5046" w:type="dxa"/>
            <w:shd w:val="clear" w:color="auto" w:fill="auto"/>
          </w:tcPr>
          <w:p w14:paraId="7E2FA45C" w14:textId="77777777" w:rsidR="00DB43BF" w:rsidRPr="00302456" w:rsidRDefault="00DB43BF" w:rsidP="00277498">
            <w:pPr>
              <w:spacing w:before="120"/>
              <w:rPr>
                <w:b/>
              </w:rPr>
            </w:pPr>
            <w:r>
              <w:rPr>
                <w:b/>
                <w:bCs/>
                <w:lang w:val="fr-FR"/>
              </w:rPr>
              <w:t>Quarante-sixième session</w:t>
            </w:r>
          </w:p>
        </w:tc>
      </w:tr>
      <w:tr w:rsidR="00DB43BF" w:rsidRPr="00302456" w14:paraId="5E7D21D4" w14:textId="77777777" w:rsidTr="00DB43BF">
        <w:tc>
          <w:tcPr>
            <w:tcW w:w="4593" w:type="dxa"/>
            <w:shd w:val="clear" w:color="auto" w:fill="auto"/>
          </w:tcPr>
          <w:p w14:paraId="067154A3" w14:textId="77777777" w:rsidR="00DB43BF" w:rsidRPr="00302456" w:rsidRDefault="00DB43BF" w:rsidP="00277498">
            <w:pPr>
              <w:rPr>
                <w:b/>
              </w:rPr>
            </w:pPr>
            <w:r>
              <w:rPr>
                <w:lang w:val="fr-FR"/>
              </w:rPr>
              <w:t xml:space="preserve">Genève, 24 juin-3 juillet 2024 </w:t>
            </w:r>
          </w:p>
        </w:tc>
        <w:tc>
          <w:tcPr>
            <w:tcW w:w="5046" w:type="dxa"/>
            <w:shd w:val="clear" w:color="auto" w:fill="auto"/>
          </w:tcPr>
          <w:p w14:paraId="44C89807" w14:textId="77777777" w:rsidR="00DB43BF" w:rsidRPr="00302456" w:rsidRDefault="00DB43BF" w:rsidP="00277498">
            <w:pPr>
              <w:rPr>
                <w:b/>
              </w:rPr>
            </w:pPr>
            <w:r>
              <w:rPr>
                <w:lang w:val="fr-FR"/>
              </w:rPr>
              <w:t>Genève, 3-5 juillet 2024</w:t>
            </w:r>
          </w:p>
        </w:tc>
      </w:tr>
      <w:tr w:rsidR="00DB43BF" w:rsidRPr="00A3081C" w14:paraId="75747044" w14:textId="77777777" w:rsidTr="00DB43BF">
        <w:tc>
          <w:tcPr>
            <w:tcW w:w="4593" w:type="dxa"/>
            <w:shd w:val="clear" w:color="auto" w:fill="auto"/>
          </w:tcPr>
          <w:p w14:paraId="0187A154" w14:textId="77777777" w:rsidR="00DB43BF" w:rsidRPr="003D23E7" w:rsidRDefault="00DB43BF" w:rsidP="00277498">
            <w:r>
              <w:rPr>
                <w:lang w:val="fr-FR"/>
              </w:rPr>
              <w:t>Point 2 h) de l’ordre du jour provisoire</w:t>
            </w:r>
          </w:p>
          <w:p w14:paraId="4B44C8CA" w14:textId="77777777" w:rsidR="00DB43BF" w:rsidRPr="003D23E7" w:rsidRDefault="00DB43BF" w:rsidP="00277498">
            <w:pPr>
              <w:rPr>
                <w:b/>
                <w:bCs/>
              </w:rPr>
            </w:pPr>
            <w:r>
              <w:rPr>
                <w:b/>
                <w:bCs/>
                <w:lang w:val="fr-FR"/>
              </w:rPr>
              <w:t>Explosifs et questions connexes :</w:t>
            </w:r>
          </w:p>
          <w:p w14:paraId="28D7CCD8" w14:textId="77777777" w:rsidR="00DB43BF" w:rsidRPr="003D23E7" w:rsidRDefault="00DB43BF" w:rsidP="00277498">
            <w:r>
              <w:rPr>
                <w:b/>
                <w:bCs/>
                <w:lang w:val="fr-FR"/>
              </w:rPr>
              <w:t>Questions diverses</w:t>
            </w:r>
          </w:p>
        </w:tc>
        <w:tc>
          <w:tcPr>
            <w:tcW w:w="5046" w:type="dxa"/>
            <w:shd w:val="clear" w:color="auto" w:fill="auto"/>
          </w:tcPr>
          <w:p w14:paraId="79DA4924" w14:textId="77777777" w:rsidR="00DB43BF" w:rsidRPr="003D23E7" w:rsidRDefault="00DB43BF" w:rsidP="00277498">
            <w:r>
              <w:rPr>
                <w:lang w:val="fr-FR"/>
              </w:rPr>
              <w:t>Point 2 a) de l’ordre du jour provisoire</w:t>
            </w:r>
          </w:p>
          <w:p w14:paraId="4634DFA4" w14:textId="77777777" w:rsidR="00DB43BF" w:rsidRPr="003D23E7" w:rsidRDefault="00DB43BF" w:rsidP="00277498">
            <w:r>
              <w:rPr>
                <w:b/>
                <w:bCs/>
                <w:lang w:val="fr-FR"/>
              </w:rPr>
              <w:t>Travaux relatifs au Système général harmonisé de classification et d’étiquetage des produits chimiques</w:t>
            </w:r>
          </w:p>
        </w:tc>
      </w:tr>
    </w:tbl>
    <w:p w14:paraId="1B3D7451" w14:textId="501DC1D8" w:rsidR="00DB43BF" w:rsidRPr="003D23E7" w:rsidRDefault="00DB43BF" w:rsidP="00DB43BF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 xml:space="preserve">Corrections et modifications à apporter au Règlement type, au Système général harmonisé et au Manuel d’épreuves </w:t>
      </w:r>
      <w:r>
        <w:rPr>
          <w:lang w:val="fr-FR"/>
        </w:rPr>
        <w:br/>
      </w:r>
      <w:r>
        <w:rPr>
          <w:lang w:val="fr-FR"/>
        </w:rPr>
        <w:t>et de critères</w:t>
      </w:r>
    </w:p>
    <w:p w14:paraId="1FA41641" w14:textId="7AF0DD5D" w:rsidR="00DB43BF" w:rsidRPr="003D23E7" w:rsidRDefault="00DB43BF" w:rsidP="00DB43BF">
      <w:pPr>
        <w:pStyle w:val="H1G"/>
      </w:pPr>
      <w:r>
        <w:rPr>
          <w:lang w:val="fr-FR"/>
        </w:rPr>
        <w:tab/>
      </w:r>
      <w:r>
        <w:rPr>
          <w:lang w:val="fr-FR"/>
        </w:rPr>
        <w:tab/>
      </w:r>
      <w:r w:rsidRPr="003D23E7">
        <w:rPr>
          <w:lang w:val="en-US"/>
        </w:rPr>
        <w:t xml:space="preserve">Communication de </w:t>
      </w:r>
      <w:proofErr w:type="spellStart"/>
      <w:r w:rsidRPr="003D23E7">
        <w:rPr>
          <w:lang w:val="en-US"/>
        </w:rPr>
        <w:t>l</w:t>
      </w:r>
      <w:r>
        <w:rPr>
          <w:lang w:val="en-US"/>
        </w:rPr>
        <w:t>’</w:t>
      </w:r>
      <w:r w:rsidRPr="003D23E7">
        <w:rPr>
          <w:lang w:val="en-US"/>
        </w:rPr>
        <w:t>Australasian</w:t>
      </w:r>
      <w:proofErr w:type="spellEnd"/>
      <w:r w:rsidRPr="003D23E7">
        <w:rPr>
          <w:lang w:val="en-US"/>
        </w:rPr>
        <w:t xml:space="preserve"> Explosives Industry Safety Group Inc</w:t>
      </w:r>
      <w:r w:rsidR="00510D67" w:rsidRPr="00510D67">
        <w:rPr>
          <w:lang w:val="en-US"/>
        </w:rPr>
        <w:t>.</w:t>
      </w:r>
      <w:r w:rsidRPr="003D23E7">
        <w:rPr>
          <w:lang w:val="en-US"/>
        </w:rPr>
        <w:t xml:space="preserve"> </w:t>
      </w:r>
      <w:r>
        <w:rPr>
          <w:lang w:val="fr-FR"/>
        </w:rPr>
        <w:t>(AEISG)</w:t>
      </w:r>
      <w:r w:rsidRPr="00DB43BF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</w:p>
    <w:p w14:paraId="74F67262" w14:textId="325A0109" w:rsidR="00DB43BF" w:rsidRPr="003D23E7" w:rsidRDefault="00DB43BF" w:rsidP="00DB43BF">
      <w:pPr>
        <w:pStyle w:val="HChG"/>
      </w:pPr>
      <w:r>
        <w:rPr>
          <w:lang w:val="fr-FR"/>
        </w:rPr>
        <w:tab/>
      </w:r>
      <w:r>
        <w:rPr>
          <w:lang w:val="fr-FR"/>
        </w:rPr>
        <w:t>I</w:t>
      </w:r>
      <w:r w:rsidR="00510D67" w:rsidRPr="00510D67">
        <w:rPr>
          <w:lang w:val="fr-FR"/>
        </w:rPr>
        <w:t>.</w:t>
      </w:r>
      <w:r>
        <w:rPr>
          <w:lang w:val="fr-FR"/>
        </w:rPr>
        <w:tab/>
        <w:t>Contexte</w:t>
      </w:r>
    </w:p>
    <w:p w14:paraId="2D8F1157" w14:textId="7A537C29" w:rsidR="00DB43BF" w:rsidRPr="003D23E7" w:rsidRDefault="00DB43BF" w:rsidP="00DB43BF">
      <w:pPr>
        <w:pStyle w:val="SingleTxtG"/>
      </w:pPr>
      <w:r>
        <w:rPr>
          <w:lang w:val="fr-FR"/>
        </w:rPr>
        <w:t>1</w:t>
      </w:r>
      <w:r w:rsidR="00510D67" w:rsidRPr="00510D67">
        <w:rPr>
          <w:lang w:val="fr-FR"/>
        </w:rPr>
        <w:t>.</w:t>
      </w:r>
      <w:r>
        <w:rPr>
          <w:lang w:val="fr-FR"/>
        </w:rPr>
        <w:tab/>
        <w:t>Dans le cadre de leur utilisation approfondie du Règlement type pour le transport des marchandises dangereuses (Rev</w:t>
      </w:r>
      <w:r w:rsidR="00510D67" w:rsidRPr="00510D67">
        <w:rPr>
          <w:lang w:val="fr-FR"/>
        </w:rPr>
        <w:t>.</w:t>
      </w:r>
      <w:r>
        <w:rPr>
          <w:lang w:val="fr-FR"/>
        </w:rPr>
        <w:t>23), du Système général harmonisé de classification et d’étiquetage des produits chimiques (SGH, Rev</w:t>
      </w:r>
      <w:r w:rsidR="00510D67" w:rsidRPr="00510D67">
        <w:rPr>
          <w:lang w:val="fr-FR"/>
        </w:rPr>
        <w:t>.</w:t>
      </w:r>
      <w:r>
        <w:rPr>
          <w:lang w:val="fr-FR"/>
        </w:rPr>
        <w:t>10) et du Manuel d’épreuves et de critères (Rev</w:t>
      </w:r>
      <w:r w:rsidR="00510D67" w:rsidRPr="00510D67">
        <w:rPr>
          <w:lang w:val="fr-FR"/>
        </w:rPr>
        <w:t>.</w:t>
      </w:r>
      <w:r>
        <w:rPr>
          <w:lang w:val="fr-FR"/>
        </w:rPr>
        <w:t>8), l’</w:t>
      </w:r>
      <w:proofErr w:type="spellStart"/>
      <w:r>
        <w:rPr>
          <w:lang w:val="fr-FR"/>
        </w:rPr>
        <w:t>Australasian</w:t>
      </w:r>
      <w:proofErr w:type="spellEnd"/>
      <w:r>
        <w:rPr>
          <w:lang w:val="fr-FR"/>
        </w:rPr>
        <w:t xml:space="preserve"> Explosives </w:t>
      </w:r>
      <w:proofErr w:type="spellStart"/>
      <w:r>
        <w:rPr>
          <w:lang w:val="fr-FR"/>
        </w:rPr>
        <w:t>Industry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Safety</w:t>
      </w:r>
      <w:proofErr w:type="spellEnd"/>
      <w:r>
        <w:rPr>
          <w:lang w:val="fr-FR"/>
        </w:rPr>
        <w:t xml:space="preserve"> Group Inc</w:t>
      </w:r>
      <w:r w:rsidR="00510D67" w:rsidRPr="00510D67">
        <w:rPr>
          <w:lang w:val="fr-FR"/>
        </w:rPr>
        <w:t>.</w:t>
      </w:r>
      <w:r>
        <w:rPr>
          <w:lang w:val="fr-FR"/>
        </w:rPr>
        <w:t xml:space="preserve"> (AEISG) et ses membres ont repéré quelques erreurs relativement mineures qui pourraient être corrigées</w:t>
      </w:r>
      <w:r w:rsidR="00510D67" w:rsidRPr="00510D67">
        <w:rPr>
          <w:lang w:val="fr-FR"/>
        </w:rPr>
        <w:t>.</w:t>
      </w:r>
    </w:p>
    <w:p w14:paraId="6498F445" w14:textId="2D481CB8" w:rsidR="00DB43BF" w:rsidRPr="003D23E7" w:rsidRDefault="00DB43BF" w:rsidP="00DB43BF">
      <w:pPr>
        <w:pStyle w:val="SingleTxtG"/>
      </w:pPr>
      <w:r>
        <w:rPr>
          <w:lang w:val="fr-FR"/>
        </w:rPr>
        <w:t>2</w:t>
      </w:r>
      <w:r w:rsidR="00510D67" w:rsidRPr="00510D67">
        <w:rPr>
          <w:lang w:val="fr-FR"/>
        </w:rPr>
        <w:t>.</w:t>
      </w:r>
      <w:r>
        <w:rPr>
          <w:lang w:val="fr-FR"/>
        </w:rPr>
        <w:tab/>
        <w:t>L’AEISG estime qu’il s’agit essentiellement de coquilles et d’erreurs dues à l’actualisation des prescriptions ou à des malentendus</w:t>
      </w:r>
      <w:r w:rsidR="00510D67" w:rsidRPr="00510D67">
        <w:rPr>
          <w:lang w:val="fr-FR"/>
        </w:rPr>
        <w:t>.</w:t>
      </w:r>
      <w:r>
        <w:rPr>
          <w:lang w:val="fr-FR"/>
        </w:rPr>
        <w:t xml:space="preserve"> Il soumet donc ces erreurs à l’examen du Sous-Comité d’experts du transport des marchandises dangereuses et du Sous-Comité d’experts du Système général harmonisé de classification et d’étiquetage des produits chimiques afin qu’ils confirment ou non la nécessité de modifier ou de corriger le texte selon qu’il conviendra</w:t>
      </w:r>
      <w:r w:rsidR="00510D67" w:rsidRPr="00510D67">
        <w:rPr>
          <w:lang w:val="fr-FR"/>
        </w:rPr>
        <w:t>.</w:t>
      </w:r>
    </w:p>
    <w:p w14:paraId="5ADFE7B6" w14:textId="2317B210" w:rsidR="00DB43BF" w:rsidRPr="003D23E7" w:rsidRDefault="00DB43BF" w:rsidP="00DB43BF">
      <w:pPr>
        <w:pStyle w:val="HChG"/>
      </w:pPr>
      <w:r>
        <w:rPr>
          <w:lang w:val="fr-FR"/>
        </w:rPr>
        <w:tab/>
      </w:r>
      <w:r>
        <w:rPr>
          <w:lang w:val="fr-FR"/>
        </w:rPr>
        <w:t>II</w:t>
      </w:r>
      <w:r w:rsidR="00510D67" w:rsidRPr="00510D67">
        <w:rPr>
          <w:lang w:val="fr-FR"/>
        </w:rPr>
        <w:t>.</w:t>
      </w:r>
      <w:r>
        <w:rPr>
          <w:lang w:val="fr-FR"/>
        </w:rPr>
        <w:tab/>
        <w:t>Erreurs et propositions de corrections</w:t>
      </w:r>
      <w:bookmarkStart w:id="0" w:name="_Hlk129524710"/>
      <w:bookmarkEnd w:id="0"/>
    </w:p>
    <w:p w14:paraId="5AC9197E" w14:textId="0C56859F" w:rsidR="00DB43BF" w:rsidRPr="003D23E7" w:rsidRDefault="00DB43BF" w:rsidP="00DB43BF">
      <w:pPr>
        <w:pStyle w:val="H1G"/>
      </w:pPr>
      <w:r>
        <w:rPr>
          <w:lang w:val="fr-FR"/>
        </w:rPr>
        <w:tab/>
      </w:r>
      <w:r>
        <w:rPr>
          <w:lang w:val="fr-FR"/>
        </w:rPr>
        <w:tab/>
        <w:t>Règlement type, chapitre 2</w:t>
      </w:r>
      <w:r w:rsidR="00510D67" w:rsidRPr="00510D67">
        <w:rPr>
          <w:lang w:val="fr-FR"/>
        </w:rPr>
        <w:t>.</w:t>
      </w:r>
      <w:r>
        <w:rPr>
          <w:lang w:val="fr-FR"/>
        </w:rPr>
        <w:t>1</w:t>
      </w:r>
    </w:p>
    <w:p w14:paraId="6FE3D195" w14:textId="12972FD8" w:rsidR="00DB43BF" w:rsidRPr="003D23E7" w:rsidRDefault="00DB43BF" w:rsidP="00DB43BF">
      <w:pPr>
        <w:pStyle w:val="SingleTxtG"/>
      </w:pPr>
      <w:r>
        <w:rPr>
          <w:lang w:val="fr-FR"/>
        </w:rPr>
        <w:t>3</w:t>
      </w:r>
      <w:r w:rsidR="00510D67" w:rsidRPr="00510D67">
        <w:rPr>
          <w:lang w:val="fr-FR"/>
        </w:rPr>
        <w:t>.</w:t>
      </w:r>
      <w:r>
        <w:rPr>
          <w:lang w:val="fr-FR"/>
        </w:rPr>
        <w:tab/>
        <w:t>Au 2</w:t>
      </w:r>
      <w:r w:rsidR="00510D67" w:rsidRPr="00510D67">
        <w:rPr>
          <w:lang w:val="fr-FR"/>
        </w:rPr>
        <w:t>.</w:t>
      </w:r>
      <w:r>
        <w:rPr>
          <w:lang w:val="fr-FR"/>
        </w:rPr>
        <w:t>1</w:t>
      </w:r>
      <w:r w:rsidR="00510D67" w:rsidRPr="00510D67">
        <w:rPr>
          <w:lang w:val="fr-FR"/>
        </w:rPr>
        <w:t>.</w:t>
      </w:r>
      <w:r>
        <w:rPr>
          <w:lang w:val="fr-FR"/>
        </w:rPr>
        <w:t>3</w:t>
      </w:r>
      <w:r w:rsidR="00510D67" w:rsidRPr="00510D67">
        <w:rPr>
          <w:lang w:val="fr-FR"/>
        </w:rPr>
        <w:t>.</w:t>
      </w:r>
      <w:r>
        <w:rPr>
          <w:lang w:val="fr-FR"/>
        </w:rPr>
        <w:t>2</w:t>
      </w:r>
      <w:r w:rsidR="00510D67" w:rsidRPr="00510D67">
        <w:rPr>
          <w:lang w:val="fr-FR"/>
        </w:rPr>
        <w:t>.</w:t>
      </w:r>
      <w:r>
        <w:rPr>
          <w:lang w:val="fr-FR"/>
        </w:rPr>
        <w:t>2, la mention « </w:t>
      </w:r>
      <w:r w:rsidR="00510D67" w:rsidRPr="00510D67">
        <w:rPr>
          <w:lang w:val="fr-FR"/>
        </w:rPr>
        <w:t>...</w:t>
      </w:r>
      <w:r>
        <w:rPr>
          <w:lang w:val="fr-FR"/>
        </w:rPr>
        <w:t xml:space="preserve"> regroupées en </w:t>
      </w:r>
      <w:r>
        <w:rPr>
          <w:b/>
          <w:bCs/>
          <w:lang w:val="fr-FR"/>
        </w:rPr>
        <w:t xml:space="preserve">sept </w:t>
      </w:r>
      <w:r>
        <w:rPr>
          <w:lang w:val="fr-FR"/>
        </w:rPr>
        <w:t xml:space="preserve">séries décrites </w:t>
      </w:r>
      <w:r w:rsidR="00510D67" w:rsidRPr="00510D67">
        <w:rPr>
          <w:lang w:val="fr-FR"/>
        </w:rPr>
        <w:t>...</w:t>
      </w:r>
      <w:r>
        <w:rPr>
          <w:lang w:val="fr-FR"/>
        </w:rPr>
        <w:t xml:space="preserve"> » devrait se lire comme suit : « regroupées en </w:t>
      </w:r>
      <w:r>
        <w:rPr>
          <w:b/>
          <w:bCs/>
          <w:lang w:val="fr-FR"/>
        </w:rPr>
        <w:t xml:space="preserve">huit </w:t>
      </w:r>
      <w:r>
        <w:rPr>
          <w:lang w:val="fr-FR"/>
        </w:rPr>
        <w:t xml:space="preserve">séries décrites </w:t>
      </w:r>
      <w:r w:rsidR="00510D67" w:rsidRPr="00510D67">
        <w:rPr>
          <w:lang w:val="fr-FR"/>
        </w:rPr>
        <w:t>...</w:t>
      </w:r>
      <w:r>
        <w:rPr>
          <w:lang w:val="fr-FR"/>
        </w:rPr>
        <w:t> »</w:t>
      </w:r>
      <w:r w:rsidR="00510D67" w:rsidRPr="00510D67">
        <w:rPr>
          <w:lang w:val="fr-FR"/>
        </w:rPr>
        <w:t>.</w:t>
      </w:r>
    </w:p>
    <w:p w14:paraId="11EC4707" w14:textId="77777777" w:rsidR="00DB43BF" w:rsidRPr="003D23E7" w:rsidRDefault="00DB43BF" w:rsidP="00DB43BF">
      <w:pPr>
        <w:pStyle w:val="H4G"/>
      </w:pPr>
      <w:r>
        <w:rPr>
          <w:lang w:val="fr-FR"/>
        </w:rPr>
        <w:lastRenderedPageBreak/>
        <w:tab/>
      </w:r>
      <w:r>
        <w:rPr>
          <w:lang w:val="fr-FR"/>
        </w:rPr>
        <w:tab/>
      </w:r>
      <w:r>
        <w:rPr>
          <w:iCs/>
          <w:lang w:val="fr-FR"/>
        </w:rPr>
        <w:t>Correction</w:t>
      </w:r>
    </w:p>
    <w:p w14:paraId="306DA1CC" w14:textId="18708404" w:rsidR="00DB43BF" w:rsidRPr="003D23E7" w:rsidRDefault="00DB43BF" w:rsidP="00DB43BF">
      <w:pPr>
        <w:pStyle w:val="SingleTxtG"/>
      </w:pPr>
      <w:r>
        <w:rPr>
          <w:lang w:val="fr-FR"/>
        </w:rPr>
        <w:t>4</w:t>
      </w:r>
      <w:r w:rsidR="00510D67" w:rsidRPr="00510D67">
        <w:rPr>
          <w:lang w:val="fr-FR"/>
        </w:rPr>
        <w:t>.</w:t>
      </w:r>
      <w:r>
        <w:rPr>
          <w:lang w:val="fr-FR"/>
        </w:rPr>
        <w:tab/>
        <w:t>Au 2</w:t>
      </w:r>
      <w:r w:rsidR="00510D67" w:rsidRPr="00510D67">
        <w:rPr>
          <w:lang w:val="fr-FR"/>
        </w:rPr>
        <w:t>.</w:t>
      </w:r>
      <w:r>
        <w:rPr>
          <w:lang w:val="fr-FR"/>
        </w:rPr>
        <w:t>1</w:t>
      </w:r>
      <w:r w:rsidR="00510D67" w:rsidRPr="00510D67">
        <w:rPr>
          <w:lang w:val="fr-FR"/>
        </w:rPr>
        <w:t>.</w:t>
      </w:r>
      <w:r>
        <w:rPr>
          <w:lang w:val="fr-FR"/>
        </w:rPr>
        <w:t>3</w:t>
      </w:r>
      <w:r w:rsidR="00510D67" w:rsidRPr="00510D67">
        <w:rPr>
          <w:lang w:val="fr-FR"/>
        </w:rPr>
        <w:t>.</w:t>
      </w:r>
      <w:r>
        <w:rPr>
          <w:lang w:val="fr-FR"/>
        </w:rPr>
        <w:t>2</w:t>
      </w:r>
      <w:r w:rsidR="00510D67" w:rsidRPr="00510D67">
        <w:rPr>
          <w:lang w:val="fr-FR"/>
        </w:rPr>
        <w:t>.</w:t>
      </w:r>
      <w:r>
        <w:rPr>
          <w:lang w:val="fr-FR"/>
        </w:rPr>
        <w:t xml:space="preserve">2, </w:t>
      </w:r>
      <w:r>
        <w:rPr>
          <w:i/>
          <w:iCs/>
          <w:lang w:val="fr-FR"/>
        </w:rPr>
        <w:t xml:space="preserve">remplacer </w:t>
      </w:r>
      <w:r>
        <w:rPr>
          <w:lang w:val="fr-FR"/>
        </w:rPr>
        <w:t>« sept séries » par « huit séries »</w:t>
      </w:r>
      <w:r w:rsidR="00510D67" w:rsidRPr="00510D67">
        <w:rPr>
          <w:lang w:val="fr-FR"/>
        </w:rPr>
        <w:t>.</w:t>
      </w:r>
    </w:p>
    <w:p w14:paraId="78E4E92C" w14:textId="269CF630" w:rsidR="00DB43BF" w:rsidRPr="003D23E7" w:rsidRDefault="00DB43BF" w:rsidP="00DB43BF">
      <w:pPr>
        <w:pStyle w:val="H1G"/>
      </w:pPr>
      <w:bookmarkStart w:id="1" w:name="_Hlk129526399"/>
      <w:r>
        <w:rPr>
          <w:lang w:val="fr-FR"/>
        </w:rPr>
        <w:tab/>
      </w:r>
      <w:r>
        <w:rPr>
          <w:lang w:val="fr-FR"/>
        </w:rPr>
        <w:tab/>
        <w:t>Système général harmonisé, chapitre 2</w:t>
      </w:r>
      <w:r w:rsidR="00510D67" w:rsidRPr="00510D67">
        <w:rPr>
          <w:lang w:val="fr-FR"/>
        </w:rPr>
        <w:t>.</w:t>
      </w:r>
      <w:r>
        <w:rPr>
          <w:lang w:val="fr-FR"/>
        </w:rPr>
        <w:t xml:space="preserve">8, définition </w:t>
      </w:r>
      <w:r>
        <w:rPr>
          <w:lang w:val="fr-FR"/>
        </w:rPr>
        <w:br/>
      </w:r>
      <w:r>
        <w:rPr>
          <w:lang w:val="fr-FR"/>
        </w:rPr>
        <w:t xml:space="preserve">de « matières </w:t>
      </w:r>
      <w:proofErr w:type="spellStart"/>
      <w:r>
        <w:rPr>
          <w:lang w:val="fr-FR"/>
        </w:rPr>
        <w:t>autoréactives</w:t>
      </w:r>
      <w:bookmarkEnd w:id="1"/>
      <w:proofErr w:type="spellEnd"/>
      <w:r>
        <w:rPr>
          <w:lang w:val="fr-FR"/>
        </w:rPr>
        <w:t> »</w:t>
      </w:r>
    </w:p>
    <w:p w14:paraId="00D22391" w14:textId="304994CB" w:rsidR="00DB43BF" w:rsidRPr="003D23E7" w:rsidRDefault="00DB43BF" w:rsidP="00DB43BF">
      <w:pPr>
        <w:pStyle w:val="SingleTxtG"/>
      </w:pPr>
      <w:r>
        <w:rPr>
          <w:lang w:val="fr-FR"/>
        </w:rPr>
        <w:t>5</w:t>
      </w:r>
      <w:r w:rsidR="00510D67" w:rsidRPr="00510D67">
        <w:rPr>
          <w:lang w:val="fr-FR"/>
        </w:rPr>
        <w:t>.</w:t>
      </w:r>
      <w:r>
        <w:rPr>
          <w:lang w:val="fr-FR"/>
        </w:rPr>
        <w:tab/>
        <w:t xml:space="preserve">Les matières </w:t>
      </w:r>
      <w:proofErr w:type="spellStart"/>
      <w:r>
        <w:rPr>
          <w:lang w:val="fr-FR"/>
        </w:rPr>
        <w:t>autoréactives</w:t>
      </w:r>
      <w:proofErr w:type="spellEnd"/>
      <w:r>
        <w:rPr>
          <w:lang w:val="fr-FR"/>
        </w:rPr>
        <w:t xml:space="preserve"> sont définies au 2</w:t>
      </w:r>
      <w:r w:rsidR="00510D67" w:rsidRPr="00510D67">
        <w:rPr>
          <w:lang w:val="fr-FR"/>
        </w:rPr>
        <w:t>.</w:t>
      </w:r>
      <w:r>
        <w:rPr>
          <w:lang w:val="fr-FR"/>
        </w:rPr>
        <w:t>8</w:t>
      </w:r>
      <w:r w:rsidR="00510D67" w:rsidRPr="00510D67">
        <w:rPr>
          <w:lang w:val="fr-FR"/>
        </w:rPr>
        <w:t>.</w:t>
      </w:r>
      <w:r>
        <w:rPr>
          <w:lang w:val="fr-FR"/>
        </w:rPr>
        <w:t>1</w:t>
      </w:r>
      <w:r w:rsidR="00510D67" w:rsidRPr="00510D67">
        <w:rPr>
          <w:lang w:val="fr-FR"/>
        </w:rPr>
        <w:t>.</w:t>
      </w:r>
      <w:r>
        <w:rPr>
          <w:lang w:val="fr-FR"/>
        </w:rPr>
        <w:t>1, mais la deuxième phrase de la définition est incomplète</w:t>
      </w:r>
      <w:r w:rsidR="00510D67" w:rsidRPr="00510D67">
        <w:rPr>
          <w:lang w:val="fr-FR"/>
        </w:rPr>
        <w:t>.</w:t>
      </w:r>
      <w:r>
        <w:rPr>
          <w:lang w:val="fr-FR"/>
        </w:rPr>
        <w:t xml:space="preserve"> Il serait peut-être préférable qu’elle se termine par « </w:t>
      </w:r>
      <w:r w:rsidR="00510D67" w:rsidRPr="00510D67">
        <w:rPr>
          <w:lang w:val="fr-FR"/>
        </w:rPr>
        <w:t>...</w:t>
      </w:r>
      <w:r>
        <w:rPr>
          <w:lang w:val="fr-FR"/>
        </w:rPr>
        <w:t xml:space="preserve"> comme matières explosibles, peroxydes organiques ou matières comburantes </w:t>
      </w:r>
      <w:r>
        <w:rPr>
          <w:b/>
          <w:bCs/>
          <w:lang w:val="fr-FR"/>
        </w:rPr>
        <w:t>liquides ou solides</w:t>
      </w:r>
      <w:r w:rsidRPr="00510D67">
        <w:rPr>
          <w:lang w:val="fr-FR"/>
        </w:rPr>
        <w:t> »</w:t>
      </w:r>
      <w:r>
        <w:rPr>
          <w:lang w:val="fr-FR"/>
        </w:rPr>
        <w:t xml:space="preserve"> à des fins de cohérence avec le 2</w:t>
      </w:r>
      <w:r w:rsidR="00510D67" w:rsidRPr="00510D67">
        <w:rPr>
          <w:lang w:val="fr-FR"/>
        </w:rPr>
        <w:t>.</w:t>
      </w:r>
      <w:r>
        <w:rPr>
          <w:lang w:val="fr-FR"/>
        </w:rPr>
        <w:t>8</w:t>
      </w:r>
      <w:r w:rsidR="00510D67" w:rsidRPr="00510D67">
        <w:rPr>
          <w:lang w:val="fr-FR"/>
        </w:rPr>
        <w:t>.</w:t>
      </w:r>
      <w:r>
        <w:rPr>
          <w:lang w:val="fr-FR"/>
        </w:rPr>
        <w:t>2</w:t>
      </w:r>
      <w:r w:rsidR="00510D67" w:rsidRPr="00510D67">
        <w:rPr>
          <w:lang w:val="fr-FR"/>
        </w:rPr>
        <w:t>.</w:t>
      </w:r>
      <w:r>
        <w:rPr>
          <w:lang w:val="fr-FR"/>
        </w:rPr>
        <w:t>1 b)</w:t>
      </w:r>
      <w:r w:rsidR="00510D67" w:rsidRPr="00510D67">
        <w:rPr>
          <w:lang w:val="fr-FR"/>
        </w:rPr>
        <w:t>.</w:t>
      </w:r>
    </w:p>
    <w:p w14:paraId="18AB186B" w14:textId="77777777" w:rsidR="00DB43BF" w:rsidRPr="003D23E7" w:rsidRDefault="00DB43BF" w:rsidP="00DB43BF">
      <w:pPr>
        <w:pStyle w:val="H4G"/>
      </w:pPr>
      <w:r>
        <w:rPr>
          <w:lang w:val="fr-FR"/>
        </w:rPr>
        <w:tab/>
      </w:r>
      <w:r>
        <w:rPr>
          <w:lang w:val="fr-FR"/>
        </w:rPr>
        <w:tab/>
      </w:r>
      <w:r>
        <w:rPr>
          <w:iCs/>
          <w:lang w:val="fr-FR"/>
        </w:rPr>
        <w:t>Correction</w:t>
      </w:r>
    </w:p>
    <w:p w14:paraId="76D470D3" w14:textId="76C296C6" w:rsidR="00DB43BF" w:rsidRPr="003D23E7" w:rsidRDefault="00DB43BF" w:rsidP="00DB43BF">
      <w:pPr>
        <w:pStyle w:val="SingleTxtG"/>
      </w:pPr>
      <w:r>
        <w:rPr>
          <w:lang w:val="fr-FR"/>
        </w:rPr>
        <w:t>6</w:t>
      </w:r>
      <w:r w:rsidR="00510D67" w:rsidRPr="00510D67">
        <w:rPr>
          <w:lang w:val="fr-FR"/>
        </w:rPr>
        <w:t>.</w:t>
      </w:r>
      <w:r>
        <w:rPr>
          <w:lang w:val="fr-FR"/>
        </w:rPr>
        <w:tab/>
        <w:t>À la fin du 2</w:t>
      </w:r>
      <w:r w:rsidR="00510D67" w:rsidRPr="00510D67">
        <w:rPr>
          <w:lang w:val="fr-FR"/>
        </w:rPr>
        <w:t>.</w:t>
      </w:r>
      <w:r>
        <w:rPr>
          <w:lang w:val="fr-FR"/>
        </w:rPr>
        <w:t>8</w:t>
      </w:r>
      <w:r w:rsidR="00510D67" w:rsidRPr="00510D67">
        <w:rPr>
          <w:lang w:val="fr-FR"/>
        </w:rPr>
        <w:t>.</w:t>
      </w:r>
      <w:r>
        <w:rPr>
          <w:lang w:val="fr-FR"/>
        </w:rPr>
        <w:t>1</w:t>
      </w:r>
      <w:r w:rsidR="00510D67" w:rsidRPr="00510D67">
        <w:rPr>
          <w:lang w:val="fr-FR"/>
        </w:rPr>
        <w:t>.</w:t>
      </w:r>
      <w:r>
        <w:rPr>
          <w:lang w:val="fr-FR"/>
        </w:rPr>
        <w:t xml:space="preserve">1, </w:t>
      </w:r>
      <w:r>
        <w:rPr>
          <w:i/>
          <w:iCs/>
          <w:lang w:val="fr-FR"/>
        </w:rPr>
        <w:t xml:space="preserve">remplacer </w:t>
      </w:r>
      <w:r>
        <w:rPr>
          <w:lang w:val="fr-FR"/>
        </w:rPr>
        <w:t xml:space="preserve">« ou matières comburantes » </w:t>
      </w:r>
      <w:r>
        <w:rPr>
          <w:i/>
          <w:iCs/>
          <w:lang w:val="fr-FR"/>
        </w:rPr>
        <w:t xml:space="preserve">par </w:t>
      </w:r>
      <w:r>
        <w:rPr>
          <w:lang w:val="fr-FR"/>
        </w:rPr>
        <w:t>« ou matières comburantes liquides ou solides »</w:t>
      </w:r>
      <w:r w:rsidR="00510D67" w:rsidRPr="00510D67">
        <w:rPr>
          <w:lang w:val="fr-FR"/>
        </w:rPr>
        <w:t>.</w:t>
      </w:r>
    </w:p>
    <w:p w14:paraId="4EF93D95" w14:textId="77777777" w:rsidR="00DB43BF" w:rsidRPr="003D23E7" w:rsidRDefault="00DB43BF" w:rsidP="00DB43BF">
      <w:pPr>
        <w:pStyle w:val="H1G"/>
      </w:pP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Manuel d’épreuves et de critères</w:t>
      </w:r>
    </w:p>
    <w:p w14:paraId="4ABC6727" w14:textId="77777777" w:rsidR="00DB43BF" w:rsidRPr="003D23E7" w:rsidRDefault="00DB43BF" w:rsidP="00DB43BF">
      <w:pPr>
        <w:pStyle w:val="H23G"/>
      </w:pP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Section 11</w:t>
      </w:r>
    </w:p>
    <w:p w14:paraId="38CE1DD5" w14:textId="513A1506" w:rsidR="00DB43BF" w:rsidRPr="003D23E7" w:rsidRDefault="00DB43BF" w:rsidP="00DB43BF">
      <w:pPr>
        <w:pStyle w:val="SingleTxtG"/>
      </w:pPr>
      <w:r>
        <w:rPr>
          <w:lang w:val="fr-FR"/>
        </w:rPr>
        <w:t>7</w:t>
      </w:r>
      <w:r w:rsidR="00510D67" w:rsidRPr="00510D67">
        <w:rPr>
          <w:lang w:val="fr-FR"/>
        </w:rPr>
        <w:t>.</w:t>
      </w:r>
      <w:r>
        <w:rPr>
          <w:lang w:val="fr-FR"/>
        </w:rPr>
        <w:tab/>
        <w:t>Dans la version anglaise, le texte actuel du 11</w:t>
      </w:r>
      <w:r w:rsidR="00510D67" w:rsidRPr="00510D67">
        <w:rPr>
          <w:lang w:val="fr-FR"/>
        </w:rPr>
        <w:t>.</w:t>
      </w:r>
      <w:r>
        <w:rPr>
          <w:lang w:val="fr-FR"/>
        </w:rPr>
        <w:t>1</w:t>
      </w:r>
      <w:r w:rsidR="00510D67" w:rsidRPr="00510D67">
        <w:rPr>
          <w:lang w:val="fr-FR"/>
        </w:rPr>
        <w:t>.</w:t>
      </w:r>
      <w:r>
        <w:rPr>
          <w:lang w:val="fr-FR"/>
        </w:rPr>
        <w:t>1 est le suivant :</w:t>
      </w:r>
    </w:p>
    <w:p w14:paraId="565B45FA" w14:textId="4A50AD34" w:rsidR="00DB43BF" w:rsidRPr="00A3081C" w:rsidRDefault="00DB43BF" w:rsidP="00DB43BF">
      <w:pPr>
        <w:pStyle w:val="SingleTxtG"/>
        <w:rPr>
          <w:lang w:val="en-US"/>
        </w:rPr>
      </w:pPr>
      <w:bookmarkStart w:id="2" w:name="_Hlk138775153"/>
      <w:r w:rsidRPr="00A3081C">
        <w:rPr>
          <w:lang w:val="en-US"/>
        </w:rPr>
        <w:t>« </w:t>
      </w:r>
      <w:r w:rsidRPr="00DB43BF">
        <w:rPr>
          <w:lang w:val="en-US"/>
        </w:rPr>
        <w:t>The question “</w:t>
      </w:r>
      <w:r w:rsidRPr="00DB43BF">
        <w:rPr>
          <w:b/>
          <w:bCs/>
          <w:lang w:val="en-US"/>
        </w:rPr>
        <w:t>Is it an explosive substance</w:t>
      </w:r>
      <w:r w:rsidRPr="00DB43BF">
        <w:rPr>
          <w:lang w:val="en-US"/>
        </w:rPr>
        <w:t>?” (Box 5 of Figure 10</w:t>
      </w:r>
      <w:r w:rsidR="00510D67" w:rsidRPr="00510D67">
        <w:rPr>
          <w:lang w:val="en-US"/>
        </w:rPr>
        <w:t>.</w:t>
      </w:r>
      <w:r w:rsidRPr="00DB43BF">
        <w:rPr>
          <w:lang w:val="en-US"/>
        </w:rPr>
        <w:t>2) is answered on the basis of the results of three types of tests to assess possible explosive effects</w:t>
      </w:r>
      <w:r w:rsidR="00510D67" w:rsidRPr="00510D67">
        <w:rPr>
          <w:lang w:val="en-US"/>
        </w:rPr>
        <w:t>.</w:t>
      </w:r>
      <w:r w:rsidRPr="00DB43BF">
        <w:rPr>
          <w:lang w:val="en-US"/>
        </w:rPr>
        <w:t xml:space="preserve"> The question in Box 5 is answered “yes” if a “+” is obtained in any of the three types of test</w:t>
      </w:r>
      <w:r w:rsidR="00510D67" w:rsidRPr="00510D67">
        <w:rPr>
          <w:lang w:val="en-US"/>
        </w:rPr>
        <w:t>.</w:t>
      </w:r>
      <w:r w:rsidRPr="00A3081C">
        <w:rPr>
          <w:lang w:val="en-US"/>
        </w:rPr>
        <w:t> »</w:t>
      </w:r>
      <w:r w:rsidR="00510D67" w:rsidRPr="00510D67">
        <w:rPr>
          <w:lang w:val="en-US"/>
        </w:rPr>
        <w:t>.</w:t>
      </w:r>
    </w:p>
    <w:bookmarkEnd w:id="2"/>
    <w:p w14:paraId="06985A3F" w14:textId="3FCF9EFC" w:rsidR="00DB43BF" w:rsidRPr="003D23E7" w:rsidRDefault="00DB43BF" w:rsidP="00DB43BF">
      <w:pPr>
        <w:pStyle w:val="SingleTxtG"/>
      </w:pPr>
      <w:r>
        <w:rPr>
          <w:lang w:val="fr-FR"/>
        </w:rPr>
        <w:t>8</w:t>
      </w:r>
      <w:r w:rsidR="00510D67" w:rsidRPr="00510D67">
        <w:rPr>
          <w:lang w:val="fr-FR"/>
        </w:rPr>
        <w:t>.</w:t>
      </w:r>
      <w:r>
        <w:rPr>
          <w:lang w:val="fr-FR"/>
        </w:rPr>
        <w:tab/>
        <w:t>À des fins de cohérence avec la figure 10</w:t>
      </w:r>
      <w:r w:rsidR="00510D67" w:rsidRPr="00510D67">
        <w:rPr>
          <w:lang w:val="fr-FR"/>
        </w:rPr>
        <w:t>.</w:t>
      </w:r>
      <w:r>
        <w:rPr>
          <w:lang w:val="fr-FR"/>
        </w:rPr>
        <w:t>2, il conviendrait qu’il se lise comme suit :</w:t>
      </w:r>
    </w:p>
    <w:p w14:paraId="1DCACEDF" w14:textId="1D924D37" w:rsidR="00DB43BF" w:rsidRPr="00A3081C" w:rsidRDefault="00DB43BF" w:rsidP="00DB43BF">
      <w:pPr>
        <w:pStyle w:val="SingleTxtG"/>
        <w:rPr>
          <w:lang w:val="en-US"/>
        </w:rPr>
      </w:pPr>
      <w:r w:rsidRPr="00A3081C">
        <w:rPr>
          <w:lang w:val="en-US"/>
        </w:rPr>
        <w:t>« </w:t>
      </w:r>
      <w:r w:rsidRPr="00DB43BF">
        <w:rPr>
          <w:lang w:val="en-US"/>
        </w:rPr>
        <w:t>The question “</w:t>
      </w:r>
      <w:r w:rsidRPr="00DB43BF">
        <w:rPr>
          <w:b/>
          <w:bCs/>
          <w:lang w:val="en-US"/>
        </w:rPr>
        <w:t>Does it have explosive properties</w:t>
      </w:r>
      <w:r w:rsidRPr="00DB43BF">
        <w:rPr>
          <w:lang w:val="en-US"/>
        </w:rPr>
        <w:t>?” (Box 5 of Figure 10</w:t>
      </w:r>
      <w:r w:rsidR="00510D67" w:rsidRPr="00510D67">
        <w:rPr>
          <w:lang w:val="en-US"/>
        </w:rPr>
        <w:t>.</w:t>
      </w:r>
      <w:r w:rsidRPr="00DB43BF">
        <w:rPr>
          <w:lang w:val="en-US"/>
        </w:rPr>
        <w:t>2) is answered on the basis of the results of three types of tests to assess possible explosive effects</w:t>
      </w:r>
      <w:r w:rsidR="00510D67" w:rsidRPr="00510D67">
        <w:rPr>
          <w:lang w:val="en-US"/>
        </w:rPr>
        <w:t>.</w:t>
      </w:r>
      <w:r w:rsidRPr="00DB43BF">
        <w:rPr>
          <w:lang w:val="en-US"/>
        </w:rPr>
        <w:t xml:space="preserve"> The question in Box 5 is answered “yes” if a “+” is obtained in any of the three types of test</w:t>
      </w:r>
      <w:r w:rsidR="00510D67" w:rsidRPr="00510D67">
        <w:rPr>
          <w:lang w:val="en-US"/>
        </w:rPr>
        <w:t>.</w:t>
      </w:r>
      <w:r w:rsidRPr="00A3081C">
        <w:rPr>
          <w:lang w:val="en-US"/>
        </w:rPr>
        <w:t> »</w:t>
      </w:r>
      <w:r w:rsidR="00510D67" w:rsidRPr="00510D67">
        <w:rPr>
          <w:lang w:val="en-US"/>
        </w:rPr>
        <w:t>.</w:t>
      </w:r>
    </w:p>
    <w:p w14:paraId="086F0C65" w14:textId="77777777" w:rsidR="00DB43BF" w:rsidRPr="003D23E7" w:rsidRDefault="00DB43BF" w:rsidP="00DB43BF">
      <w:pPr>
        <w:pStyle w:val="H4G"/>
      </w:pPr>
      <w:r w:rsidRPr="00A3081C">
        <w:rPr>
          <w:lang w:val="en-US"/>
        </w:rPr>
        <w:tab/>
      </w:r>
      <w:r w:rsidRPr="00A3081C">
        <w:rPr>
          <w:lang w:val="en-US"/>
        </w:rPr>
        <w:tab/>
      </w:r>
      <w:r>
        <w:rPr>
          <w:iCs/>
          <w:lang w:val="fr-FR"/>
        </w:rPr>
        <w:t>Correction</w:t>
      </w:r>
    </w:p>
    <w:p w14:paraId="273B27D4" w14:textId="42233716" w:rsidR="00DB43BF" w:rsidRPr="003D23E7" w:rsidRDefault="00DB43BF" w:rsidP="00DB43BF">
      <w:pPr>
        <w:pStyle w:val="SingleTxtG"/>
      </w:pPr>
      <w:r>
        <w:rPr>
          <w:lang w:val="fr-FR"/>
        </w:rPr>
        <w:t>9</w:t>
      </w:r>
      <w:r w:rsidR="00510D67" w:rsidRPr="00510D67">
        <w:rPr>
          <w:lang w:val="fr-FR"/>
        </w:rPr>
        <w:t>.</w:t>
      </w:r>
      <w:r>
        <w:rPr>
          <w:lang w:val="fr-FR"/>
        </w:rPr>
        <w:tab/>
        <w:t>Dans la version anglaise, au 11</w:t>
      </w:r>
      <w:r w:rsidR="00510D67" w:rsidRPr="00510D67">
        <w:rPr>
          <w:lang w:val="fr-FR"/>
        </w:rPr>
        <w:t>.</w:t>
      </w:r>
      <w:r>
        <w:rPr>
          <w:lang w:val="fr-FR"/>
        </w:rPr>
        <w:t>1</w:t>
      </w:r>
      <w:r w:rsidR="00510D67" w:rsidRPr="00510D67">
        <w:rPr>
          <w:lang w:val="fr-FR"/>
        </w:rPr>
        <w:t>.</w:t>
      </w:r>
      <w:r>
        <w:rPr>
          <w:lang w:val="fr-FR"/>
        </w:rPr>
        <w:t xml:space="preserve">1, </w:t>
      </w:r>
      <w:r>
        <w:rPr>
          <w:i/>
          <w:iCs/>
          <w:lang w:val="fr-FR"/>
        </w:rPr>
        <w:t xml:space="preserve">remplacer </w:t>
      </w:r>
      <w:r>
        <w:rPr>
          <w:lang w:val="fr-FR"/>
        </w:rPr>
        <w:t>« </w:t>
      </w:r>
      <w:r w:rsidRPr="00A3081C">
        <w:rPr>
          <w:lang w:val="fr-FR"/>
        </w:rPr>
        <w:t xml:space="preserve">Is </w:t>
      </w:r>
      <w:proofErr w:type="spellStart"/>
      <w:r w:rsidRPr="00A3081C">
        <w:rPr>
          <w:lang w:val="fr-FR"/>
        </w:rPr>
        <w:t>it</w:t>
      </w:r>
      <w:proofErr w:type="spellEnd"/>
      <w:r w:rsidRPr="00A3081C">
        <w:rPr>
          <w:lang w:val="fr-FR"/>
        </w:rPr>
        <w:t xml:space="preserve"> an explosive substance?</w:t>
      </w:r>
      <w:r>
        <w:rPr>
          <w:lang w:val="fr-FR"/>
        </w:rPr>
        <w:t xml:space="preserve">» </w:t>
      </w:r>
      <w:r>
        <w:rPr>
          <w:i/>
          <w:iCs/>
          <w:lang w:val="fr-FR"/>
        </w:rPr>
        <w:t xml:space="preserve">par </w:t>
      </w:r>
      <w:r>
        <w:rPr>
          <w:lang w:val="fr-FR"/>
        </w:rPr>
        <w:t>«</w:t>
      </w:r>
      <w:r w:rsidR="00510D67">
        <w:rPr>
          <w:lang w:val="fr-FR"/>
        </w:rPr>
        <w:t> </w:t>
      </w:r>
      <w:proofErr w:type="spellStart"/>
      <w:r w:rsidRPr="00A3081C">
        <w:t>Does</w:t>
      </w:r>
      <w:proofErr w:type="spellEnd"/>
      <w:r w:rsidRPr="00A3081C">
        <w:t xml:space="preserve"> </w:t>
      </w:r>
      <w:proofErr w:type="spellStart"/>
      <w:r w:rsidRPr="00A3081C">
        <w:t>it</w:t>
      </w:r>
      <w:proofErr w:type="spellEnd"/>
      <w:r w:rsidRPr="00A3081C">
        <w:t xml:space="preserve"> have explosive </w:t>
      </w:r>
      <w:proofErr w:type="spellStart"/>
      <w:r w:rsidRPr="00A3081C">
        <w:t>properties</w:t>
      </w:r>
      <w:proofErr w:type="spellEnd"/>
      <w:r w:rsidRPr="00A3081C">
        <w:t>?</w:t>
      </w:r>
      <w:r>
        <w:rPr>
          <w:lang w:val="fr-FR"/>
        </w:rPr>
        <w:t> »</w:t>
      </w:r>
      <w:r w:rsidR="00510D67" w:rsidRPr="00510D67">
        <w:rPr>
          <w:lang w:val="fr-FR"/>
        </w:rPr>
        <w:t>.</w:t>
      </w:r>
    </w:p>
    <w:p w14:paraId="2373BF24" w14:textId="77777777" w:rsidR="00DB43BF" w:rsidRPr="003D23E7" w:rsidRDefault="00DB43BF" w:rsidP="00DB43BF">
      <w:pPr>
        <w:pStyle w:val="H23G"/>
      </w:pP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Section 12</w:t>
      </w:r>
    </w:p>
    <w:p w14:paraId="2A789ABA" w14:textId="447E60E1" w:rsidR="00DB43BF" w:rsidRPr="003D23E7" w:rsidRDefault="00DB43BF" w:rsidP="00DB43BF">
      <w:pPr>
        <w:pStyle w:val="SingleTxtG"/>
      </w:pPr>
      <w:r>
        <w:rPr>
          <w:lang w:val="fr-FR"/>
        </w:rPr>
        <w:t>10</w:t>
      </w:r>
      <w:r w:rsidR="00510D67" w:rsidRPr="00510D67">
        <w:rPr>
          <w:lang w:val="fr-FR"/>
        </w:rPr>
        <w:t>.</w:t>
      </w:r>
      <w:r>
        <w:rPr>
          <w:lang w:val="fr-FR"/>
        </w:rPr>
        <w:tab/>
        <w:t>Le texte actuel du 12</w:t>
      </w:r>
      <w:r w:rsidR="00510D67" w:rsidRPr="00510D67">
        <w:rPr>
          <w:lang w:val="fr-FR"/>
        </w:rPr>
        <w:t>.</w:t>
      </w:r>
      <w:r>
        <w:rPr>
          <w:lang w:val="fr-FR"/>
        </w:rPr>
        <w:t>1</w:t>
      </w:r>
      <w:r w:rsidR="00510D67" w:rsidRPr="00510D67">
        <w:rPr>
          <w:lang w:val="fr-FR"/>
        </w:rPr>
        <w:t>.</w:t>
      </w:r>
      <w:r>
        <w:rPr>
          <w:lang w:val="fr-FR"/>
        </w:rPr>
        <w:t>1 est le suivant :</w:t>
      </w:r>
    </w:p>
    <w:p w14:paraId="6FD49275" w14:textId="47C0A177" w:rsidR="00DB43BF" w:rsidRPr="003D23E7" w:rsidRDefault="00DB43BF" w:rsidP="00DB43BF">
      <w:pPr>
        <w:pStyle w:val="SingleTxtG"/>
      </w:pPr>
      <w:bookmarkStart w:id="3" w:name="_Hlk138775697"/>
      <w:r>
        <w:rPr>
          <w:lang w:val="fr-FR"/>
        </w:rPr>
        <w:t>« À la question « </w:t>
      </w:r>
      <w:r>
        <w:rPr>
          <w:b/>
          <w:bCs/>
          <w:lang w:val="fr-FR"/>
        </w:rPr>
        <w:t>La matière est-elle trop insensible pour relever de la classe des matières et objets explosibles ? </w:t>
      </w:r>
      <w:r w:rsidRPr="003D23E7">
        <w:rPr>
          <w:lang w:val="fr-FR"/>
        </w:rPr>
        <w:t>»</w:t>
      </w:r>
      <w:r>
        <w:rPr>
          <w:b/>
          <w:bCs/>
          <w:lang w:val="fr-FR"/>
        </w:rPr>
        <w:t xml:space="preserve"> </w:t>
      </w:r>
      <w:r>
        <w:rPr>
          <w:lang w:val="fr-FR"/>
        </w:rPr>
        <w:t xml:space="preserve">(case </w:t>
      </w:r>
      <w:r w:rsidRPr="00A3081C">
        <w:rPr>
          <w:lang w:val="fr-FR"/>
        </w:rPr>
        <w:t>7</w:t>
      </w:r>
      <w:r>
        <w:rPr>
          <w:lang w:val="fr-FR"/>
        </w:rPr>
        <w:t xml:space="preserve"> de la figure 10</w:t>
      </w:r>
      <w:r w:rsidR="00510D67" w:rsidRPr="00510D67">
        <w:rPr>
          <w:lang w:val="fr-FR"/>
        </w:rPr>
        <w:t>.</w:t>
      </w:r>
      <w:r>
        <w:rPr>
          <w:lang w:val="fr-FR"/>
        </w:rPr>
        <w:t>2), on répond selon les résultats de trois types d’épreuves visant à évaluer les effets explosifs éventuels</w:t>
      </w:r>
      <w:r w:rsidR="00510D67" w:rsidRPr="00510D67">
        <w:rPr>
          <w:lang w:val="fr-FR"/>
        </w:rPr>
        <w:t>.</w:t>
      </w:r>
      <w:r>
        <w:rPr>
          <w:lang w:val="fr-FR"/>
        </w:rPr>
        <w:t xml:space="preserve"> La réponse à cette question est non si un résultat positif (+) est obtenu pour l’un quelconque des trois types d’épreuves</w:t>
      </w:r>
      <w:r w:rsidR="00510D67" w:rsidRPr="00510D67">
        <w:rPr>
          <w:lang w:val="fr-FR"/>
        </w:rPr>
        <w:t>.</w:t>
      </w:r>
      <w:r>
        <w:rPr>
          <w:lang w:val="fr-FR"/>
        </w:rPr>
        <w:t> »</w:t>
      </w:r>
      <w:r w:rsidR="00510D67" w:rsidRPr="00510D67">
        <w:rPr>
          <w:lang w:val="fr-FR"/>
        </w:rPr>
        <w:t>.</w:t>
      </w:r>
    </w:p>
    <w:bookmarkEnd w:id="3"/>
    <w:p w14:paraId="490377E2" w14:textId="53B49A2E" w:rsidR="00DB43BF" w:rsidRPr="003D23E7" w:rsidRDefault="00DB43BF" w:rsidP="00DB43BF">
      <w:pPr>
        <w:pStyle w:val="SingleTxtG"/>
      </w:pPr>
      <w:r>
        <w:rPr>
          <w:lang w:val="fr-FR"/>
        </w:rPr>
        <w:t>11</w:t>
      </w:r>
      <w:r w:rsidR="00510D67" w:rsidRPr="00510D67">
        <w:rPr>
          <w:lang w:val="fr-FR"/>
        </w:rPr>
        <w:t>.</w:t>
      </w:r>
      <w:r>
        <w:rPr>
          <w:lang w:val="fr-FR"/>
        </w:rPr>
        <w:tab/>
        <w:t>À des fins de cohérence avec la figure 10</w:t>
      </w:r>
      <w:r w:rsidR="00510D67" w:rsidRPr="00510D67">
        <w:rPr>
          <w:lang w:val="fr-FR"/>
        </w:rPr>
        <w:t>.</w:t>
      </w:r>
      <w:r>
        <w:rPr>
          <w:lang w:val="fr-FR"/>
        </w:rPr>
        <w:t>2, il conviendrait qu’il se lise comme suit :</w:t>
      </w:r>
    </w:p>
    <w:p w14:paraId="251AE9CD" w14:textId="1EE9A672" w:rsidR="00DB43BF" w:rsidRPr="003D23E7" w:rsidRDefault="00DB43BF" w:rsidP="00DB43BF">
      <w:pPr>
        <w:pStyle w:val="SingleTxtG"/>
      </w:pPr>
      <w:r>
        <w:rPr>
          <w:lang w:val="fr-FR"/>
        </w:rPr>
        <w:t>« À la question « </w:t>
      </w:r>
      <w:r>
        <w:rPr>
          <w:b/>
          <w:bCs/>
          <w:lang w:val="fr-FR"/>
        </w:rPr>
        <w:t>Est-elle trop insensible pour relever de cette classe ?</w:t>
      </w:r>
      <w:r>
        <w:rPr>
          <w:lang w:val="fr-FR"/>
        </w:rPr>
        <w:t> » (case 7 de la figure 10</w:t>
      </w:r>
      <w:r w:rsidR="00510D67" w:rsidRPr="00510D67">
        <w:rPr>
          <w:lang w:val="fr-FR"/>
        </w:rPr>
        <w:t>.</w:t>
      </w:r>
      <w:r>
        <w:rPr>
          <w:lang w:val="fr-FR"/>
        </w:rPr>
        <w:t>2), on répond selon les résultats de trois types d’épreuves visant à évaluer les effets explosifs éventuels</w:t>
      </w:r>
      <w:r w:rsidR="00510D67" w:rsidRPr="00510D67">
        <w:rPr>
          <w:lang w:val="fr-FR"/>
        </w:rPr>
        <w:t>.</w:t>
      </w:r>
      <w:r>
        <w:rPr>
          <w:lang w:val="fr-FR"/>
        </w:rPr>
        <w:t xml:space="preserve"> La réponse à cette question est non si un résultat positif (+) est obtenu pour l’un quelconque des trois types d’épreuves</w:t>
      </w:r>
      <w:r w:rsidR="00510D67" w:rsidRPr="00510D67">
        <w:rPr>
          <w:lang w:val="fr-FR"/>
        </w:rPr>
        <w:t>.</w:t>
      </w:r>
      <w:r>
        <w:rPr>
          <w:lang w:val="fr-FR"/>
        </w:rPr>
        <w:t> »</w:t>
      </w:r>
      <w:r w:rsidR="00510D67" w:rsidRPr="00510D67">
        <w:rPr>
          <w:lang w:val="fr-FR"/>
        </w:rPr>
        <w:t>.</w:t>
      </w:r>
    </w:p>
    <w:p w14:paraId="14882901" w14:textId="77777777" w:rsidR="00DB43BF" w:rsidRPr="003D23E7" w:rsidRDefault="00DB43BF" w:rsidP="00DB43BF">
      <w:pPr>
        <w:pStyle w:val="H4G"/>
      </w:pPr>
      <w:r>
        <w:rPr>
          <w:lang w:val="fr-FR"/>
        </w:rPr>
        <w:tab/>
      </w:r>
      <w:r>
        <w:rPr>
          <w:lang w:val="fr-FR"/>
        </w:rPr>
        <w:tab/>
      </w:r>
      <w:r>
        <w:rPr>
          <w:iCs/>
          <w:lang w:val="fr-FR"/>
        </w:rPr>
        <w:t>Correction</w:t>
      </w:r>
    </w:p>
    <w:p w14:paraId="4699C26F" w14:textId="314BEC37" w:rsidR="00DB43BF" w:rsidRPr="003D23E7" w:rsidRDefault="00DB43BF" w:rsidP="00DB43BF">
      <w:pPr>
        <w:pStyle w:val="SingleTxtG"/>
      </w:pPr>
      <w:r>
        <w:rPr>
          <w:lang w:val="fr-FR"/>
        </w:rPr>
        <w:t>12</w:t>
      </w:r>
      <w:r w:rsidR="00510D67" w:rsidRPr="00510D67">
        <w:rPr>
          <w:lang w:val="fr-FR"/>
        </w:rPr>
        <w:t>.</w:t>
      </w:r>
      <w:r>
        <w:rPr>
          <w:lang w:val="fr-FR"/>
        </w:rPr>
        <w:tab/>
        <w:t>Au 12</w:t>
      </w:r>
      <w:r w:rsidR="00510D67" w:rsidRPr="00510D67">
        <w:rPr>
          <w:lang w:val="fr-FR"/>
        </w:rPr>
        <w:t>.</w:t>
      </w:r>
      <w:r>
        <w:rPr>
          <w:lang w:val="fr-FR"/>
        </w:rPr>
        <w:t>1</w:t>
      </w:r>
      <w:r w:rsidR="00510D67" w:rsidRPr="00510D67">
        <w:rPr>
          <w:lang w:val="fr-FR"/>
        </w:rPr>
        <w:t>.</w:t>
      </w:r>
      <w:r>
        <w:rPr>
          <w:lang w:val="fr-FR"/>
        </w:rPr>
        <w:t xml:space="preserve">1, </w:t>
      </w:r>
      <w:r>
        <w:rPr>
          <w:i/>
          <w:iCs/>
          <w:lang w:val="fr-FR"/>
        </w:rPr>
        <w:t xml:space="preserve">remplacer </w:t>
      </w:r>
      <w:r>
        <w:rPr>
          <w:lang w:val="fr-FR"/>
        </w:rPr>
        <w:t xml:space="preserve">« La matière est-elle trop insensible pour relever de la classe des matières et objets explosibles ? » </w:t>
      </w:r>
      <w:r>
        <w:rPr>
          <w:i/>
          <w:iCs/>
          <w:lang w:val="fr-FR"/>
        </w:rPr>
        <w:t xml:space="preserve">par </w:t>
      </w:r>
      <w:r>
        <w:rPr>
          <w:lang w:val="fr-FR"/>
        </w:rPr>
        <w:t>« Est-elle trop insensible pour relever de cette classe ? »</w:t>
      </w:r>
      <w:r w:rsidR="00510D67" w:rsidRPr="00510D67">
        <w:rPr>
          <w:lang w:val="fr-FR"/>
        </w:rPr>
        <w:t>.</w:t>
      </w:r>
    </w:p>
    <w:p w14:paraId="13C50993" w14:textId="77777777" w:rsidR="00DB43BF" w:rsidRPr="003D23E7" w:rsidRDefault="00DB43BF" w:rsidP="00DB43BF">
      <w:pPr>
        <w:pStyle w:val="H23G"/>
      </w:pP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Section 16</w:t>
      </w:r>
    </w:p>
    <w:p w14:paraId="090CF970" w14:textId="5BAEC918" w:rsidR="00DB43BF" w:rsidRPr="003D23E7" w:rsidRDefault="00DB43BF" w:rsidP="00DB43BF">
      <w:pPr>
        <w:pStyle w:val="SingleTxtG"/>
      </w:pPr>
      <w:r>
        <w:rPr>
          <w:lang w:val="fr-FR"/>
        </w:rPr>
        <w:t>13</w:t>
      </w:r>
      <w:r w:rsidR="00510D67" w:rsidRPr="00510D67">
        <w:rPr>
          <w:lang w:val="fr-FR"/>
        </w:rPr>
        <w:t>.</w:t>
      </w:r>
      <w:r>
        <w:rPr>
          <w:lang w:val="fr-FR"/>
        </w:rPr>
        <w:tab/>
        <w:t>Au 16</w:t>
      </w:r>
      <w:r w:rsidR="00510D67" w:rsidRPr="00510D67">
        <w:rPr>
          <w:lang w:val="fr-FR"/>
        </w:rPr>
        <w:t>.</w:t>
      </w:r>
      <w:r>
        <w:rPr>
          <w:lang w:val="fr-FR"/>
        </w:rPr>
        <w:t>6</w:t>
      </w:r>
      <w:r w:rsidR="00510D67" w:rsidRPr="00510D67">
        <w:rPr>
          <w:lang w:val="fr-FR"/>
        </w:rPr>
        <w:t>.</w:t>
      </w:r>
      <w:r>
        <w:rPr>
          <w:lang w:val="fr-FR"/>
        </w:rPr>
        <w:t>1</w:t>
      </w:r>
      <w:r w:rsidR="00510D67" w:rsidRPr="00510D67">
        <w:rPr>
          <w:lang w:val="fr-FR"/>
        </w:rPr>
        <w:t>.</w:t>
      </w:r>
      <w:r>
        <w:rPr>
          <w:lang w:val="fr-FR"/>
        </w:rPr>
        <w:t>4</w:t>
      </w:r>
      <w:r w:rsidR="00510D67" w:rsidRPr="00510D67">
        <w:rPr>
          <w:lang w:val="fr-FR"/>
        </w:rPr>
        <w:t>.</w:t>
      </w:r>
      <w:r>
        <w:rPr>
          <w:lang w:val="fr-FR"/>
        </w:rPr>
        <w:t>6, la mention « (voir case 32 de la figure 10</w:t>
      </w:r>
      <w:r w:rsidR="00510D67" w:rsidRPr="00510D67">
        <w:rPr>
          <w:lang w:val="fr-FR"/>
        </w:rPr>
        <w:t>.</w:t>
      </w:r>
      <w:r>
        <w:rPr>
          <w:lang w:val="fr-FR"/>
        </w:rPr>
        <w:t xml:space="preserve">3) » devrait se lire comme suit : « (voir </w:t>
      </w:r>
      <w:r>
        <w:rPr>
          <w:b/>
          <w:bCs/>
          <w:lang w:val="fr-FR"/>
        </w:rPr>
        <w:t>cases 32 à 37</w:t>
      </w:r>
      <w:r>
        <w:rPr>
          <w:lang w:val="fr-FR"/>
        </w:rPr>
        <w:t xml:space="preserve"> de la figure 10</w:t>
      </w:r>
      <w:r w:rsidR="00510D67" w:rsidRPr="00510D67">
        <w:rPr>
          <w:lang w:val="fr-FR"/>
        </w:rPr>
        <w:t>.</w:t>
      </w:r>
      <w:r>
        <w:rPr>
          <w:lang w:val="fr-FR"/>
        </w:rPr>
        <w:t>3) »</w:t>
      </w:r>
      <w:r w:rsidR="00510D67" w:rsidRPr="00510D67">
        <w:rPr>
          <w:lang w:val="fr-FR"/>
        </w:rPr>
        <w:t>.</w:t>
      </w:r>
    </w:p>
    <w:p w14:paraId="51C9F788" w14:textId="77777777" w:rsidR="00DB43BF" w:rsidRPr="003D23E7" w:rsidRDefault="00DB43BF" w:rsidP="00DB43BF">
      <w:pPr>
        <w:pStyle w:val="H4G"/>
      </w:pPr>
      <w:r>
        <w:rPr>
          <w:lang w:val="fr-FR"/>
        </w:rPr>
        <w:lastRenderedPageBreak/>
        <w:tab/>
      </w:r>
      <w:r>
        <w:rPr>
          <w:lang w:val="fr-FR"/>
        </w:rPr>
        <w:tab/>
      </w:r>
      <w:r>
        <w:rPr>
          <w:iCs/>
          <w:lang w:val="fr-FR"/>
        </w:rPr>
        <w:t>Correction</w:t>
      </w:r>
    </w:p>
    <w:p w14:paraId="4C29FEF0" w14:textId="61D43D08" w:rsidR="00DB43BF" w:rsidRPr="003D23E7" w:rsidRDefault="00DB43BF" w:rsidP="00DB43BF">
      <w:pPr>
        <w:pStyle w:val="SingleTxtG"/>
      </w:pPr>
      <w:r>
        <w:rPr>
          <w:lang w:val="fr-FR"/>
        </w:rPr>
        <w:t>14</w:t>
      </w:r>
      <w:r w:rsidR="00510D67" w:rsidRPr="00510D67">
        <w:rPr>
          <w:lang w:val="fr-FR"/>
        </w:rPr>
        <w:t>.</w:t>
      </w:r>
      <w:r>
        <w:rPr>
          <w:lang w:val="fr-FR"/>
        </w:rPr>
        <w:tab/>
        <w:t>Au 16</w:t>
      </w:r>
      <w:r w:rsidR="00510D67" w:rsidRPr="00510D67">
        <w:rPr>
          <w:lang w:val="fr-FR"/>
        </w:rPr>
        <w:t>.</w:t>
      </w:r>
      <w:r>
        <w:rPr>
          <w:lang w:val="fr-FR"/>
        </w:rPr>
        <w:t>6</w:t>
      </w:r>
      <w:r w:rsidR="00510D67" w:rsidRPr="00510D67">
        <w:rPr>
          <w:lang w:val="fr-FR"/>
        </w:rPr>
        <w:t>.</w:t>
      </w:r>
      <w:r>
        <w:rPr>
          <w:lang w:val="fr-FR"/>
        </w:rPr>
        <w:t>1</w:t>
      </w:r>
      <w:r w:rsidR="00510D67" w:rsidRPr="00510D67">
        <w:rPr>
          <w:lang w:val="fr-FR"/>
        </w:rPr>
        <w:t>.</w:t>
      </w:r>
      <w:r>
        <w:rPr>
          <w:lang w:val="fr-FR"/>
        </w:rPr>
        <w:t>4</w:t>
      </w:r>
      <w:r w:rsidR="00510D67" w:rsidRPr="00510D67">
        <w:rPr>
          <w:lang w:val="fr-FR"/>
        </w:rPr>
        <w:t>.</w:t>
      </w:r>
      <w:r>
        <w:rPr>
          <w:lang w:val="fr-FR"/>
        </w:rPr>
        <w:t xml:space="preserve">6, </w:t>
      </w:r>
      <w:r>
        <w:rPr>
          <w:i/>
          <w:iCs/>
          <w:lang w:val="fr-FR"/>
        </w:rPr>
        <w:t>remplacer</w:t>
      </w:r>
      <w:r>
        <w:rPr>
          <w:lang w:val="fr-FR"/>
        </w:rPr>
        <w:t xml:space="preserve"> « (voir case 32 de la figure 10</w:t>
      </w:r>
      <w:r w:rsidR="00510D67" w:rsidRPr="00510D67">
        <w:rPr>
          <w:lang w:val="fr-FR"/>
        </w:rPr>
        <w:t>.</w:t>
      </w:r>
      <w:r>
        <w:rPr>
          <w:lang w:val="fr-FR"/>
        </w:rPr>
        <w:t xml:space="preserve">3) » </w:t>
      </w:r>
      <w:r>
        <w:rPr>
          <w:i/>
          <w:iCs/>
          <w:lang w:val="fr-FR"/>
        </w:rPr>
        <w:t>par</w:t>
      </w:r>
      <w:r>
        <w:rPr>
          <w:lang w:val="fr-FR"/>
        </w:rPr>
        <w:t xml:space="preserve"> « (voir cases 32 à 37 de la figure 10</w:t>
      </w:r>
      <w:r w:rsidR="00510D67" w:rsidRPr="00510D67">
        <w:rPr>
          <w:lang w:val="fr-FR"/>
        </w:rPr>
        <w:t>.</w:t>
      </w:r>
      <w:r>
        <w:rPr>
          <w:lang w:val="fr-FR"/>
        </w:rPr>
        <w:t>3) »</w:t>
      </w:r>
      <w:r w:rsidR="00510D67" w:rsidRPr="00510D67">
        <w:rPr>
          <w:lang w:val="fr-FR"/>
        </w:rPr>
        <w:t>.</w:t>
      </w:r>
    </w:p>
    <w:p w14:paraId="02261190" w14:textId="77777777" w:rsidR="00DB43BF" w:rsidRPr="003D23E7" w:rsidRDefault="00DB43BF" w:rsidP="00DB43BF">
      <w:pPr>
        <w:pStyle w:val="H23G"/>
      </w:pP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Section 32</w:t>
      </w:r>
    </w:p>
    <w:p w14:paraId="097C62A9" w14:textId="1AF5CDE5" w:rsidR="00DB43BF" w:rsidRPr="003D23E7" w:rsidRDefault="00DB43BF" w:rsidP="00DB43BF">
      <w:pPr>
        <w:pStyle w:val="SingleTxtG"/>
      </w:pPr>
      <w:r>
        <w:rPr>
          <w:lang w:val="fr-FR"/>
        </w:rPr>
        <w:t>15</w:t>
      </w:r>
      <w:r w:rsidR="00510D67" w:rsidRPr="00510D67">
        <w:rPr>
          <w:lang w:val="fr-FR"/>
        </w:rPr>
        <w:t>.</w:t>
      </w:r>
      <w:r>
        <w:rPr>
          <w:lang w:val="fr-FR"/>
        </w:rPr>
        <w:tab/>
        <w:t>Au 32</w:t>
      </w:r>
      <w:r w:rsidR="00510D67" w:rsidRPr="00510D67">
        <w:rPr>
          <w:lang w:val="fr-FR"/>
        </w:rPr>
        <w:t>.</w:t>
      </w:r>
      <w:r>
        <w:rPr>
          <w:lang w:val="fr-FR"/>
        </w:rPr>
        <w:t>3</w:t>
      </w:r>
      <w:r w:rsidR="00510D67" w:rsidRPr="00510D67">
        <w:rPr>
          <w:lang w:val="fr-FR"/>
        </w:rPr>
        <w:t>.</w:t>
      </w:r>
      <w:r>
        <w:rPr>
          <w:lang w:val="fr-FR"/>
        </w:rPr>
        <w:t>2</w:t>
      </w:r>
      <w:r w:rsidR="00510D67" w:rsidRPr="00510D67">
        <w:rPr>
          <w:lang w:val="fr-FR"/>
        </w:rPr>
        <w:t>.</w:t>
      </w:r>
      <w:r>
        <w:rPr>
          <w:lang w:val="fr-FR"/>
        </w:rPr>
        <w:t>1, la mention « (voir le paragraphe 2</w:t>
      </w:r>
      <w:r w:rsidR="00510D67" w:rsidRPr="00510D67">
        <w:rPr>
          <w:lang w:val="fr-FR"/>
        </w:rPr>
        <w:t>.</w:t>
      </w:r>
      <w:r>
        <w:rPr>
          <w:lang w:val="fr-FR"/>
        </w:rPr>
        <w:t>3</w:t>
      </w:r>
      <w:r w:rsidR="00510D67" w:rsidRPr="00510D67">
        <w:rPr>
          <w:lang w:val="fr-FR"/>
        </w:rPr>
        <w:t>.</w:t>
      </w:r>
      <w:r>
        <w:rPr>
          <w:lang w:val="fr-FR"/>
        </w:rPr>
        <w:t>1</w:t>
      </w:r>
      <w:r w:rsidR="00510D67" w:rsidRPr="00510D67">
        <w:rPr>
          <w:lang w:val="fr-FR"/>
        </w:rPr>
        <w:t>.</w:t>
      </w:r>
      <w:r>
        <w:rPr>
          <w:lang w:val="fr-FR"/>
        </w:rPr>
        <w:t xml:space="preserve">4 du Règlement type </w:t>
      </w:r>
      <w:r>
        <w:rPr>
          <w:b/>
          <w:bCs/>
          <w:lang w:val="fr-FR"/>
        </w:rPr>
        <w:t>et le Nota 2 au paragraphe 2</w:t>
      </w:r>
      <w:r w:rsidR="00510D67" w:rsidRPr="00510D67">
        <w:rPr>
          <w:b/>
          <w:bCs/>
          <w:lang w:val="fr-FR"/>
        </w:rPr>
        <w:t>.</w:t>
      </w:r>
      <w:r>
        <w:rPr>
          <w:b/>
          <w:bCs/>
          <w:lang w:val="fr-FR"/>
        </w:rPr>
        <w:t>1</w:t>
      </w:r>
      <w:r w:rsidR="00510D67" w:rsidRPr="00510D67">
        <w:rPr>
          <w:b/>
          <w:bCs/>
          <w:lang w:val="fr-FR"/>
        </w:rPr>
        <w:t>.</w:t>
      </w:r>
      <w:r>
        <w:rPr>
          <w:b/>
          <w:bCs/>
          <w:lang w:val="fr-FR"/>
        </w:rPr>
        <w:t>1 du SGH</w:t>
      </w:r>
      <w:r>
        <w:rPr>
          <w:lang w:val="fr-FR"/>
        </w:rPr>
        <w:t>) » doit être corrigée, car le nota 2 au paragraphe 2</w:t>
      </w:r>
      <w:r w:rsidR="00510D67" w:rsidRPr="00510D67">
        <w:rPr>
          <w:lang w:val="fr-FR"/>
        </w:rPr>
        <w:t>.</w:t>
      </w:r>
      <w:r>
        <w:rPr>
          <w:lang w:val="fr-FR"/>
        </w:rPr>
        <w:t>1</w:t>
      </w:r>
      <w:r w:rsidR="00510D67" w:rsidRPr="00510D67">
        <w:rPr>
          <w:lang w:val="fr-FR"/>
        </w:rPr>
        <w:t>.</w:t>
      </w:r>
      <w:r>
        <w:rPr>
          <w:lang w:val="fr-FR"/>
        </w:rPr>
        <w:t>1 du SGH ne semble pas pertinent</w:t>
      </w:r>
      <w:r w:rsidR="00510D67" w:rsidRPr="00510D67">
        <w:rPr>
          <w:lang w:val="fr-FR"/>
        </w:rPr>
        <w:t>.</w:t>
      </w:r>
      <w:r>
        <w:rPr>
          <w:lang w:val="fr-FR"/>
        </w:rPr>
        <w:t xml:space="preserve"> Il faudrait peut-être qu’elle se lise comme suit : « (voir le</w:t>
      </w:r>
      <w:r>
        <w:rPr>
          <w:b/>
          <w:bCs/>
          <w:lang w:val="fr-FR"/>
        </w:rPr>
        <w:t>s</w:t>
      </w:r>
      <w:r>
        <w:rPr>
          <w:lang w:val="fr-FR"/>
        </w:rPr>
        <w:t xml:space="preserve"> paragraphe</w:t>
      </w:r>
      <w:r>
        <w:rPr>
          <w:b/>
          <w:bCs/>
          <w:lang w:val="fr-FR"/>
        </w:rPr>
        <w:t>s</w:t>
      </w:r>
      <w:r>
        <w:rPr>
          <w:lang w:val="fr-FR"/>
        </w:rPr>
        <w:t xml:space="preserve"> 2</w:t>
      </w:r>
      <w:r w:rsidR="00510D67" w:rsidRPr="00510D67">
        <w:rPr>
          <w:lang w:val="fr-FR"/>
        </w:rPr>
        <w:t>.</w:t>
      </w:r>
      <w:r>
        <w:rPr>
          <w:lang w:val="fr-FR"/>
        </w:rPr>
        <w:t>3</w:t>
      </w:r>
      <w:r w:rsidR="00510D67" w:rsidRPr="00510D67">
        <w:rPr>
          <w:lang w:val="fr-FR"/>
        </w:rPr>
        <w:t>.</w:t>
      </w:r>
      <w:r>
        <w:rPr>
          <w:lang w:val="fr-FR"/>
        </w:rPr>
        <w:t>1</w:t>
      </w:r>
      <w:r w:rsidR="00510D67" w:rsidRPr="00510D67">
        <w:rPr>
          <w:lang w:val="fr-FR"/>
        </w:rPr>
        <w:t>.</w:t>
      </w:r>
      <w:r>
        <w:rPr>
          <w:lang w:val="fr-FR"/>
        </w:rPr>
        <w:t xml:space="preserve">4 du Règlement type et </w:t>
      </w:r>
      <w:r>
        <w:rPr>
          <w:b/>
          <w:bCs/>
          <w:lang w:val="fr-FR"/>
        </w:rPr>
        <w:t>2</w:t>
      </w:r>
      <w:r w:rsidR="00510D67" w:rsidRPr="00510D67">
        <w:rPr>
          <w:b/>
          <w:bCs/>
          <w:lang w:val="fr-FR"/>
        </w:rPr>
        <w:t>.</w:t>
      </w:r>
      <w:r>
        <w:rPr>
          <w:b/>
          <w:bCs/>
          <w:lang w:val="fr-FR"/>
        </w:rPr>
        <w:t>17</w:t>
      </w:r>
      <w:r w:rsidR="00510D67" w:rsidRPr="00510D67">
        <w:rPr>
          <w:b/>
          <w:bCs/>
          <w:lang w:val="fr-FR"/>
        </w:rPr>
        <w:t>.</w:t>
      </w:r>
      <w:r>
        <w:rPr>
          <w:b/>
          <w:bCs/>
          <w:lang w:val="fr-FR"/>
        </w:rPr>
        <w:t>1</w:t>
      </w:r>
      <w:r w:rsidR="00510D67" w:rsidRPr="00510D67">
        <w:rPr>
          <w:b/>
          <w:bCs/>
          <w:lang w:val="fr-FR"/>
        </w:rPr>
        <w:t>.</w:t>
      </w:r>
      <w:r>
        <w:rPr>
          <w:b/>
          <w:bCs/>
          <w:lang w:val="fr-FR"/>
        </w:rPr>
        <w:t>2 b)</w:t>
      </w:r>
      <w:r>
        <w:rPr>
          <w:lang w:val="fr-FR"/>
        </w:rPr>
        <w:t xml:space="preserve"> du SGH) »</w:t>
      </w:r>
      <w:r w:rsidR="00510D67" w:rsidRPr="00510D67">
        <w:rPr>
          <w:lang w:val="fr-FR"/>
        </w:rPr>
        <w:t>.</w:t>
      </w:r>
      <w:bookmarkStart w:id="4" w:name="_Hlk138777225"/>
    </w:p>
    <w:p w14:paraId="03E19A5C" w14:textId="77777777" w:rsidR="00DB43BF" w:rsidRPr="003D23E7" w:rsidRDefault="00DB43BF" w:rsidP="00DB43BF">
      <w:pPr>
        <w:pStyle w:val="H4G"/>
      </w:pPr>
      <w:r>
        <w:rPr>
          <w:lang w:val="fr-FR"/>
        </w:rPr>
        <w:tab/>
      </w:r>
      <w:r>
        <w:rPr>
          <w:lang w:val="fr-FR"/>
        </w:rPr>
        <w:tab/>
      </w:r>
      <w:r>
        <w:rPr>
          <w:iCs/>
          <w:lang w:val="fr-FR"/>
        </w:rPr>
        <w:t>Correction</w:t>
      </w:r>
    </w:p>
    <w:p w14:paraId="00EB5EEF" w14:textId="49159EB1" w:rsidR="00DB43BF" w:rsidRPr="003D23E7" w:rsidRDefault="00DB43BF" w:rsidP="00DB43BF">
      <w:pPr>
        <w:pStyle w:val="SingleTxtG"/>
      </w:pPr>
      <w:r>
        <w:rPr>
          <w:lang w:val="fr-FR"/>
        </w:rPr>
        <w:t>16</w:t>
      </w:r>
      <w:r w:rsidR="00510D67" w:rsidRPr="00510D67">
        <w:rPr>
          <w:lang w:val="fr-FR"/>
        </w:rPr>
        <w:t>.</w:t>
      </w:r>
      <w:r>
        <w:rPr>
          <w:lang w:val="fr-FR"/>
        </w:rPr>
        <w:tab/>
        <w:t>Au 32</w:t>
      </w:r>
      <w:r w:rsidR="00510D67" w:rsidRPr="00510D67">
        <w:rPr>
          <w:lang w:val="fr-FR"/>
        </w:rPr>
        <w:t>.</w:t>
      </w:r>
      <w:r>
        <w:rPr>
          <w:lang w:val="fr-FR"/>
        </w:rPr>
        <w:t>3</w:t>
      </w:r>
      <w:r w:rsidR="00510D67" w:rsidRPr="00510D67">
        <w:rPr>
          <w:lang w:val="fr-FR"/>
        </w:rPr>
        <w:t>.</w:t>
      </w:r>
      <w:r>
        <w:rPr>
          <w:lang w:val="fr-FR"/>
        </w:rPr>
        <w:t>2</w:t>
      </w:r>
      <w:r w:rsidR="00510D67" w:rsidRPr="00510D67">
        <w:rPr>
          <w:lang w:val="fr-FR"/>
        </w:rPr>
        <w:t>.</w:t>
      </w:r>
      <w:r>
        <w:rPr>
          <w:lang w:val="fr-FR"/>
        </w:rPr>
        <w:t xml:space="preserve">1, </w:t>
      </w:r>
      <w:r>
        <w:rPr>
          <w:i/>
          <w:iCs/>
          <w:lang w:val="fr-FR"/>
        </w:rPr>
        <w:t xml:space="preserve">remplacer </w:t>
      </w:r>
      <w:r>
        <w:rPr>
          <w:lang w:val="fr-FR"/>
        </w:rPr>
        <w:t>« (voir le paragraphe 2</w:t>
      </w:r>
      <w:r w:rsidR="00510D67" w:rsidRPr="00510D67">
        <w:rPr>
          <w:lang w:val="fr-FR"/>
        </w:rPr>
        <w:t>.</w:t>
      </w:r>
      <w:r>
        <w:rPr>
          <w:lang w:val="fr-FR"/>
        </w:rPr>
        <w:t>3</w:t>
      </w:r>
      <w:r w:rsidR="00510D67" w:rsidRPr="00510D67">
        <w:rPr>
          <w:lang w:val="fr-FR"/>
        </w:rPr>
        <w:t>.</w:t>
      </w:r>
      <w:r>
        <w:rPr>
          <w:lang w:val="fr-FR"/>
        </w:rPr>
        <w:t>1</w:t>
      </w:r>
      <w:r w:rsidR="00510D67" w:rsidRPr="00510D67">
        <w:rPr>
          <w:lang w:val="fr-FR"/>
        </w:rPr>
        <w:t>.</w:t>
      </w:r>
      <w:r>
        <w:rPr>
          <w:lang w:val="fr-FR"/>
        </w:rPr>
        <w:t>4 du Règlement type et le Nota 2 au paragraphe 2</w:t>
      </w:r>
      <w:r w:rsidR="00510D67" w:rsidRPr="00510D67">
        <w:rPr>
          <w:lang w:val="fr-FR"/>
        </w:rPr>
        <w:t>.</w:t>
      </w:r>
      <w:r>
        <w:rPr>
          <w:lang w:val="fr-FR"/>
        </w:rPr>
        <w:t>1</w:t>
      </w:r>
      <w:r w:rsidR="00510D67" w:rsidRPr="00510D67">
        <w:rPr>
          <w:lang w:val="fr-FR"/>
        </w:rPr>
        <w:t>.</w:t>
      </w:r>
      <w:r>
        <w:rPr>
          <w:lang w:val="fr-FR"/>
        </w:rPr>
        <w:t xml:space="preserve">1 du SGH) » </w:t>
      </w:r>
      <w:r>
        <w:rPr>
          <w:i/>
          <w:iCs/>
          <w:lang w:val="fr-FR"/>
        </w:rPr>
        <w:t xml:space="preserve">par </w:t>
      </w:r>
      <w:r>
        <w:rPr>
          <w:lang w:val="fr-FR"/>
        </w:rPr>
        <w:t>« (voir les paragraphes 2</w:t>
      </w:r>
      <w:r w:rsidR="00510D67" w:rsidRPr="00510D67">
        <w:rPr>
          <w:lang w:val="fr-FR"/>
        </w:rPr>
        <w:t>.</w:t>
      </w:r>
      <w:r>
        <w:rPr>
          <w:lang w:val="fr-FR"/>
        </w:rPr>
        <w:t>3</w:t>
      </w:r>
      <w:r w:rsidR="00510D67" w:rsidRPr="00510D67">
        <w:rPr>
          <w:lang w:val="fr-FR"/>
        </w:rPr>
        <w:t>.</w:t>
      </w:r>
      <w:r>
        <w:rPr>
          <w:lang w:val="fr-FR"/>
        </w:rPr>
        <w:t>1</w:t>
      </w:r>
      <w:r w:rsidR="00510D67" w:rsidRPr="00510D67">
        <w:rPr>
          <w:lang w:val="fr-FR"/>
        </w:rPr>
        <w:t>.</w:t>
      </w:r>
      <w:r>
        <w:rPr>
          <w:lang w:val="fr-FR"/>
        </w:rPr>
        <w:t>4 du Règlement type et 2</w:t>
      </w:r>
      <w:r w:rsidR="00510D67" w:rsidRPr="00510D67">
        <w:rPr>
          <w:lang w:val="fr-FR"/>
        </w:rPr>
        <w:t>.</w:t>
      </w:r>
      <w:r>
        <w:rPr>
          <w:lang w:val="fr-FR"/>
        </w:rPr>
        <w:t>17</w:t>
      </w:r>
      <w:r w:rsidR="00510D67" w:rsidRPr="00510D67">
        <w:rPr>
          <w:lang w:val="fr-FR"/>
        </w:rPr>
        <w:t>.</w:t>
      </w:r>
      <w:r>
        <w:rPr>
          <w:lang w:val="fr-FR"/>
        </w:rPr>
        <w:t>1</w:t>
      </w:r>
      <w:r w:rsidR="00510D67" w:rsidRPr="00510D67">
        <w:rPr>
          <w:lang w:val="fr-FR"/>
        </w:rPr>
        <w:t>.</w:t>
      </w:r>
      <w:r>
        <w:rPr>
          <w:lang w:val="fr-FR"/>
        </w:rPr>
        <w:t>2 b) du SGH) »</w:t>
      </w:r>
      <w:r w:rsidR="00510D67" w:rsidRPr="00510D67">
        <w:rPr>
          <w:lang w:val="fr-FR"/>
        </w:rPr>
        <w:t>.</w:t>
      </w:r>
    </w:p>
    <w:bookmarkEnd w:id="4"/>
    <w:p w14:paraId="60A59ECA" w14:textId="77777777" w:rsidR="00DB43BF" w:rsidRPr="003D23E7" w:rsidRDefault="00DB43BF" w:rsidP="00DB43BF">
      <w:pPr>
        <w:pStyle w:val="H23G"/>
      </w:pP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Section 33</w:t>
      </w:r>
    </w:p>
    <w:p w14:paraId="4CC98583" w14:textId="1D273F95" w:rsidR="00DB43BF" w:rsidRPr="003D23E7" w:rsidRDefault="00DB43BF" w:rsidP="00DB43BF">
      <w:pPr>
        <w:pStyle w:val="SingleTxtG"/>
      </w:pPr>
      <w:r>
        <w:rPr>
          <w:lang w:val="fr-FR"/>
        </w:rPr>
        <w:t>17</w:t>
      </w:r>
      <w:r w:rsidR="00510D67" w:rsidRPr="00510D67">
        <w:rPr>
          <w:lang w:val="fr-FR"/>
        </w:rPr>
        <w:t>.</w:t>
      </w:r>
      <w:r>
        <w:rPr>
          <w:lang w:val="fr-FR"/>
        </w:rPr>
        <w:tab/>
        <w:t>Au 33</w:t>
      </w:r>
      <w:r w:rsidR="00510D67" w:rsidRPr="00510D67">
        <w:rPr>
          <w:lang w:val="fr-FR"/>
        </w:rPr>
        <w:t>.</w:t>
      </w:r>
      <w:r>
        <w:rPr>
          <w:lang w:val="fr-FR"/>
        </w:rPr>
        <w:t>3</w:t>
      </w:r>
      <w:r w:rsidR="00510D67" w:rsidRPr="00510D67">
        <w:rPr>
          <w:lang w:val="fr-FR"/>
        </w:rPr>
        <w:t>.</w:t>
      </w:r>
      <w:r>
        <w:rPr>
          <w:lang w:val="fr-FR"/>
        </w:rPr>
        <w:t xml:space="preserve">1, la mention « (voir </w:t>
      </w:r>
      <w:r>
        <w:rPr>
          <w:b/>
          <w:bCs/>
          <w:lang w:val="fr-FR"/>
        </w:rPr>
        <w:t>la sous-section 2</w:t>
      </w:r>
      <w:r w:rsidR="00510D67" w:rsidRPr="00510D67">
        <w:rPr>
          <w:b/>
          <w:bCs/>
          <w:lang w:val="fr-FR"/>
        </w:rPr>
        <w:t>.</w:t>
      </w:r>
      <w:r>
        <w:rPr>
          <w:b/>
          <w:bCs/>
          <w:lang w:val="fr-FR"/>
        </w:rPr>
        <w:t>4</w:t>
      </w:r>
      <w:r w:rsidR="00510D67" w:rsidRPr="00510D67">
        <w:rPr>
          <w:b/>
          <w:bCs/>
          <w:lang w:val="fr-FR"/>
        </w:rPr>
        <w:t>.</w:t>
      </w:r>
      <w:r>
        <w:rPr>
          <w:b/>
          <w:bCs/>
          <w:lang w:val="fr-FR"/>
        </w:rPr>
        <w:t>2</w:t>
      </w:r>
      <w:r w:rsidR="00510D67" w:rsidRPr="00510D67">
        <w:rPr>
          <w:b/>
          <w:bCs/>
          <w:lang w:val="fr-FR"/>
        </w:rPr>
        <w:t>.</w:t>
      </w:r>
      <w:r>
        <w:rPr>
          <w:b/>
          <w:bCs/>
          <w:lang w:val="fr-FR"/>
        </w:rPr>
        <w:t>4 du Règlement type et le NOTA</w:t>
      </w:r>
      <w:r>
        <w:rPr>
          <w:b/>
          <w:bCs/>
          <w:lang w:val="fr-FR"/>
        </w:rPr>
        <w:t> </w:t>
      </w:r>
      <w:r>
        <w:rPr>
          <w:b/>
          <w:bCs/>
          <w:lang w:val="fr-FR"/>
        </w:rPr>
        <w:t>2 au 2</w:t>
      </w:r>
      <w:r w:rsidR="00510D67" w:rsidRPr="00510D67">
        <w:rPr>
          <w:b/>
          <w:bCs/>
          <w:lang w:val="fr-FR"/>
        </w:rPr>
        <w:t>.</w:t>
      </w:r>
      <w:r>
        <w:rPr>
          <w:b/>
          <w:bCs/>
          <w:lang w:val="fr-FR"/>
        </w:rPr>
        <w:t>1</w:t>
      </w:r>
      <w:r w:rsidR="00510D67" w:rsidRPr="00510D67">
        <w:rPr>
          <w:b/>
          <w:bCs/>
          <w:lang w:val="fr-FR"/>
        </w:rPr>
        <w:t>.</w:t>
      </w:r>
      <w:r>
        <w:rPr>
          <w:b/>
          <w:bCs/>
          <w:lang w:val="fr-FR"/>
        </w:rPr>
        <w:t>2</w:t>
      </w:r>
      <w:r w:rsidR="00510D67" w:rsidRPr="00510D67">
        <w:rPr>
          <w:b/>
          <w:bCs/>
          <w:lang w:val="fr-FR"/>
        </w:rPr>
        <w:t>.</w:t>
      </w:r>
      <w:r>
        <w:rPr>
          <w:b/>
          <w:bCs/>
          <w:lang w:val="fr-FR"/>
        </w:rPr>
        <w:t xml:space="preserve">2 </w:t>
      </w:r>
      <w:r>
        <w:rPr>
          <w:lang w:val="fr-FR"/>
        </w:rPr>
        <w:t>du SGH) » devrait être corrigée, car l’actuel nota 2 au paragraphe 2</w:t>
      </w:r>
      <w:r w:rsidR="00510D67" w:rsidRPr="00510D67">
        <w:rPr>
          <w:lang w:val="fr-FR"/>
        </w:rPr>
        <w:t>.</w:t>
      </w:r>
      <w:r>
        <w:rPr>
          <w:lang w:val="fr-FR"/>
        </w:rPr>
        <w:t>1</w:t>
      </w:r>
      <w:r w:rsidR="00510D67" w:rsidRPr="00510D67">
        <w:rPr>
          <w:lang w:val="fr-FR"/>
        </w:rPr>
        <w:t>.</w:t>
      </w:r>
      <w:r>
        <w:rPr>
          <w:lang w:val="fr-FR"/>
        </w:rPr>
        <w:t>2</w:t>
      </w:r>
      <w:r w:rsidR="00510D67" w:rsidRPr="00510D67">
        <w:rPr>
          <w:lang w:val="fr-FR"/>
        </w:rPr>
        <w:t>.</w:t>
      </w:r>
      <w:r>
        <w:rPr>
          <w:lang w:val="fr-FR"/>
        </w:rPr>
        <w:t>2 du SGH ne semble pas pertinent</w:t>
      </w:r>
      <w:r w:rsidR="00510D67" w:rsidRPr="00510D67">
        <w:rPr>
          <w:lang w:val="fr-FR"/>
        </w:rPr>
        <w:t>.</w:t>
      </w:r>
      <w:r>
        <w:rPr>
          <w:lang w:val="fr-FR"/>
        </w:rPr>
        <w:t xml:space="preserve"> Il faudrait peut-être qu’elle se lise comme suit : « (voir la sous-section</w:t>
      </w:r>
      <w:r>
        <w:rPr>
          <w:b/>
          <w:bCs/>
          <w:lang w:val="fr-FR"/>
        </w:rPr>
        <w:t xml:space="preserve"> </w:t>
      </w:r>
      <w:r>
        <w:rPr>
          <w:lang w:val="fr-FR"/>
        </w:rPr>
        <w:t>2</w:t>
      </w:r>
      <w:r w:rsidR="00510D67" w:rsidRPr="00510D67">
        <w:rPr>
          <w:lang w:val="fr-FR"/>
        </w:rPr>
        <w:t>.</w:t>
      </w:r>
      <w:r>
        <w:rPr>
          <w:lang w:val="fr-FR"/>
        </w:rPr>
        <w:t>4</w:t>
      </w:r>
      <w:r w:rsidR="00510D67" w:rsidRPr="00510D67">
        <w:rPr>
          <w:lang w:val="fr-FR"/>
        </w:rPr>
        <w:t>.</w:t>
      </w:r>
      <w:r>
        <w:rPr>
          <w:lang w:val="fr-FR"/>
        </w:rPr>
        <w:t>2</w:t>
      </w:r>
      <w:r w:rsidR="00510D67" w:rsidRPr="00510D67">
        <w:rPr>
          <w:lang w:val="fr-FR"/>
        </w:rPr>
        <w:t>.</w:t>
      </w:r>
      <w:r>
        <w:rPr>
          <w:lang w:val="fr-FR"/>
        </w:rPr>
        <w:t xml:space="preserve">4 du Règlement type et le </w:t>
      </w:r>
      <w:r>
        <w:rPr>
          <w:b/>
          <w:bCs/>
          <w:lang w:val="fr-FR"/>
        </w:rPr>
        <w:t>2</w:t>
      </w:r>
      <w:r w:rsidR="00510D67" w:rsidRPr="00510D67">
        <w:rPr>
          <w:b/>
          <w:bCs/>
          <w:lang w:val="fr-FR"/>
        </w:rPr>
        <w:t>.</w:t>
      </w:r>
      <w:r>
        <w:rPr>
          <w:b/>
          <w:bCs/>
          <w:lang w:val="fr-FR"/>
        </w:rPr>
        <w:t>17</w:t>
      </w:r>
      <w:r w:rsidR="00510D67" w:rsidRPr="00510D67">
        <w:rPr>
          <w:b/>
          <w:bCs/>
          <w:lang w:val="fr-FR"/>
        </w:rPr>
        <w:t>.</w:t>
      </w:r>
      <w:r>
        <w:rPr>
          <w:b/>
          <w:bCs/>
          <w:lang w:val="fr-FR"/>
        </w:rPr>
        <w:t>1</w:t>
      </w:r>
      <w:r w:rsidR="00510D67" w:rsidRPr="00510D67">
        <w:rPr>
          <w:b/>
          <w:bCs/>
          <w:lang w:val="fr-FR"/>
        </w:rPr>
        <w:t>.</w:t>
      </w:r>
      <w:r>
        <w:rPr>
          <w:b/>
          <w:bCs/>
          <w:lang w:val="fr-FR"/>
        </w:rPr>
        <w:t>2 a)</w:t>
      </w:r>
      <w:r>
        <w:rPr>
          <w:lang w:val="fr-FR"/>
        </w:rPr>
        <w:t xml:space="preserve"> du SGH) »</w:t>
      </w:r>
      <w:r w:rsidR="00510D67" w:rsidRPr="00510D67">
        <w:rPr>
          <w:lang w:val="fr-FR"/>
        </w:rPr>
        <w:t>.</w:t>
      </w:r>
    </w:p>
    <w:p w14:paraId="6A13DC63" w14:textId="77777777" w:rsidR="00DB43BF" w:rsidRPr="003D23E7" w:rsidRDefault="00DB43BF" w:rsidP="00DB43BF">
      <w:pPr>
        <w:pStyle w:val="H4G"/>
      </w:pPr>
      <w:r>
        <w:rPr>
          <w:lang w:val="fr-FR"/>
        </w:rPr>
        <w:tab/>
      </w:r>
      <w:r>
        <w:rPr>
          <w:lang w:val="fr-FR"/>
        </w:rPr>
        <w:tab/>
      </w:r>
      <w:r>
        <w:rPr>
          <w:iCs/>
          <w:lang w:val="fr-FR"/>
        </w:rPr>
        <w:t>Correction</w:t>
      </w:r>
    </w:p>
    <w:p w14:paraId="16FAAE17" w14:textId="45A4AEAD" w:rsidR="00DB43BF" w:rsidRPr="003D23E7" w:rsidRDefault="00DB43BF" w:rsidP="00DB43BF">
      <w:pPr>
        <w:pStyle w:val="SingleTxtG"/>
      </w:pPr>
      <w:r>
        <w:rPr>
          <w:lang w:val="fr-FR"/>
        </w:rPr>
        <w:t>18</w:t>
      </w:r>
      <w:r w:rsidR="00510D67" w:rsidRPr="00510D67">
        <w:rPr>
          <w:lang w:val="fr-FR"/>
        </w:rPr>
        <w:t>.</w:t>
      </w:r>
      <w:r>
        <w:rPr>
          <w:lang w:val="fr-FR"/>
        </w:rPr>
        <w:tab/>
        <w:t>Au 33</w:t>
      </w:r>
      <w:r w:rsidR="00510D67" w:rsidRPr="00510D67">
        <w:rPr>
          <w:lang w:val="fr-FR"/>
        </w:rPr>
        <w:t>.</w:t>
      </w:r>
      <w:r>
        <w:rPr>
          <w:lang w:val="fr-FR"/>
        </w:rPr>
        <w:t>3</w:t>
      </w:r>
      <w:r w:rsidR="00510D67" w:rsidRPr="00510D67">
        <w:rPr>
          <w:lang w:val="fr-FR"/>
        </w:rPr>
        <w:t>.</w:t>
      </w:r>
      <w:r>
        <w:rPr>
          <w:lang w:val="fr-FR"/>
        </w:rPr>
        <w:t xml:space="preserve">1, </w:t>
      </w:r>
      <w:r>
        <w:rPr>
          <w:i/>
          <w:iCs/>
          <w:lang w:val="fr-FR"/>
        </w:rPr>
        <w:t xml:space="preserve">remplacer </w:t>
      </w:r>
      <w:r>
        <w:rPr>
          <w:lang w:val="fr-FR"/>
        </w:rPr>
        <w:t>« et le nota 2 au 2</w:t>
      </w:r>
      <w:r w:rsidR="00510D67" w:rsidRPr="00510D67">
        <w:rPr>
          <w:lang w:val="fr-FR"/>
        </w:rPr>
        <w:t>.</w:t>
      </w:r>
      <w:r>
        <w:rPr>
          <w:lang w:val="fr-FR"/>
        </w:rPr>
        <w:t>1</w:t>
      </w:r>
      <w:r w:rsidR="00510D67" w:rsidRPr="00510D67">
        <w:rPr>
          <w:lang w:val="fr-FR"/>
        </w:rPr>
        <w:t>.</w:t>
      </w:r>
      <w:r>
        <w:rPr>
          <w:lang w:val="fr-FR"/>
        </w:rPr>
        <w:t>2</w:t>
      </w:r>
      <w:r w:rsidR="00510D67" w:rsidRPr="00510D67">
        <w:rPr>
          <w:lang w:val="fr-FR"/>
        </w:rPr>
        <w:t>.</w:t>
      </w:r>
      <w:r>
        <w:rPr>
          <w:lang w:val="fr-FR"/>
        </w:rPr>
        <w:t xml:space="preserve">2 du SGH » </w:t>
      </w:r>
      <w:r>
        <w:rPr>
          <w:i/>
          <w:iCs/>
          <w:lang w:val="fr-FR"/>
        </w:rPr>
        <w:t xml:space="preserve">par </w:t>
      </w:r>
      <w:r>
        <w:rPr>
          <w:lang w:val="fr-FR"/>
        </w:rPr>
        <w:t>« et le 2</w:t>
      </w:r>
      <w:r w:rsidR="00510D67" w:rsidRPr="00510D67">
        <w:rPr>
          <w:lang w:val="fr-FR"/>
        </w:rPr>
        <w:t>.</w:t>
      </w:r>
      <w:r>
        <w:rPr>
          <w:lang w:val="fr-FR"/>
        </w:rPr>
        <w:t>17</w:t>
      </w:r>
      <w:r w:rsidR="00510D67" w:rsidRPr="00510D67">
        <w:rPr>
          <w:lang w:val="fr-FR"/>
        </w:rPr>
        <w:t>.</w:t>
      </w:r>
      <w:r>
        <w:rPr>
          <w:lang w:val="fr-FR"/>
        </w:rPr>
        <w:t>1</w:t>
      </w:r>
      <w:r w:rsidR="00510D67" w:rsidRPr="00510D67">
        <w:rPr>
          <w:lang w:val="fr-FR"/>
        </w:rPr>
        <w:t>.</w:t>
      </w:r>
      <w:r>
        <w:rPr>
          <w:lang w:val="fr-FR"/>
        </w:rPr>
        <w:t>2 a) du SGH »</w:t>
      </w:r>
      <w:r w:rsidR="00510D67" w:rsidRPr="00510D67">
        <w:rPr>
          <w:lang w:val="fr-FR"/>
        </w:rPr>
        <w:t>.</w:t>
      </w:r>
    </w:p>
    <w:p w14:paraId="29F55FF4" w14:textId="4E020202" w:rsidR="00DB43BF" w:rsidRPr="003D23E7" w:rsidRDefault="00DB43BF" w:rsidP="00DB43BF">
      <w:pPr>
        <w:pStyle w:val="HChG"/>
      </w:pPr>
      <w:r>
        <w:rPr>
          <w:lang w:val="fr-FR"/>
        </w:rPr>
        <w:tab/>
      </w:r>
      <w:r>
        <w:rPr>
          <w:lang w:val="fr-FR"/>
        </w:rPr>
        <w:t>III</w:t>
      </w:r>
      <w:r w:rsidR="00510D67" w:rsidRPr="00510D67">
        <w:rPr>
          <w:lang w:val="fr-FR"/>
        </w:rPr>
        <w:t>.</w:t>
      </w:r>
      <w:r>
        <w:rPr>
          <w:lang w:val="fr-FR"/>
        </w:rPr>
        <w:tab/>
        <w:t xml:space="preserve">Proposition de modification rédactionnelle dans le Manuel d’épreuves et de critères </w:t>
      </w:r>
    </w:p>
    <w:p w14:paraId="456EE4F0" w14:textId="77777777" w:rsidR="00DB43BF" w:rsidRPr="003D23E7" w:rsidRDefault="00DB43BF" w:rsidP="00DB43BF">
      <w:pPr>
        <w:pStyle w:val="H1G"/>
      </w:pP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Mention des épreuves d’amorçage de la détonation de l’ONU</w:t>
      </w:r>
      <w:r>
        <w:rPr>
          <w:lang w:val="fr-FR"/>
        </w:rPr>
        <w:t xml:space="preserve"> </w:t>
      </w:r>
    </w:p>
    <w:p w14:paraId="4A51A819" w14:textId="198A0425" w:rsidR="00DB43BF" w:rsidRPr="003D23E7" w:rsidRDefault="00DB43BF" w:rsidP="00DB43BF">
      <w:pPr>
        <w:pStyle w:val="SingleTxtG"/>
      </w:pPr>
      <w:r>
        <w:rPr>
          <w:lang w:val="fr-FR"/>
        </w:rPr>
        <w:t>19</w:t>
      </w:r>
      <w:r w:rsidR="00510D67" w:rsidRPr="00510D67">
        <w:rPr>
          <w:lang w:val="fr-FR"/>
        </w:rPr>
        <w:t>.</w:t>
      </w:r>
      <w:r>
        <w:rPr>
          <w:lang w:val="fr-FR"/>
        </w:rPr>
        <w:tab/>
        <w:t>Le Manuel d’épreuves et de critères décrit trois épreuves d’amorçage de la détonation de l’ONU :</w:t>
      </w:r>
    </w:p>
    <w:p w14:paraId="39AAA9EA" w14:textId="664CE97D" w:rsidR="00DB43BF" w:rsidRPr="003D23E7" w:rsidRDefault="00DB43BF" w:rsidP="00DB43BF">
      <w:pPr>
        <w:pStyle w:val="SingleTxtG"/>
        <w:numPr>
          <w:ilvl w:val="0"/>
          <w:numId w:val="19"/>
        </w:numPr>
        <w:suppressAutoHyphens w:val="0"/>
        <w:kinsoku/>
        <w:overflowPunct/>
        <w:autoSpaceDE/>
        <w:autoSpaceDN/>
        <w:adjustRightInd/>
        <w:snapToGrid/>
      </w:pPr>
      <w:r>
        <w:rPr>
          <w:lang w:val="fr-FR"/>
        </w:rPr>
        <w:t>Épreuve du type 1 a) (sect</w:t>
      </w:r>
      <w:r>
        <w:rPr>
          <w:lang w:val="fr-FR"/>
        </w:rPr>
        <w:t>. </w:t>
      </w:r>
      <w:r>
        <w:rPr>
          <w:lang w:val="fr-FR"/>
        </w:rPr>
        <w:t>11) ;</w:t>
      </w:r>
    </w:p>
    <w:p w14:paraId="63453FE3" w14:textId="3351C0E4" w:rsidR="00DB43BF" w:rsidRPr="003D23E7" w:rsidRDefault="00DB43BF" w:rsidP="00DB43BF">
      <w:pPr>
        <w:pStyle w:val="SingleTxtG"/>
        <w:numPr>
          <w:ilvl w:val="0"/>
          <w:numId w:val="19"/>
        </w:numPr>
        <w:suppressAutoHyphens w:val="0"/>
        <w:kinsoku/>
        <w:overflowPunct/>
        <w:autoSpaceDE/>
        <w:autoSpaceDN/>
        <w:adjustRightInd/>
        <w:snapToGrid/>
      </w:pPr>
      <w:r>
        <w:rPr>
          <w:lang w:val="fr-FR"/>
        </w:rPr>
        <w:t>Épreuve du type 2 a) (sect</w:t>
      </w:r>
      <w:r>
        <w:rPr>
          <w:lang w:val="fr-FR"/>
        </w:rPr>
        <w:t>. </w:t>
      </w:r>
      <w:r>
        <w:rPr>
          <w:lang w:val="fr-FR"/>
        </w:rPr>
        <w:t>12) ;</w:t>
      </w:r>
    </w:p>
    <w:p w14:paraId="72B0C50C" w14:textId="58BB4075" w:rsidR="00DB43BF" w:rsidRDefault="00DB43BF" w:rsidP="00DB43BF">
      <w:pPr>
        <w:pStyle w:val="SingleTxtG"/>
        <w:numPr>
          <w:ilvl w:val="0"/>
          <w:numId w:val="19"/>
        </w:numPr>
        <w:suppressAutoHyphens w:val="0"/>
        <w:kinsoku/>
        <w:overflowPunct/>
        <w:autoSpaceDE/>
        <w:autoSpaceDN/>
        <w:adjustRightInd/>
        <w:snapToGrid/>
      </w:pPr>
      <w:r>
        <w:rPr>
          <w:lang w:val="fr-FR"/>
        </w:rPr>
        <w:t>Épreuve A</w:t>
      </w:r>
      <w:r w:rsidR="00510D67" w:rsidRPr="00510D67">
        <w:rPr>
          <w:lang w:val="fr-FR"/>
        </w:rPr>
        <w:t>.</w:t>
      </w:r>
      <w:r>
        <w:rPr>
          <w:lang w:val="fr-FR"/>
        </w:rPr>
        <w:t>5 (sect</w:t>
      </w:r>
      <w:r>
        <w:rPr>
          <w:lang w:val="fr-FR"/>
        </w:rPr>
        <w:t>. </w:t>
      </w:r>
      <w:r>
        <w:rPr>
          <w:lang w:val="fr-FR"/>
        </w:rPr>
        <w:t>21)</w:t>
      </w:r>
      <w:r w:rsidR="00510D67" w:rsidRPr="00510D67">
        <w:rPr>
          <w:lang w:val="fr-FR"/>
        </w:rPr>
        <w:t>.</w:t>
      </w:r>
    </w:p>
    <w:p w14:paraId="0284588C" w14:textId="41E8E6B4" w:rsidR="00DB43BF" w:rsidRPr="003D23E7" w:rsidRDefault="00DB43BF" w:rsidP="00DB43BF">
      <w:pPr>
        <w:pStyle w:val="SingleTxtG"/>
      </w:pPr>
      <w:r>
        <w:rPr>
          <w:lang w:val="fr-FR"/>
        </w:rPr>
        <w:t>20</w:t>
      </w:r>
      <w:r w:rsidR="00510D67" w:rsidRPr="00510D67">
        <w:rPr>
          <w:lang w:val="fr-FR"/>
        </w:rPr>
        <w:t>.</w:t>
      </w:r>
      <w:r>
        <w:rPr>
          <w:lang w:val="fr-FR"/>
        </w:rPr>
        <w:tab/>
        <w:t>Chacune de ces trois épreuves a un mode opératoire, une conception et des critères différents</w:t>
      </w:r>
      <w:r w:rsidR="00510D67" w:rsidRPr="00510D67">
        <w:rPr>
          <w:lang w:val="fr-FR"/>
        </w:rPr>
        <w:t>.</w:t>
      </w:r>
      <w:r>
        <w:rPr>
          <w:lang w:val="fr-FR"/>
        </w:rPr>
        <w:t xml:space="preserve"> D’après l’AEISG, il faudrait pouvoir distinguer ces épreuves </w:t>
      </w:r>
      <w:r>
        <w:rPr>
          <w:lang w:val="fr-FR"/>
        </w:rPr>
        <w:t>−</w:t>
      </w:r>
      <w:r>
        <w:rPr>
          <w:lang w:val="fr-FR"/>
        </w:rPr>
        <w:t xml:space="preserve"> peut-être au moyen d’un simple ajout (épreuve 1 d’amorçage de la détonation de l’ONU, épreuve 2 d’amorçage de la détonation de l’ONU et épreuve A</w:t>
      </w:r>
      <w:r w:rsidR="00510D67" w:rsidRPr="00510D67">
        <w:rPr>
          <w:lang w:val="fr-FR"/>
        </w:rPr>
        <w:t>.</w:t>
      </w:r>
      <w:r>
        <w:rPr>
          <w:lang w:val="fr-FR"/>
        </w:rPr>
        <w:t xml:space="preserve">5 d’amorçage de la détonation de l’ONU, par exemple) </w:t>
      </w:r>
      <w:r>
        <w:rPr>
          <w:lang w:val="fr-FR"/>
        </w:rPr>
        <w:t>−</w:t>
      </w:r>
      <w:r>
        <w:rPr>
          <w:lang w:val="fr-FR"/>
        </w:rPr>
        <w:t xml:space="preserve"> pour éviter les risques de confusion</w:t>
      </w:r>
      <w:r w:rsidR="00510D67" w:rsidRPr="00510D67">
        <w:rPr>
          <w:lang w:val="fr-FR"/>
        </w:rPr>
        <w:t>.</w:t>
      </w:r>
      <w:r>
        <w:rPr>
          <w:lang w:val="fr-FR"/>
        </w:rPr>
        <w:t xml:space="preserve"> </w:t>
      </w:r>
    </w:p>
    <w:p w14:paraId="2A4597A7" w14:textId="77777777" w:rsidR="00DB43BF" w:rsidRPr="003D23E7" w:rsidRDefault="00DB43BF" w:rsidP="00DB43BF">
      <w:pPr>
        <w:pStyle w:val="H4G"/>
      </w:pPr>
      <w:r>
        <w:rPr>
          <w:lang w:val="fr-FR"/>
        </w:rPr>
        <w:tab/>
      </w:r>
      <w:r>
        <w:rPr>
          <w:lang w:val="fr-FR"/>
        </w:rPr>
        <w:tab/>
      </w:r>
      <w:r>
        <w:rPr>
          <w:iCs/>
          <w:lang w:val="fr-FR"/>
        </w:rPr>
        <w:t>Proposition</w:t>
      </w:r>
    </w:p>
    <w:p w14:paraId="4AD79C44" w14:textId="2C3F54FB" w:rsidR="00DB43BF" w:rsidRPr="003D23E7" w:rsidRDefault="00DB43BF" w:rsidP="00DB43BF">
      <w:pPr>
        <w:pStyle w:val="SingleTxtG"/>
      </w:pPr>
      <w:r>
        <w:rPr>
          <w:lang w:val="fr-FR"/>
        </w:rPr>
        <w:t>21</w:t>
      </w:r>
      <w:r w:rsidR="00510D67" w:rsidRPr="00510D67">
        <w:rPr>
          <w:lang w:val="fr-FR"/>
        </w:rPr>
        <w:t>.</w:t>
      </w:r>
      <w:r>
        <w:rPr>
          <w:lang w:val="fr-FR"/>
        </w:rPr>
        <w:tab/>
        <w:t>Modifier les mentions existantes de l’épreuve d’amorçage de la détonation de l’ONU, comme suit :</w:t>
      </w:r>
    </w:p>
    <w:p w14:paraId="4C92A8D4" w14:textId="77777777" w:rsidR="00DB43BF" w:rsidRDefault="00DB43BF" w:rsidP="00DB43BF">
      <w:pPr>
        <w:pStyle w:val="Bullet1G"/>
        <w:numPr>
          <w:ilvl w:val="0"/>
          <w:numId w:val="17"/>
        </w:numPr>
        <w:kinsoku/>
        <w:overflowPunct/>
        <w:autoSpaceDE/>
        <w:autoSpaceDN/>
        <w:adjustRightInd/>
        <w:snapToGrid/>
      </w:pPr>
      <w:r>
        <w:rPr>
          <w:lang w:val="fr-FR"/>
        </w:rPr>
        <w:t>À la section 11 :</w:t>
      </w:r>
    </w:p>
    <w:p w14:paraId="3163BBD6" w14:textId="21013270" w:rsidR="00DB43BF" w:rsidRPr="003D23E7" w:rsidRDefault="00DB43BF" w:rsidP="00DB43BF">
      <w:pPr>
        <w:pStyle w:val="Bullet2G"/>
        <w:numPr>
          <w:ilvl w:val="0"/>
          <w:numId w:val="18"/>
        </w:numPr>
        <w:kinsoku/>
        <w:overflowPunct/>
        <w:autoSpaceDE/>
        <w:autoSpaceDN/>
        <w:adjustRightInd/>
        <w:snapToGrid/>
      </w:pPr>
      <w:r>
        <w:rPr>
          <w:lang w:val="fr-FR"/>
        </w:rPr>
        <w:t>Tableau 11</w:t>
      </w:r>
      <w:r w:rsidR="00510D67" w:rsidRPr="00510D67">
        <w:rPr>
          <w:lang w:val="fr-FR"/>
        </w:rPr>
        <w:t>.</w:t>
      </w:r>
      <w:r>
        <w:rPr>
          <w:lang w:val="fr-FR"/>
        </w:rPr>
        <w:t>1, colonne « Nom de l’épreuve », remplacer « Épreuve d’amorçage de la détonation de l’ONU » par « Épreuve 1 d’amorçage de la détonation de l’ONU » ;</w:t>
      </w:r>
    </w:p>
    <w:p w14:paraId="5A29CD05" w14:textId="2261AE3E" w:rsidR="00DB43BF" w:rsidRPr="003D23E7" w:rsidRDefault="00DB43BF" w:rsidP="00DB43BF">
      <w:pPr>
        <w:pStyle w:val="Bullet2G"/>
        <w:numPr>
          <w:ilvl w:val="0"/>
          <w:numId w:val="18"/>
        </w:numPr>
        <w:kinsoku/>
        <w:overflowPunct/>
        <w:autoSpaceDE/>
        <w:autoSpaceDN/>
        <w:adjustRightInd/>
        <w:snapToGrid/>
      </w:pPr>
      <w:r>
        <w:rPr>
          <w:lang w:val="fr-FR"/>
        </w:rPr>
        <w:t>11</w:t>
      </w:r>
      <w:r w:rsidR="00510D67" w:rsidRPr="00510D67">
        <w:rPr>
          <w:lang w:val="fr-FR"/>
        </w:rPr>
        <w:t>.</w:t>
      </w:r>
      <w:r>
        <w:rPr>
          <w:lang w:val="fr-FR"/>
        </w:rPr>
        <w:t>4</w:t>
      </w:r>
      <w:r w:rsidR="00510D67" w:rsidRPr="00510D67">
        <w:rPr>
          <w:lang w:val="fr-FR"/>
        </w:rPr>
        <w:t>.</w:t>
      </w:r>
      <w:r>
        <w:rPr>
          <w:lang w:val="fr-FR"/>
        </w:rPr>
        <w:t>1, titre, remplacer « </w:t>
      </w:r>
      <w:r>
        <w:rPr>
          <w:b/>
          <w:bCs/>
          <w:i/>
          <w:iCs/>
          <w:lang w:val="fr-FR"/>
        </w:rPr>
        <w:t>Épreuve d’amorçage de la détonation de l’ONU</w:t>
      </w:r>
      <w:r>
        <w:rPr>
          <w:lang w:val="fr-FR"/>
        </w:rPr>
        <w:t> »</w:t>
      </w:r>
      <w:r>
        <w:rPr>
          <w:lang w:val="fr-FR"/>
        </w:rPr>
        <w:t xml:space="preserve"> par </w:t>
      </w:r>
      <w:r>
        <w:rPr>
          <w:lang w:val="fr-FR"/>
        </w:rPr>
        <w:t>« </w:t>
      </w:r>
      <w:r>
        <w:rPr>
          <w:b/>
          <w:bCs/>
          <w:i/>
          <w:iCs/>
          <w:lang w:val="fr-FR"/>
        </w:rPr>
        <w:t>Épreuve 1 d’amorçage de la détonation de l’ONU</w:t>
      </w:r>
      <w:r>
        <w:rPr>
          <w:lang w:val="fr-FR"/>
        </w:rPr>
        <w:t> » ;</w:t>
      </w:r>
    </w:p>
    <w:p w14:paraId="10AB0F36" w14:textId="774EDDC9" w:rsidR="00DB43BF" w:rsidRPr="003D23E7" w:rsidRDefault="00DB43BF" w:rsidP="00DB43BF">
      <w:pPr>
        <w:pStyle w:val="Bullet2G"/>
        <w:numPr>
          <w:ilvl w:val="0"/>
          <w:numId w:val="18"/>
        </w:numPr>
        <w:kinsoku/>
        <w:overflowPunct/>
        <w:autoSpaceDE/>
        <w:autoSpaceDN/>
        <w:adjustRightInd/>
        <w:snapToGrid/>
      </w:pPr>
      <w:r>
        <w:rPr>
          <w:lang w:val="fr-FR"/>
        </w:rPr>
        <w:lastRenderedPageBreak/>
        <w:t>Figure 11</w:t>
      </w:r>
      <w:r w:rsidR="00510D67" w:rsidRPr="00510D67">
        <w:rPr>
          <w:lang w:val="fr-FR"/>
        </w:rPr>
        <w:t>.</w:t>
      </w:r>
      <w:r>
        <w:rPr>
          <w:lang w:val="fr-FR"/>
        </w:rPr>
        <w:t>4</w:t>
      </w:r>
      <w:r w:rsidR="00510D67" w:rsidRPr="00510D67">
        <w:rPr>
          <w:lang w:val="fr-FR"/>
        </w:rPr>
        <w:t>.</w:t>
      </w:r>
      <w:r>
        <w:rPr>
          <w:lang w:val="fr-FR"/>
        </w:rPr>
        <w:t>1</w:t>
      </w:r>
      <w:r w:rsidR="00510D67" w:rsidRPr="00510D67">
        <w:rPr>
          <w:lang w:val="fr-FR"/>
        </w:rPr>
        <w:t>.</w:t>
      </w:r>
      <w:r>
        <w:rPr>
          <w:lang w:val="fr-FR"/>
        </w:rPr>
        <w:t>1, titre, remplacer « </w:t>
      </w:r>
      <w:r>
        <w:rPr>
          <w:b/>
          <w:bCs/>
          <w:lang w:val="fr-FR"/>
        </w:rPr>
        <w:t>Épreuve d’amorçage de la détonation de l’ONU </w:t>
      </w:r>
      <w:r w:rsidRPr="00510D67">
        <w:rPr>
          <w:lang w:val="fr-FR"/>
        </w:rPr>
        <w:t>»</w:t>
      </w:r>
      <w:r>
        <w:rPr>
          <w:lang w:val="fr-FR"/>
        </w:rPr>
        <w:t xml:space="preserve"> par « </w:t>
      </w:r>
      <w:r>
        <w:rPr>
          <w:b/>
          <w:bCs/>
          <w:lang w:val="fr-FR"/>
        </w:rPr>
        <w:t>Épreuve 1 d’amorçage de la détonation de l’ONU </w:t>
      </w:r>
      <w:r w:rsidRPr="00510D67">
        <w:rPr>
          <w:lang w:val="fr-FR"/>
        </w:rPr>
        <w:t>»</w:t>
      </w:r>
      <w:r w:rsidR="00510D67" w:rsidRPr="00510D67">
        <w:rPr>
          <w:lang w:val="fr-FR"/>
        </w:rPr>
        <w:t>.</w:t>
      </w:r>
    </w:p>
    <w:p w14:paraId="0D734EA8" w14:textId="77777777" w:rsidR="00DB43BF" w:rsidRDefault="00DB43BF" w:rsidP="00DB43BF">
      <w:pPr>
        <w:pStyle w:val="Bullet1G"/>
        <w:numPr>
          <w:ilvl w:val="0"/>
          <w:numId w:val="17"/>
        </w:numPr>
        <w:kinsoku/>
        <w:overflowPunct/>
        <w:autoSpaceDE/>
        <w:autoSpaceDN/>
        <w:adjustRightInd/>
        <w:snapToGrid/>
      </w:pPr>
      <w:r>
        <w:rPr>
          <w:lang w:val="fr-FR"/>
        </w:rPr>
        <w:t>À la section 12 :</w:t>
      </w:r>
    </w:p>
    <w:p w14:paraId="1B9D33D0" w14:textId="2A627963" w:rsidR="00DB43BF" w:rsidRPr="003D23E7" w:rsidRDefault="00DB43BF" w:rsidP="00DB43BF">
      <w:pPr>
        <w:pStyle w:val="Bullet2G"/>
        <w:numPr>
          <w:ilvl w:val="0"/>
          <w:numId w:val="18"/>
        </w:numPr>
        <w:kinsoku/>
        <w:overflowPunct/>
        <w:autoSpaceDE/>
        <w:autoSpaceDN/>
        <w:adjustRightInd/>
        <w:snapToGrid/>
      </w:pPr>
      <w:r>
        <w:rPr>
          <w:lang w:val="fr-FR"/>
        </w:rPr>
        <w:t>Tableau 12</w:t>
      </w:r>
      <w:r w:rsidR="00510D67" w:rsidRPr="00510D67">
        <w:rPr>
          <w:lang w:val="fr-FR"/>
        </w:rPr>
        <w:t>.</w:t>
      </w:r>
      <w:r>
        <w:rPr>
          <w:lang w:val="fr-FR"/>
        </w:rPr>
        <w:t>1, colonne « Nom de l’épreuve », remplacer « Épreuve d’amorçage de la détonation de l’ONU » par « Épreuve 2 d’amorçage de la détonation de l’ONU » ;</w:t>
      </w:r>
    </w:p>
    <w:p w14:paraId="78D96F8D" w14:textId="762B84D2" w:rsidR="00DB43BF" w:rsidRPr="003D23E7" w:rsidRDefault="00DB43BF" w:rsidP="00DB43BF">
      <w:pPr>
        <w:pStyle w:val="Bullet2G"/>
        <w:numPr>
          <w:ilvl w:val="0"/>
          <w:numId w:val="18"/>
        </w:numPr>
        <w:kinsoku/>
        <w:overflowPunct/>
        <w:autoSpaceDE/>
        <w:autoSpaceDN/>
        <w:adjustRightInd/>
        <w:snapToGrid/>
      </w:pPr>
      <w:r>
        <w:rPr>
          <w:lang w:val="fr-FR"/>
        </w:rPr>
        <w:t>12</w:t>
      </w:r>
      <w:r w:rsidR="00510D67" w:rsidRPr="00510D67">
        <w:rPr>
          <w:lang w:val="fr-FR"/>
        </w:rPr>
        <w:t>.</w:t>
      </w:r>
      <w:r>
        <w:rPr>
          <w:lang w:val="fr-FR"/>
        </w:rPr>
        <w:t>4</w:t>
      </w:r>
      <w:r w:rsidR="00510D67" w:rsidRPr="00510D67">
        <w:rPr>
          <w:lang w:val="fr-FR"/>
        </w:rPr>
        <w:t>.</w:t>
      </w:r>
      <w:r>
        <w:rPr>
          <w:lang w:val="fr-FR"/>
        </w:rPr>
        <w:t>1, titre, remplacer « </w:t>
      </w:r>
      <w:r>
        <w:rPr>
          <w:b/>
          <w:bCs/>
          <w:i/>
          <w:iCs/>
          <w:lang w:val="fr-FR"/>
        </w:rPr>
        <w:t>Épreuve d’amorçage de la détonation de l’ONU</w:t>
      </w:r>
      <w:r>
        <w:rPr>
          <w:lang w:val="fr-FR"/>
        </w:rPr>
        <w:t> » par « </w:t>
      </w:r>
      <w:r>
        <w:rPr>
          <w:b/>
          <w:bCs/>
          <w:i/>
          <w:iCs/>
          <w:lang w:val="fr-FR"/>
        </w:rPr>
        <w:t>Épreuve 2 d’amorçage de la détonation de l’ONU</w:t>
      </w:r>
      <w:r>
        <w:rPr>
          <w:lang w:val="fr-FR"/>
        </w:rPr>
        <w:t> » ;</w:t>
      </w:r>
    </w:p>
    <w:p w14:paraId="48996EE1" w14:textId="70D2398C" w:rsidR="00DB43BF" w:rsidRPr="003D23E7" w:rsidRDefault="00DB43BF" w:rsidP="00DB43BF">
      <w:pPr>
        <w:pStyle w:val="Bullet2G"/>
        <w:numPr>
          <w:ilvl w:val="0"/>
          <w:numId w:val="18"/>
        </w:numPr>
        <w:kinsoku/>
        <w:overflowPunct/>
        <w:autoSpaceDE/>
        <w:autoSpaceDN/>
        <w:adjustRightInd/>
        <w:snapToGrid/>
      </w:pPr>
      <w:r>
        <w:rPr>
          <w:lang w:val="fr-FR"/>
        </w:rPr>
        <w:t>Figure 12</w:t>
      </w:r>
      <w:r w:rsidR="00510D67" w:rsidRPr="00510D67">
        <w:rPr>
          <w:lang w:val="fr-FR"/>
        </w:rPr>
        <w:t>.</w:t>
      </w:r>
      <w:r>
        <w:rPr>
          <w:lang w:val="fr-FR"/>
        </w:rPr>
        <w:t>4</w:t>
      </w:r>
      <w:r w:rsidR="00510D67" w:rsidRPr="00510D67">
        <w:rPr>
          <w:lang w:val="fr-FR"/>
        </w:rPr>
        <w:t>.</w:t>
      </w:r>
      <w:r>
        <w:rPr>
          <w:lang w:val="fr-FR"/>
        </w:rPr>
        <w:t>1</w:t>
      </w:r>
      <w:r w:rsidR="00510D67" w:rsidRPr="00510D67">
        <w:rPr>
          <w:lang w:val="fr-FR"/>
        </w:rPr>
        <w:t>.</w:t>
      </w:r>
      <w:r>
        <w:rPr>
          <w:lang w:val="fr-FR"/>
        </w:rPr>
        <w:t>1, titre, remplacer « </w:t>
      </w:r>
      <w:r>
        <w:rPr>
          <w:b/>
          <w:bCs/>
          <w:lang w:val="fr-FR"/>
        </w:rPr>
        <w:t>Épreuve d’amorçage de la détonation de l’ONU</w:t>
      </w:r>
      <w:r>
        <w:rPr>
          <w:lang w:val="fr-FR"/>
        </w:rPr>
        <w:t> » par « </w:t>
      </w:r>
      <w:r>
        <w:rPr>
          <w:b/>
          <w:bCs/>
          <w:lang w:val="fr-FR"/>
        </w:rPr>
        <w:t>Épreuve 2 d’amorçage de la détonation de l’ONU</w:t>
      </w:r>
      <w:r>
        <w:rPr>
          <w:lang w:val="fr-FR"/>
        </w:rPr>
        <w:t> »</w:t>
      </w:r>
      <w:r w:rsidR="00510D67" w:rsidRPr="00510D67">
        <w:rPr>
          <w:lang w:val="fr-FR"/>
        </w:rPr>
        <w:t>.</w:t>
      </w:r>
    </w:p>
    <w:p w14:paraId="413F94EA" w14:textId="77777777" w:rsidR="00DB43BF" w:rsidRDefault="00DB43BF" w:rsidP="00DB43BF">
      <w:pPr>
        <w:pStyle w:val="Bullet1G"/>
        <w:numPr>
          <w:ilvl w:val="0"/>
          <w:numId w:val="17"/>
        </w:numPr>
        <w:kinsoku/>
        <w:overflowPunct/>
        <w:autoSpaceDE/>
        <w:autoSpaceDN/>
        <w:adjustRightInd/>
        <w:snapToGrid/>
      </w:pPr>
      <w:r>
        <w:rPr>
          <w:lang w:val="fr-FR"/>
        </w:rPr>
        <w:t>À la section 21 :</w:t>
      </w:r>
    </w:p>
    <w:p w14:paraId="3F40B36B" w14:textId="5CB4A270" w:rsidR="00DB43BF" w:rsidRPr="003D23E7" w:rsidRDefault="00DB43BF" w:rsidP="00DB43BF">
      <w:pPr>
        <w:pStyle w:val="Bullet2G"/>
        <w:numPr>
          <w:ilvl w:val="0"/>
          <w:numId w:val="18"/>
        </w:numPr>
        <w:kinsoku/>
        <w:overflowPunct/>
        <w:autoSpaceDE/>
        <w:autoSpaceDN/>
        <w:adjustRightInd/>
        <w:snapToGrid/>
      </w:pPr>
      <w:r>
        <w:rPr>
          <w:lang w:val="fr-FR"/>
        </w:rPr>
        <w:t>Tableau 21</w:t>
      </w:r>
      <w:r w:rsidR="00510D67" w:rsidRPr="00510D67">
        <w:rPr>
          <w:lang w:val="fr-FR"/>
        </w:rPr>
        <w:t>.</w:t>
      </w:r>
      <w:r>
        <w:rPr>
          <w:lang w:val="fr-FR"/>
        </w:rPr>
        <w:t>1, colonne « Nom de l’épreuve », remplacer « Épreuve d’amorçage de la détonation de l’ONU » par « Épreuve A</w:t>
      </w:r>
      <w:r w:rsidR="00510D67" w:rsidRPr="00510D67">
        <w:rPr>
          <w:lang w:val="fr-FR"/>
        </w:rPr>
        <w:t>.</w:t>
      </w:r>
      <w:r>
        <w:rPr>
          <w:lang w:val="fr-FR"/>
        </w:rPr>
        <w:t>5 d’amorçage de la détonation de l’ONU » ;</w:t>
      </w:r>
    </w:p>
    <w:p w14:paraId="302FE49E" w14:textId="3D6646F4" w:rsidR="00DB43BF" w:rsidRPr="003D23E7" w:rsidRDefault="00DB43BF" w:rsidP="00DB43BF">
      <w:pPr>
        <w:pStyle w:val="Bullet2G"/>
        <w:numPr>
          <w:ilvl w:val="0"/>
          <w:numId w:val="18"/>
        </w:numPr>
        <w:kinsoku/>
        <w:overflowPunct/>
        <w:autoSpaceDE/>
        <w:autoSpaceDN/>
        <w:adjustRightInd/>
        <w:snapToGrid/>
      </w:pPr>
      <w:r>
        <w:rPr>
          <w:lang w:val="fr-FR"/>
        </w:rPr>
        <w:t>21</w:t>
      </w:r>
      <w:r w:rsidR="00510D67" w:rsidRPr="00510D67">
        <w:rPr>
          <w:lang w:val="fr-FR"/>
        </w:rPr>
        <w:t>.</w:t>
      </w:r>
      <w:r>
        <w:rPr>
          <w:lang w:val="fr-FR"/>
        </w:rPr>
        <w:t>4</w:t>
      </w:r>
      <w:r w:rsidR="00510D67" w:rsidRPr="00510D67">
        <w:rPr>
          <w:lang w:val="fr-FR"/>
        </w:rPr>
        <w:t>.</w:t>
      </w:r>
      <w:r>
        <w:rPr>
          <w:lang w:val="fr-FR"/>
        </w:rPr>
        <w:t>2, titre, remplacer « </w:t>
      </w:r>
      <w:r>
        <w:rPr>
          <w:b/>
          <w:bCs/>
          <w:i/>
          <w:iCs/>
          <w:lang w:val="fr-FR"/>
        </w:rPr>
        <w:t>Épreuve d’amorçage de la détonation de l’ONU</w:t>
      </w:r>
      <w:r>
        <w:rPr>
          <w:lang w:val="fr-FR"/>
        </w:rPr>
        <w:t> » par « </w:t>
      </w:r>
      <w:r>
        <w:rPr>
          <w:b/>
          <w:bCs/>
          <w:i/>
          <w:iCs/>
          <w:lang w:val="fr-FR"/>
        </w:rPr>
        <w:t>Épreuve A</w:t>
      </w:r>
      <w:r w:rsidR="00510D67" w:rsidRPr="00510D67">
        <w:rPr>
          <w:b/>
          <w:bCs/>
          <w:i/>
          <w:iCs/>
          <w:lang w:val="fr-FR"/>
        </w:rPr>
        <w:t>.</w:t>
      </w:r>
      <w:r>
        <w:rPr>
          <w:b/>
          <w:bCs/>
          <w:i/>
          <w:iCs/>
          <w:lang w:val="fr-FR"/>
        </w:rPr>
        <w:t>5 d’amorçage de la détonation de l’ONU</w:t>
      </w:r>
      <w:r>
        <w:rPr>
          <w:lang w:val="fr-FR"/>
        </w:rPr>
        <w:t> » ;</w:t>
      </w:r>
    </w:p>
    <w:p w14:paraId="38624595" w14:textId="3C05123C" w:rsidR="00DB43BF" w:rsidRPr="003D23E7" w:rsidRDefault="00DB43BF" w:rsidP="00DB43BF">
      <w:pPr>
        <w:pStyle w:val="Bullet2G"/>
        <w:numPr>
          <w:ilvl w:val="0"/>
          <w:numId w:val="18"/>
        </w:numPr>
        <w:kinsoku/>
        <w:overflowPunct/>
        <w:autoSpaceDE/>
        <w:autoSpaceDN/>
        <w:adjustRightInd/>
        <w:snapToGrid/>
      </w:pPr>
      <w:r>
        <w:rPr>
          <w:lang w:val="fr-FR"/>
        </w:rPr>
        <w:t>Figure 21</w:t>
      </w:r>
      <w:r w:rsidR="00510D67" w:rsidRPr="00510D67">
        <w:rPr>
          <w:lang w:val="fr-FR"/>
        </w:rPr>
        <w:t>.</w:t>
      </w:r>
      <w:r>
        <w:rPr>
          <w:lang w:val="fr-FR"/>
        </w:rPr>
        <w:t>4</w:t>
      </w:r>
      <w:r w:rsidR="00510D67" w:rsidRPr="00510D67">
        <w:rPr>
          <w:lang w:val="fr-FR"/>
        </w:rPr>
        <w:t>.</w:t>
      </w:r>
      <w:r>
        <w:rPr>
          <w:lang w:val="fr-FR"/>
        </w:rPr>
        <w:t>2</w:t>
      </w:r>
      <w:r w:rsidR="00510D67" w:rsidRPr="00510D67">
        <w:rPr>
          <w:lang w:val="fr-FR"/>
        </w:rPr>
        <w:t>.</w:t>
      </w:r>
      <w:r>
        <w:rPr>
          <w:lang w:val="fr-FR"/>
        </w:rPr>
        <w:t>1, titre, remplacer « </w:t>
      </w:r>
      <w:r>
        <w:rPr>
          <w:b/>
          <w:bCs/>
          <w:lang w:val="fr-FR"/>
        </w:rPr>
        <w:t>Épreuve d’amorçage de la détonation de l’ONU</w:t>
      </w:r>
      <w:r>
        <w:rPr>
          <w:lang w:val="fr-FR"/>
        </w:rPr>
        <w:t> » par « </w:t>
      </w:r>
      <w:r>
        <w:rPr>
          <w:b/>
          <w:bCs/>
          <w:lang w:val="fr-FR"/>
        </w:rPr>
        <w:t>Épreuve A</w:t>
      </w:r>
      <w:r w:rsidR="00510D67" w:rsidRPr="00510D67">
        <w:rPr>
          <w:b/>
          <w:bCs/>
          <w:lang w:val="fr-FR"/>
        </w:rPr>
        <w:t>.</w:t>
      </w:r>
      <w:r>
        <w:rPr>
          <w:b/>
          <w:bCs/>
          <w:lang w:val="fr-FR"/>
        </w:rPr>
        <w:t>5 d’amorçage de la détonation de l’ONU</w:t>
      </w:r>
      <w:r>
        <w:rPr>
          <w:lang w:val="fr-FR"/>
        </w:rPr>
        <w:t> »</w:t>
      </w:r>
      <w:r w:rsidR="00510D67" w:rsidRPr="00510D67">
        <w:rPr>
          <w:lang w:val="fr-FR"/>
        </w:rPr>
        <w:t>.</w:t>
      </w:r>
    </w:p>
    <w:p w14:paraId="2D144A35" w14:textId="77777777" w:rsidR="00DB43BF" w:rsidRDefault="00DB43BF" w:rsidP="00DB43BF">
      <w:pPr>
        <w:pStyle w:val="SingleTxtG"/>
        <w:ind w:firstLine="567"/>
      </w:pPr>
      <w:r>
        <w:rPr>
          <w:i/>
          <w:iCs/>
          <w:lang w:val="fr-FR"/>
        </w:rPr>
        <w:t>Amendements de conséquence :</w:t>
      </w:r>
      <w:r>
        <w:rPr>
          <w:lang w:val="fr-FR"/>
        </w:rPr>
        <w:t xml:space="preserve"> </w:t>
      </w:r>
    </w:p>
    <w:p w14:paraId="7E6FAE5D" w14:textId="790D60DF" w:rsidR="00DB43BF" w:rsidRDefault="00DB43BF" w:rsidP="00DB43BF">
      <w:pPr>
        <w:pStyle w:val="Bullet1G"/>
        <w:numPr>
          <w:ilvl w:val="0"/>
          <w:numId w:val="17"/>
        </w:numPr>
        <w:kinsoku/>
        <w:overflowPunct/>
        <w:autoSpaceDE/>
        <w:autoSpaceDN/>
        <w:adjustRightInd/>
        <w:snapToGrid/>
      </w:pPr>
      <w:r>
        <w:rPr>
          <w:lang w:val="fr-FR"/>
        </w:rPr>
        <w:t>Section 1, tableau 1</w:t>
      </w:r>
      <w:r w:rsidR="00510D67" w:rsidRPr="00510D67">
        <w:rPr>
          <w:lang w:val="fr-FR"/>
        </w:rPr>
        <w:t>.</w:t>
      </w:r>
      <w:r>
        <w:rPr>
          <w:lang w:val="fr-FR"/>
        </w:rPr>
        <w:t>3 :</w:t>
      </w:r>
    </w:p>
    <w:p w14:paraId="1D812132" w14:textId="77777777" w:rsidR="00DB43BF" w:rsidRPr="003D23E7" w:rsidRDefault="00DB43BF" w:rsidP="00DB43BF">
      <w:pPr>
        <w:pStyle w:val="Bullet2G"/>
        <w:numPr>
          <w:ilvl w:val="0"/>
          <w:numId w:val="18"/>
        </w:numPr>
        <w:kinsoku/>
        <w:overflowPunct/>
        <w:autoSpaceDE/>
        <w:autoSpaceDN/>
        <w:adjustRightInd/>
        <w:snapToGrid/>
      </w:pPr>
      <w:r>
        <w:rPr>
          <w:lang w:val="fr-FR"/>
        </w:rPr>
        <w:t>Ligne correspondant à la série d’épreuve 1 et au type d’épreuve a), sous « Nom de l’épreuve », remplacer « Épreuve d’amorçage de la détonation de l’ONU » par « Épreuve 1 d’amorçage de la détonation de l’ONU » ;</w:t>
      </w:r>
    </w:p>
    <w:p w14:paraId="7DE334EE" w14:textId="688AE1DE" w:rsidR="00DB43BF" w:rsidRPr="003D23E7" w:rsidRDefault="00DB43BF" w:rsidP="00DB43BF">
      <w:pPr>
        <w:pStyle w:val="Bullet2G"/>
        <w:numPr>
          <w:ilvl w:val="0"/>
          <w:numId w:val="18"/>
        </w:numPr>
        <w:kinsoku/>
        <w:overflowPunct/>
        <w:autoSpaceDE/>
        <w:autoSpaceDN/>
        <w:adjustRightInd/>
        <w:snapToGrid/>
      </w:pPr>
      <w:r>
        <w:rPr>
          <w:lang w:val="fr-FR"/>
        </w:rPr>
        <w:t>Ligne correspondant à la série d’épreuve 2 et au type d’épreuve a), sous « Nom de l’épreuve », remplacer « Épreuve d’amorçage de la détonation de l’ONU » par « Épreuve 2 d’amorçage de la détonation de l’ONU »</w:t>
      </w:r>
      <w:r w:rsidR="00510D67" w:rsidRPr="00510D67">
        <w:rPr>
          <w:lang w:val="fr-FR"/>
        </w:rPr>
        <w:t>.</w:t>
      </w:r>
    </w:p>
    <w:p w14:paraId="10729064" w14:textId="4FE0B78E" w:rsidR="00DB43BF" w:rsidRDefault="00DB43BF" w:rsidP="00DB43BF">
      <w:pPr>
        <w:pStyle w:val="Bullet1G"/>
        <w:numPr>
          <w:ilvl w:val="0"/>
          <w:numId w:val="17"/>
        </w:numPr>
        <w:kinsoku/>
        <w:overflowPunct/>
        <w:autoSpaceDE/>
        <w:autoSpaceDN/>
        <w:adjustRightInd/>
        <w:snapToGrid/>
      </w:pPr>
      <w:r>
        <w:rPr>
          <w:lang w:val="fr-FR"/>
        </w:rPr>
        <w:t>Section 10, figure 10</w:t>
      </w:r>
      <w:r w:rsidR="00510D67" w:rsidRPr="00510D67">
        <w:rPr>
          <w:lang w:val="fr-FR"/>
        </w:rPr>
        <w:t>.</w:t>
      </w:r>
      <w:r>
        <w:rPr>
          <w:lang w:val="fr-FR"/>
        </w:rPr>
        <w:t>7 a) :</w:t>
      </w:r>
    </w:p>
    <w:p w14:paraId="1619FE9C" w14:textId="30442424" w:rsidR="00DB43BF" w:rsidRPr="003D23E7" w:rsidRDefault="00DB43BF" w:rsidP="00DB43BF">
      <w:pPr>
        <w:pStyle w:val="Bullet2G"/>
        <w:numPr>
          <w:ilvl w:val="0"/>
          <w:numId w:val="18"/>
        </w:numPr>
        <w:kinsoku/>
        <w:overflowPunct/>
        <w:autoSpaceDE/>
        <w:autoSpaceDN/>
        <w:adjustRightInd/>
        <w:snapToGrid/>
      </w:pPr>
      <w:r>
        <w:rPr>
          <w:lang w:val="fr-FR"/>
        </w:rPr>
        <w:t>Ligne 5</w:t>
      </w:r>
      <w:r w:rsidR="00510D67" w:rsidRPr="00510D67">
        <w:rPr>
          <w:lang w:val="fr-FR"/>
        </w:rPr>
        <w:t>.</w:t>
      </w:r>
      <w:r>
        <w:rPr>
          <w:lang w:val="fr-FR"/>
        </w:rPr>
        <w:t>1, remplacer « Épreuve d’amorçage de la détonation de l’ONU » par « Épreuve 1 d’amorçage de la détonation de l’ONU » ;</w:t>
      </w:r>
    </w:p>
    <w:p w14:paraId="6B6DDCC4" w14:textId="0041B62D" w:rsidR="00DB43BF" w:rsidRPr="00DB43BF" w:rsidRDefault="00DB43BF" w:rsidP="00DB43BF">
      <w:pPr>
        <w:pStyle w:val="Bullet2G"/>
        <w:numPr>
          <w:ilvl w:val="0"/>
          <w:numId w:val="18"/>
        </w:numPr>
        <w:kinsoku/>
        <w:overflowPunct/>
        <w:autoSpaceDE/>
        <w:autoSpaceDN/>
        <w:adjustRightInd/>
        <w:snapToGrid/>
      </w:pPr>
      <w:r w:rsidRPr="00DB43BF">
        <w:rPr>
          <w:lang w:val="fr-FR"/>
        </w:rPr>
        <w:t>Ligne 7</w:t>
      </w:r>
      <w:r w:rsidR="00510D67" w:rsidRPr="00510D67">
        <w:rPr>
          <w:lang w:val="fr-FR"/>
        </w:rPr>
        <w:t>.</w:t>
      </w:r>
      <w:r w:rsidRPr="00DB43BF">
        <w:rPr>
          <w:lang w:val="fr-FR"/>
        </w:rPr>
        <w:t>1, remplacer « Épreuve d’amorçage de la détonation de l’ONU » par « Épreuve 2 d’amorçage de la détonation de l’ONU »</w:t>
      </w:r>
      <w:r w:rsidR="00510D67" w:rsidRPr="00510D67">
        <w:rPr>
          <w:lang w:val="fr-FR"/>
        </w:rPr>
        <w:t>.</w:t>
      </w:r>
      <w:r w:rsidRPr="00DB43BF">
        <w:rPr>
          <w:lang w:val="fr-FR"/>
        </w:rPr>
        <w:t xml:space="preserve"> </w:t>
      </w:r>
    </w:p>
    <w:p w14:paraId="10BB50E2" w14:textId="15378B26" w:rsidR="00DB43BF" w:rsidRDefault="00DB43BF" w:rsidP="00DB43BF">
      <w:pPr>
        <w:pStyle w:val="Bullet1G"/>
        <w:numPr>
          <w:ilvl w:val="0"/>
          <w:numId w:val="17"/>
        </w:numPr>
        <w:kinsoku/>
        <w:overflowPunct/>
        <w:autoSpaceDE/>
        <w:autoSpaceDN/>
        <w:adjustRightInd/>
        <w:snapToGrid/>
      </w:pPr>
      <w:r w:rsidRPr="00DB43BF">
        <w:rPr>
          <w:lang w:val="fr-FR"/>
        </w:rPr>
        <w:t>Modifier en conséquence les mentions des épreuves d’amorçage de la détonation de l’ONU dans la table des matières des première (sect</w:t>
      </w:r>
      <w:r>
        <w:rPr>
          <w:lang w:val="fr-FR"/>
        </w:rPr>
        <w:t>. </w:t>
      </w:r>
      <w:r w:rsidRPr="00DB43BF">
        <w:rPr>
          <w:lang w:val="fr-FR"/>
        </w:rPr>
        <w:t>11 et 12) et deuxième (sect</w:t>
      </w:r>
      <w:r>
        <w:rPr>
          <w:lang w:val="fr-FR"/>
        </w:rPr>
        <w:t>.</w:t>
      </w:r>
      <w:r w:rsidRPr="00DB43BF">
        <w:rPr>
          <w:lang w:val="fr-FR"/>
        </w:rPr>
        <w:t> 21) parties</w:t>
      </w:r>
      <w:r w:rsidR="00510D67" w:rsidRPr="00510D67">
        <w:rPr>
          <w:lang w:val="fr-FR"/>
        </w:rPr>
        <w:t>.</w:t>
      </w:r>
    </w:p>
    <w:p w14:paraId="57645F36" w14:textId="70BB3274" w:rsidR="00446FE5" w:rsidRPr="00DB43BF" w:rsidRDefault="00DB43BF" w:rsidP="00DB43B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46FE5" w:rsidRPr="00DB43BF" w:rsidSect="00DB43B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5350E" w14:textId="77777777" w:rsidR="00A71BAA" w:rsidRDefault="00A71BAA" w:rsidP="00F95C08">
      <w:pPr>
        <w:spacing w:line="240" w:lineRule="auto"/>
      </w:pPr>
    </w:p>
  </w:endnote>
  <w:endnote w:type="continuationSeparator" w:id="0">
    <w:p w14:paraId="62B97D79" w14:textId="77777777" w:rsidR="00A71BAA" w:rsidRPr="00AC3823" w:rsidRDefault="00A71BAA" w:rsidP="00AC3823">
      <w:pPr>
        <w:pStyle w:val="Pieddepage"/>
      </w:pPr>
    </w:p>
  </w:endnote>
  <w:endnote w:type="continuationNotice" w:id="1">
    <w:p w14:paraId="468F384C" w14:textId="77777777" w:rsidR="00A71BAA" w:rsidRDefault="00A71BA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AD9FC" w14:textId="02E25E99" w:rsidR="00DB43BF" w:rsidRPr="00DB43BF" w:rsidRDefault="00DB43BF" w:rsidP="00DB43BF">
    <w:pPr>
      <w:pStyle w:val="Pieddepage"/>
      <w:tabs>
        <w:tab w:val="right" w:pos="9638"/>
      </w:tabs>
    </w:pPr>
    <w:r w:rsidRPr="00DB43BF">
      <w:rPr>
        <w:b/>
        <w:sz w:val="18"/>
      </w:rPr>
      <w:fldChar w:fldCharType="begin"/>
    </w:r>
    <w:r w:rsidRPr="00DB43BF">
      <w:rPr>
        <w:b/>
        <w:sz w:val="18"/>
      </w:rPr>
      <w:instrText xml:space="preserve"> PAGE  \* MERGEFORMAT </w:instrText>
    </w:r>
    <w:r w:rsidRPr="00DB43BF">
      <w:rPr>
        <w:b/>
        <w:sz w:val="18"/>
      </w:rPr>
      <w:fldChar w:fldCharType="separate"/>
    </w:r>
    <w:r w:rsidRPr="00DB43BF">
      <w:rPr>
        <w:b/>
        <w:noProof/>
        <w:sz w:val="18"/>
      </w:rPr>
      <w:t>2</w:t>
    </w:r>
    <w:r w:rsidRPr="00DB43BF">
      <w:rPr>
        <w:b/>
        <w:sz w:val="18"/>
      </w:rPr>
      <w:fldChar w:fldCharType="end"/>
    </w:r>
    <w:r>
      <w:rPr>
        <w:b/>
        <w:sz w:val="18"/>
      </w:rPr>
      <w:tab/>
    </w:r>
    <w:r>
      <w:t>GE</w:t>
    </w:r>
    <w:r w:rsidR="00510D67" w:rsidRPr="00510D67">
      <w:t>.</w:t>
    </w:r>
    <w:r>
      <w:t>24-06315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48F5C" w14:textId="468C962D" w:rsidR="00DB43BF" w:rsidRPr="00DB43BF" w:rsidRDefault="00DB43BF" w:rsidP="00DB43BF">
    <w:pPr>
      <w:pStyle w:val="Pieddepage"/>
      <w:tabs>
        <w:tab w:val="right" w:pos="9638"/>
      </w:tabs>
      <w:rPr>
        <w:b/>
        <w:sz w:val="18"/>
      </w:rPr>
    </w:pPr>
    <w:r>
      <w:t>GE</w:t>
    </w:r>
    <w:r w:rsidR="00510D67" w:rsidRPr="00510D67">
      <w:t>.</w:t>
    </w:r>
    <w:r>
      <w:t>24-06315</w:t>
    </w:r>
    <w:r>
      <w:tab/>
    </w:r>
    <w:r w:rsidRPr="00DB43BF">
      <w:rPr>
        <w:b/>
        <w:sz w:val="18"/>
      </w:rPr>
      <w:fldChar w:fldCharType="begin"/>
    </w:r>
    <w:r w:rsidRPr="00DB43BF">
      <w:rPr>
        <w:b/>
        <w:sz w:val="18"/>
      </w:rPr>
      <w:instrText xml:space="preserve"> PAGE  \* MERGEFORMAT </w:instrText>
    </w:r>
    <w:r w:rsidRPr="00DB43BF">
      <w:rPr>
        <w:b/>
        <w:sz w:val="18"/>
      </w:rPr>
      <w:fldChar w:fldCharType="separate"/>
    </w:r>
    <w:r w:rsidRPr="00DB43BF">
      <w:rPr>
        <w:b/>
        <w:noProof/>
        <w:sz w:val="18"/>
      </w:rPr>
      <w:t>3</w:t>
    </w:r>
    <w:r w:rsidRPr="00DB43B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C5E3C" w14:textId="70D9B884" w:rsidR="0068456F" w:rsidRPr="00DB43BF" w:rsidRDefault="00DB43BF" w:rsidP="00DB43BF">
    <w:pPr>
      <w:pStyle w:val="Pieddepage"/>
      <w:spacing w:before="120"/>
      <w:rPr>
        <w:sz w:val="20"/>
      </w:rPr>
    </w:pPr>
    <w:r>
      <w:rPr>
        <w:sz w:val="20"/>
      </w:rPr>
      <w:t>GE</w:t>
    </w:r>
    <w:r w:rsidR="00510D67" w:rsidRPr="00510D67">
      <w:rPr>
        <w:sz w:val="20"/>
      </w:rPr>
      <w:t>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30C7D856" wp14:editId="1D55291D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24-06315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F56D2E4" wp14:editId="056E91AB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28650" cy="628650"/>
          <wp:effectExtent l="0" t="0" r="0" b="0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020524    030524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0ACED" w14:textId="77777777" w:rsidR="00A71BAA" w:rsidRPr="00AC3823" w:rsidRDefault="00A71BAA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74CA972" w14:textId="77777777" w:rsidR="00A71BAA" w:rsidRPr="00AC3823" w:rsidRDefault="00A71BAA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2F5A150" w14:textId="77777777" w:rsidR="00A71BAA" w:rsidRPr="00AC3823" w:rsidRDefault="00A71BAA">
      <w:pPr>
        <w:spacing w:line="240" w:lineRule="auto"/>
        <w:rPr>
          <w:sz w:val="2"/>
          <w:szCs w:val="2"/>
        </w:rPr>
      </w:pPr>
    </w:p>
  </w:footnote>
  <w:footnote w:id="2">
    <w:p w14:paraId="5E8D2774" w14:textId="4FF213A2" w:rsidR="00DB43BF" w:rsidRDefault="00DB43BF" w:rsidP="00DB43BF">
      <w:pPr>
        <w:pStyle w:val="Notedebasdepage"/>
        <w:rPr>
          <w:lang w:val="fr-FR"/>
        </w:rPr>
      </w:pPr>
      <w:r w:rsidRPr="00DB43BF">
        <w:rPr>
          <w:sz w:val="20"/>
          <w:szCs w:val="22"/>
          <w:lang w:val="fr-FR"/>
        </w:rPr>
        <w:tab/>
        <w:t>*</w:t>
      </w:r>
      <w:r w:rsidRPr="00DB43BF">
        <w:rPr>
          <w:sz w:val="20"/>
          <w:szCs w:val="22"/>
          <w:lang w:val="fr-FR"/>
        </w:rPr>
        <w:tab/>
      </w:r>
      <w:r>
        <w:rPr>
          <w:lang w:val="fr-FR"/>
        </w:rPr>
        <w:t>A/78/6 (Sect</w:t>
      </w:r>
      <w:r w:rsidR="00510D67" w:rsidRPr="00510D67">
        <w:rPr>
          <w:lang w:val="fr-FR"/>
        </w:rPr>
        <w:t>.</w:t>
      </w:r>
      <w:r>
        <w:rPr>
          <w:lang w:val="fr-FR"/>
        </w:rPr>
        <w:t xml:space="preserve"> 20), tableau 20</w:t>
      </w:r>
      <w:r w:rsidR="00510D67" w:rsidRPr="00510D67">
        <w:rPr>
          <w:lang w:val="fr-FR"/>
        </w:rPr>
        <w:t>.</w:t>
      </w:r>
      <w:r>
        <w:rPr>
          <w:lang w:val="fr-FR"/>
        </w:rPr>
        <w:t>5</w:t>
      </w:r>
      <w:r w:rsidR="00510D67" w:rsidRPr="00510D67">
        <w:rPr>
          <w:lang w:val="fr-FR"/>
        </w:rPr>
        <w:t>.</w:t>
      </w:r>
    </w:p>
    <w:p w14:paraId="4F6A5662" w14:textId="77777777" w:rsidR="00DB43BF" w:rsidRPr="00EE7FAE" w:rsidRDefault="00DB43BF" w:rsidP="00DB43BF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10738" w14:textId="39EF46F1" w:rsidR="00DB43BF" w:rsidRPr="00DB43BF" w:rsidRDefault="00DB43BF">
    <w:pPr>
      <w:pStyle w:val="En-tte"/>
      <w:rPr>
        <w:lang w:val="en-US"/>
      </w:rPr>
    </w:pPr>
    <w:r>
      <w:fldChar w:fldCharType="begin"/>
    </w:r>
    <w:r w:rsidRPr="00DB43BF">
      <w:rPr>
        <w:lang w:val="en-US"/>
      </w:rPr>
      <w:instrText xml:space="preserve"> TITLE  \* MERGEFORMAT </w:instrText>
    </w:r>
    <w:r>
      <w:fldChar w:fldCharType="separate"/>
    </w:r>
    <w:r w:rsidR="00C368F9">
      <w:rPr>
        <w:lang w:val="en-US"/>
      </w:rPr>
      <w:t>ST/SG/AC.10/C.3/2024/52</w:t>
    </w:r>
    <w:r>
      <w:fldChar w:fldCharType="end"/>
    </w:r>
    <w:r w:rsidRPr="00DB43BF">
      <w:rPr>
        <w:lang w:val="en-US"/>
      </w:rPr>
      <w:br/>
    </w:r>
    <w:r>
      <w:fldChar w:fldCharType="begin"/>
    </w:r>
    <w:r w:rsidRPr="00DB43BF">
      <w:rPr>
        <w:lang w:val="en-US"/>
      </w:rPr>
      <w:instrText xml:space="preserve"> KEYWORDS  \* MERGEFORMAT </w:instrText>
    </w:r>
    <w:r>
      <w:fldChar w:fldCharType="separate"/>
    </w:r>
    <w:r w:rsidR="00C368F9">
      <w:rPr>
        <w:lang w:val="en-US"/>
      </w:rPr>
      <w:t>ST/SG/AC.10/C.4/2024/8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3A59B" w14:textId="720B95B4" w:rsidR="00DB43BF" w:rsidRPr="00DB43BF" w:rsidRDefault="00DB43BF" w:rsidP="00DB43BF">
    <w:pPr>
      <w:pStyle w:val="En-tte"/>
      <w:jc w:val="right"/>
      <w:rPr>
        <w:lang w:val="en-US"/>
      </w:rPr>
    </w:pPr>
    <w:r>
      <w:fldChar w:fldCharType="begin"/>
    </w:r>
    <w:r w:rsidRPr="00DB43BF">
      <w:rPr>
        <w:lang w:val="en-US"/>
      </w:rPr>
      <w:instrText xml:space="preserve"> TITLE  \* MERGEFORMAT </w:instrText>
    </w:r>
    <w:r>
      <w:fldChar w:fldCharType="separate"/>
    </w:r>
    <w:r w:rsidR="00C368F9">
      <w:rPr>
        <w:lang w:val="en-US"/>
      </w:rPr>
      <w:t>ST/SG/AC.10/C.3/2024/52</w:t>
    </w:r>
    <w:r>
      <w:fldChar w:fldCharType="end"/>
    </w:r>
    <w:r w:rsidRPr="00DB43BF">
      <w:rPr>
        <w:lang w:val="en-US"/>
      </w:rPr>
      <w:br/>
    </w:r>
    <w:r>
      <w:fldChar w:fldCharType="begin"/>
    </w:r>
    <w:r w:rsidRPr="00DB43BF">
      <w:rPr>
        <w:lang w:val="en-US"/>
      </w:rPr>
      <w:instrText xml:space="preserve"> KEYWORDS  \* MERGEFORMAT </w:instrText>
    </w:r>
    <w:r>
      <w:fldChar w:fldCharType="separate"/>
    </w:r>
    <w:r w:rsidR="00C368F9">
      <w:rPr>
        <w:lang w:val="en-US"/>
      </w:rPr>
      <w:t>ST/SG/AC.10/C.4/2024/8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3E5C1C0A"/>
    <w:multiLevelType w:val="hybridMultilevel"/>
    <w:tmpl w:val="B41A022A"/>
    <w:lvl w:ilvl="0" w:tplc="E61A362C">
      <w:start w:val="16"/>
      <w:numFmt w:val="bullet"/>
      <w:lvlText w:val="-"/>
      <w:lvlJc w:val="left"/>
      <w:pPr>
        <w:ind w:left="2049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9" w:hanging="360"/>
      </w:pPr>
      <w:rPr>
        <w:rFonts w:ascii="Wingdings" w:hAnsi="Wingdings" w:hint="default"/>
      </w:rPr>
    </w:lvl>
  </w:abstractNum>
  <w:abstractNum w:abstractNumId="14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706297600">
    <w:abstractNumId w:val="15"/>
  </w:num>
  <w:num w:numId="2" w16cid:durableId="1885562785">
    <w:abstractNumId w:val="12"/>
  </w:num>
  <w:num w:numId="3" w16cid:durableId="2042969414">
    <w:abstractNumId w:val="11"/>
  </w:num>
  <w:num w:numId="4" w16cid:durableId="1548682266">
    <w:abstractNumId w:val="8"/>
  </w:num>
  <w:num w:numId="5" w16cid:durableId="1544635231">
    <w:abstractNumId w:val="3"/>
  </w:num>
  <w:num w:numId="6" w16cid:durableId="1487625600">
    <w:abstractNumId w:val="2"/>
  </w:num>
  <w:num w:numId="7" w16cid:durableId="343828732">
    <w:abstractNumId w:val="1"/>
  </w:num>
  <w:num w:numId="8" w16cid:durableId="1354451785">
    <w:abstractNumId w:val="0"/>
  </w:num>
  <w:num w:numId="9" w16cid:durableId="321206338">
    <w:abstractNumId w:val="9"/>
  </w:num>
  <w:num w:numId="10" w16cid:durableId="1507746313">
    <w:abstractNumId w:val="7"/>
  </w:num>
  <w:num w:numId="11" w16cid:durableId="474026709">
    <w:abstractNumId w:val="6"/>
  </w:num>
  <w:num w:numId="12" w16cid:durableId="505629540">
    <w:abstractNumId w:val="5"/>
  </w:num>
  <w:num w:numId="13" w16cid:durableId="1802570509">
    <w:abstractNumId w:val="4"/>
  </w:num>
  <w:num w:numId="14" w16cid:durableId="190075582">
    <w:abstractNumId w:val="15"/>
  </w:num>
  <w:num w:numId="15" w16cid:durableId="302396264">
    <w:abstractNumId w:val="12"/>
  </w:num>
  <w:num w:numId="16" w16cid:durableId="691421871">
    <w:abstractNumId w:val="11"/>
  </w:num>
  <w:num w:numId="17" w16cid:durableId="10420833">
    <w:abstractNumId w:val="10"/>
  </w:num>
  <w:num w:numId="18" w16cid:durableId="71465101">
    <w:abstractNumId w:val="14"/>
  </w:num>
  <w:num w:numId="19" w16cid:durableId="2127968834">
    <w:abstractNumId w:val="13"/>
  </w:num>
  <w:num w:numId="20" w16cid:durableId="12111858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BAA"/>
    <w:rsid w:val="00017F94"/>
    <w:rsid w:val="00023842"/>
    <w:rsid w:val="000305D3"/>
    <w:rsid w:val="000334F9"/>
    <w:rsid w:val="0007796D"/>
    <w:rsid w:val="000B7790"/>
    <w:rsid w:val="00111F2F"/>
    <w:rsid w:val="00132EA9"/>
    <w:rsid w:val="0014365E"/>
    <w:rsid w:val="00172E49"/>
    <w:rsid w:val="00176178"/>
    <w:rsid w:val="001F525A"/>
    <w:rsid w:val="00223272"/>
    <w:rsid w:val="0024779E"/>
    <w:rsid w:val="00283190"/>
    <w:rsid w:val="002832AC"/>
    <w:rsid w:val="002D7C93"/>
    <w:rsid w:val="003D4055"/>
    <w:rsid w:val="00441C3B"/>
    <w:rsid w:val="00446FE5"/>
    <w:rsid w:val="00452396"/>
    <w:rsid w:val="004E468C"/>
    <w:rsid w:val="00510D67"/>
    <w:rsid w:val="005505B7"/>
    <w:rsid w:val="00573BE5"/>
    <w:rsid w:val="00584DC4"/>
    <w:rsid w:val="00586ED3"/>
    <w:rsid w:val="00596AA9"/>
    <w:rsid w:val="0068456F"/>
    <w:rsid w:val="0071601D"/>
    <w:rsid w:val="007A62E6"/>
    <w:rsid w:val="0080684C"/>
    <w:rsid w:val="008123E0"/>
    <w:rsid w:val="00871C75"/>
    <w:rsid w:val="008776DC"/>
    <w:rsid w:val="008B40CD"/>
    <w:rsid w:val="009705C8"/>
    <w:rsid w:val="009C1CF4"/>
    <w:rsid w:val="00A30353"/>
    <w:rsid w:val="00A71BAA"/>
    <w:rsid w:val="00A81281"/>
    <w:rsid w:val="00AC3823"/>
    <w:rsid w:val="00AE323C"/>
    <w:rsid w:val="00B00181"/>
    <w:rsid w:val="00B00B0D"/>
    <w:rsid w:val="00B765F7"/>
    <w:rsid w:val="00BA0CA9"/>
    <w:rsid w:val="00C02897"/>
    <w:rsid w:val="00C368F9"/>
    <w:rsid w:val="00D3439C"/>
    <w:rsid w:val="00DB1831"/>
    <w:rsid w:val="00DB43BF"/>
    <w:rsid w:val="00DD3BFD"/>
    <w:rsid w:val="00DF6678"/>
    <w:rsid w:val="00EF2E22"/>
    <w:rsid w:val="00F01738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3E6C70"/>
  <w15:docId w15:val="{809292F2-4576-4154-8F8D-8CCEFCED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584DC4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uiPriority w:val="99"/>
    <w:qFormat/>
    <w:rsid w:val="00584DC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584DC4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584DC4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584DC4"/>
  </w:style>
  <w:style w:type="character" w:customStyle="1" w:styleId="NotedefinCar">
    <w:name w:val="Note de fin Car"/>
    <w:aliases w:val="2_G Car"/>
    <w:basedOn w:val="Policepardfaut"/>
    <w:link w:val="Notedefin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qFormat/>
    <w:rsid w:val="00DB43BF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uiPriority w:val="99"/>
    <w:qFormat/>
    <w:rsid w:val="00DB43BF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1GChar">
    <w:name w:val="_ H_1_G Char"/>
    <w:link w:val="H1G"/>
    <w:qFormat/>
    <w:locked/>
    <w:rsid w:val="00DB43BF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S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A21DF82A-4FE8-4529-AC21-11FA001EF863}"/>
</file>

<file path=customXml/itemProps2.xml><?xml version="1.0" encoding="utf-8"?>
<ds:datastoreItem xmlns:ds="http://schemas.openxmlformats.org/officeDocument/2006/customXml" ds:itemID="{5758A191-95E4-4D17-BF61-308FFD8B3C43}"/>
</file>

<file path=customXml/itemProps3.xml><?xml version="1.0" encoding="utf-8"?>
<ds:datastoreItem xmlns:ds="http://schemas.openxmlformats.org/officeDocument/2006/customXml" ds:itemID="{E6C74738-D038-40C9-B453-33BB0085DD5E}"/>
</file>

<file path=docProps/app.xml><?xml version="1.0" encoding="utf-8"?>
<Properties xmlns="http://schemas.openxmlformats.org/officeDocument/2006/extended-properties" xmlns:vt="http://schemas.openxmlformats.org/officeDocument/2006/docPropsVTypes">
  <Template>ST.dotm</Template>
  <TotalTime>1</TotalTime>
  <Pages>4</Pages>
  <Words>1057</Words>
  <Characters>8104</Characters>
  <Application>Microsoft Office Word</Application>
  <DocSecurity>0</DocSecurity>
  <Lines>2701</Lines>
  <Paragraphs>763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ST/SG/AC.10/C.3/2024/52</vt:lpstr>
    </vt:vector>
  </TitlesOfParts>
  <Company>DCM</Company>
  <LinksUpToDate>false</LinksUpToDate>
  <CharactersWithSpaces>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ST/SG/AC.10/C.3/2024/52</dc:title>
  <dc:subject/>
  <dc:creator>Maud DARICHE</dc:creator>
  <cp:keywords>ST/SG/AC.10/C.4/2024/8</cp:keywords>
  <cp:lastModifiedBy>Maud Dariche</cp:lastModifiedBy>
  <cp:revision>3</cp:revision>
  <cp:lastPrinted>2024-05-03T11:59:00Z</cp:lastPrinted>
  <dcterms:created xsi:type="dcterms:W3CDTF">2024-05-03T11:59:00Z</dcterms:created>
  <dcterms:modified xsi:type="dcterms:W3CDTF">2024-05-03T12:00:00Z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