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119D6FD0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CE3E3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F3EE7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CE9AD" w14:textId="69F6C1E8" w:rsidR="00650A9E" w:rsidRDefault="00650A9E" w:rsidP="00650A9E">
            <w:pPr>
              <w:jc w:val="right"/>
            </w:pPr>
            <w:r w:rsidRPr="007D096B">
              <w:rPr>
                <w:sz w:val="40"/>
              </w:rPr>
              <w:t>ST</w:t>
            </w:r>
            <w:r w:rsidRPr="007D096B">
              <w:t>/SG/AC.10/C.3/2024/</w:t>
            </w:r>
            <w:r w:rsidR="007D096B">
              <w:t>52</w:t>
            </w:r>
            <w:r>
              <w:t>−</w:t>
            </w:r>
            <w:r w:rsidRPr="00650A9E">
              <w:rPr>
                <w:sz w:val="40"/>
              </w:rPr>
              <w:t>ST</w:t>
            </w:r>
            <w:r>
              <w:t>/SG/AC.10/C.4/2024/8</w:t>
            </w:r>
          </w:p>
        </w:tc>
      </w:tr>
      <w:tr w:rsidR="00E52109" w14:paraId="12BB4EAF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D7297F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96D4ED" wp14:editId="0873799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5FCA0C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E79ECF" w14:textId="77777777" w:rsidR="00D94B05" w:rsidRDefault="00650A9E" w:rsidP="00650A9E">
            <w:pPr>
              <w:spacing w:before="240" w:line="240" w:lineRule="exact"/>
            </w:pPr>
            <w:r>
              <w:t>Distr.: General</w:t>
            </w:r>
          </w:p>
          <w:p w14:paraId="044494B3" w14:textId="06BD8300" w:rsidR="00650A9E" w:rsidRDefault="00285BC8" w:rsidP="00650A9E">
            <w:pPr>
              <w:spacing w:line="240" w:lineRule="exact"/>
            </w:pPr>
            <w:r>
              <w:t>8</w:t>
            </w:r>
            <w:r w:rsidR="00650A9E" w:rsidRPr="00285BC8">
              <w:t xml:space="preserve"> April 2024</w:t>
            </w:r>
          </w:p>
          <w:p w14:paraId="3CAD11D9" w14:textId="77777777" w:rsidR="00650A9E" w:rsidRDefault="00650A9E" w:rsidP="00650A9E">
            <w:pPr>
              <w:spacing w:line="240" w:lineRule="exact"/>
            </w:pPr>
          </w:p>
          <w:p w14:paraId="61D71130" w14:textId="56928108" w:rsidR="00650A9E" w:rsidRDefault="00650A9E" w:rsidP="00650A9E">
            <w:pPr>
              <w:spacing w:line="240" w:lineRule="exact"/>
            </w:pPr>
            <w:r>
              <w:t>Original: English</w:t>
            </w:r>
          </w:p>
        </w:tc>
      </w:tr>
    </w:tbl>
    <w:p w14:paraId="6F47EDD4" w14:textId="77777777" w:rsidR="00EE7FAE" w:rsidRPr="006500BA" w:rsidRDefault="00EE7FA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EE7FAE" w:rsidRPr="00302456" w14:paraId="0579F133" w14:textId="77777777" w:rsidTr="00846F7F">
        <w:tc>
          <w:tcPr>
            <w:tcW w:w="4644" w:type="dxa"/>
            <w:shd w:val="clear" w:color="auto" w:fill="auto"/>
          </w:tcPr>
          <w:p w14:paraId="357BE08B" w14:textId="77777777" w:rsidR="00EE7FAE" w:rsidRPr="00302456" w:rsidRDefault="00EE7FAE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103" w:type="dxa"/>
            <w:shd w:val="clear" w:color="auto" w:fill="auto"/>
          </w:tcPr>
          <w:p w14:paraId="6C61F827" w14:textId="77777777" w:rsidR="00EE7FAE" w:rsidRPr="00302456" w:rsidRDefault="00EE7FAE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EE7FAE" w:rsidRPr="00302456" w14:paraId="487A6B78" w14:textId="77777777" w:rsidTr="00846F7F">
        <w:tc>
          <w:tcPr>
            <w:tcW w:w="4644" w:type="dxa"/>
            <w:shd w:val="clear" w:color="auto" w:fill="auto"/>
          </w:tcPr>
          <w:p w14:paraId="3226DCE9" w14:textId="50D9E4C2" w:rsidR="00EE7FAE" w:rsidRPr="00302456" w:rsidRDefault="009829EE" w:rsidP="00846F7F">
            <w:pPr>
              <w:spacing w:before="120"/>
              <w:rPr>
                <w:b/>
              </w:rPr>
            </w:pPr>
            <w:r w:rsidRPr="001025C8">
              <w:rPr>
                <w:b/>
                <w:bCs/>
              </w:rPr>
              <w:t>Sixty-</w:t>
            </w:r>
            <w:r>
              <w:rPr>
                <w:b/>
                <w:bCs/>
              </w:rPr>
              <w:t>fourth</w:t>
            </w:r>
            <w:r w:rsidR="00EE7FAE" w:rsidRPr="00302456">
              <w:rPr>
                <w:b/>
              </w:rPr>
              <w:t xml:space="preserve"> session</w:t>
            </w:r>
          </w:p>
        </w:tc>
        <w:tc>
          <w:tcPr>
            <w:tcW w:w="5103" w:type="dxa"/>
            <w:shd w:val="clear" w:color="auto" w:fill="auto"/>
          </w:tcPr>
          <w:p w14:paraId="17F5B701" w14:textId="1B0DF8BD" w:rsidR="00EE7FAE" w:rsidRPr="00302456" w:rsidRDefault="00304DD9" w:rsidP="00846F7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Forty-sixth </w:t>
            </w:r>
            <w:r w:rsidR="00EE7FAE" w:rsidRPr="00302456">
              <w:rPr>
                <w:b/>
              </w:rPr>
              <w:t>session</w:t>
            </w:r>
          </w:p>
        </w:tc>
      </w:tr>
      <w:tr w:rsidR="00EE7FAE" w:rsidRPr="00302456" w14:paraId="38147909" w14:textId="77777777" w:rsidTr="00846F7F">
        <w:tc>
          <w:tcPr>
            <w:tcW w:w="4644" w:type="dxa"/>
            <w:shd w:val="clear" w:color="auto" w:fill="auto"/>
          </w:tcPr>
          <w:p w14:paraId="1B79A6B9" w14:textId="4FAC7FE7" w:rsidR="00EE7FAE" w:rsidRPr="00302456" w:rsidRDefault="00EE7FAE" w:rsidP="00846F7F">
            <w:pPr>
              <w:rPr>
                <w:b/>
              </w:rPr>
            </w:pPr>
            <w:r>
              <w:t xml:space="preserve">Geneva, </w:t>
            </w:r>
            <w:r w:rsidR="0011297A">
              <w:t>24 June</w:t>
            </w:r>
            <w:r w:rsidR="0066151D">
              <w:t xml:space="preserve"> </w:t>
            </w:r>
            <w:r w:rsidR="0011297A" w:rsidRPr="00546318">
              <w:t xml:space="preserve">- </w:t>
            </w:r>
            <w:r w:rsidR="0011297A">
              <w:t>3 July 2024</w:t>
            </w:r>
            <w: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24FDCFAA" w14:textId="50BE311A" w:rsidR="00EE7FAE" w:rsidRPr="00302456" w:rsidRDefault="00EE7FAE" w:rsidP="00846F7F">
            <w:pPr>
              <w:rPr>
                <w:b/>
              </w:rPr>
            </w:pPr>
            <w:r>
              <w:t xml:space="preserve">Geneva, </w:t>
            </w:r>
            <w:r w:rsidR="004722B7" w:rsidRPr="00EA78F8">
              <w:t>3-5 July 2024</w:t>
            </w:r>
          </w:p>
        </w:tc>
      </w:tr>
      <w:tr w:rsidR="00EE7FAE" w:rsidRPr="00302456" w14:paraId="3EE1AFE3" w14:textId="77777777" w:rsidTr="00846F7F">
        <w:tc>
          <w:tcPr>
            <w:tcW w:w="4644" w:type="dxa"/>
            <w:shd w:val="clear" w:color="auto" w:fill="auto"/>
          </w:tcPr>
          <w:p w14:paraId="1598490E" w14:textId="65C06C0C" w:rsidR="00EE7FAE" w:rsidRDefault="00EE7FAE" w:rsidP="00846F7F">
            <w:r w:rsidRPr="006500BA">
              <w:t>Item</w:t>
            </w:r>
            <w:r w:rsidR="005C260A">
              <w:t xml:space="preserve"> 2</w:t>
            </w:r>
            <w:r w:rsidRPr="006500BA">
              <w:t xml:space="preserve"> </w:t>
            </w:r>
            <w:r w:rsidR="00FF27A6">
              <w:t>(</w:t>
            </w:r>
            <w:r w:rsidR="003A4925">
              <w:t>h</w:t>
            </w:r>
            <w:r w:rsidR="00FF27A6">
              <w:t>)</w:t>
            </w:r>
            <w:r w:rsidR="00DC44C3">
              <w:t xml:space="preserve"> </w:t>
            </w:r>
            <w:r w:rsidRPr="006500BA">
              <w:t>of the provisional agenda</w:t>
            </w:r>
          </w:p>
          <w:p w14:paraId="6D6C3A7A" w14:textId="6A54EA4C" w:rsidR="00D27E81" w:rsidRDefault="008C74D4" w:rsidP="00846F7F">
            <w:pPr>
              <w:rPr>
                <w:b/>
                <w:bCs/>
              </w:rPr>
            </w:pPr>
            <w:r w:rsidRPr="00870F32">
              <w:rPr>
                <w:b/>
                <w:bCs/>
              </w:rPr>
              <w:t>Explosives and related matters:</w:t>
            </w:r>
          </w:p>
          <w:p w14:paraId="047424AA" w14:textId="6C0C4CF5" w:rsidR="008C74D4" w:rsidRDefault="00D27E81" w:rsidP="00846F7F">
            <w:r>
              <w:rPr>
                <w:b/>
                <w:bCs/>
              </w:rPr>
              <w:t>M</w:t>
            </w:r>
            <w:r w:rsidR="008C74D4" w:rsidRPr="00870F32">
              <w:rPr>
                <w:b/>
                <w:bCs/>
              </w:rPr>
              <w:t>iscellaneous</w:t>
            </w:r>
          </w:p>
        </w:tc>
        <w:tc>
          <w:tcPr>
            <w:tcW w:w="5103" w:type="dxa"/>
            <w:shd w:val="clear" w:color="auto" w:fill="auto"/>
          </w:tcPr>
          <w:p w14:paraId="634D0DD9" w14:textId="77777777" w:rsidR="00EE7FAE" w:rsidRDefault="00EE7FAE" w:rsidP="00846F7F">
            <w:r w:rsidRPr="006500BA">
              <w:t xml:space="preserve">Item </w:t>
            </w:r>
            <w:r w:rsidR="00CA03F0" w:rsidRPr="00DF7172">
              <w:t xml:space="preserve">2 (a) </w:t>
            </w:r>
            <w:r w:rsidRPr="006500BA">
              <w:t>of the provisional agenda</w:t>
            </w:r>
          </w:p>
          <w:p w14:paraId="76AF51CA" w14:textId="1E192C47" w:rsidR="001F145B" w:rsidRDefault="001F145B" w:rsidP="00846F7F">
            <w:r w:rsidRPr="00DF7172">
              <w:rPr>
                <w:b/>
                <w:lang w:val="en-US"/>
              </w:rPr>
              <w:t>Work on the Globally Harmonized System of Classification and Labelling of Chemicals</w:t>
            </w:r>
          </w:p>
        </w:tc>
      </w:tr>
      <w:tr w:rsidR="00EE7FAE" w:rsidRPr="00E66746" w14:paraId="15480B46" w14:textId="77777777" w:rsidTr="00846F7F">
        <w:tc>
          <w:tcPr>
            <w:tcW w:w="4644" w:type="dxa"/>
            <w:shd w:val="clear" w:color="auto" w:fill="auto"/>
          </w:tcPr>
          <w:p w14:paraId="73257AE4" w14:textId="77777777" w:rsidR="00EE7FAE" w:rsidRPr="00E66746" w:rsidRDefault="00EE7FAE" w:rsidP="00846F7F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7FE87E73" w14:textId="77777777" w:rsidR="00EE7FAE" w:rsidRPr="00E66746" w:rsidRDefault="00EE7FAE" w:rsidP="00846F7F">
            <w:pPr>
              <w:rPr>
                <w:b/>
              </w:rPr>
            </w:pPr>
          </w:p>
        </w:tc>
      </w:tr>
    </w:tbl>
    <w:p w14:paraId="7478C0A3" w14:textId="3442A483" w:rsidR="00EE7FAE" w:rsidRPr="00BE0687" w:rsidRDefault="00EE7FAE" w:rsidP="00EE7FAE">
      <w:pPr>
        <w:pStyle w:val="HChG"/>
      </w:pPr>
      <w:r>
        <w:tab/>
      </w:r>
      <w:r>
        <w:tab/>
      </w:r>
      <w:r w:rsidR="001F145B">
        <w:t>C</w:t>
      </w:r>
      <w:r>
        <w:t xml:space="preserve">orrections and </w:t>
      </w:r>
      <w:r w:rsidRPr="00BE0687">
        <w:t xml:space="preserve">amendments to </w:t>
      </w:r>
      <w:r>
        <w:t xml:space="preserve">the Model Regulations, the Globally Harmonized System and the </w:t>
      </w:r>
      <w:r w:rsidRPr="00BE0687">
        <w:t>Manual of Tests and Criteria</w:t>
      </w:r>
    </w:p>
    <w:p w14:paraId="57833608" w14:textId="6F47B49B" w:rsidR="00EE7FAE" w:rsidRDefault="00EE7FAE" w:rsidP="00EE7FAE">
      <w:pPr>
        <w:pStyle w:val="H1G"/>
      </w:pPr>
      <w:r>
        <w:rPr>
          <w:lang w:val="en-AU"/>
        </w:rPr>
        <w:tab/>
      </w:r>
      <w:r>
        <w:rPr>
          <w:lang w:val="en-AU"/>
        </w:rPr>
        <w:tab/>
      </w:r>
      <w:r>
        <w:t>Transmitted by the Australasian Explosives Industry Safety Group Inc. (AEISG)</w:t>
      </w:r>
      <w:r w:rsidRPr="00EE7FAE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5FBCC4D2" w14:textId="77777777" w:rsidR="00EE7FAE" w:rsidRPr="007628D5" w:rsidRDefault="00EE7FAE" w:rsidP="00EE7FAE">
      <w:pPr>
        <w:pStyle w:val="HChG"/>
      </w:pPr>
      <w:r>
        <w:tab/>
        <w:t>I.</w:t>
      </w:r>
      <w:r>
        <w:tab/>
        <w:t>Background</w:t>
      </w:r>
    </w:p>
    <w:p w14:paraId="67D7860D" w14:textId="67BB8C4F" w:rsidR="00EE7FAE" w:rsidRPr="00BE0687" w:rsidRDefault="00EE7FAE" w:rsidP="00EE7FAE">
      <w:pPr>
        <w:pStyle w:val="SingleTxtG"/>
      </w:pPr>
      <w:r w:rsidRPr="00BE0687">
        <w:t>1.</w:t>
      </w:r>
      <w:r w:rsidRPr="00BE0687">
        <w:tab/>
      </w:r>
      <w:r>
        <w:t>Following extensive use of the Model Regulations for the Transport of Dangerous Goods (</w:t>
      </w:r>
      <w:r w:rsidR="00DF60EB">
        <w:t>Rev.23)</w:t>
      </w:r>
      <w:r>
        <w:t xml:space="preserve">, the Globally Harmonized System of Classification and Labelling of Chemicals (GHS, </w:t>
      </w:r>
      <w:r w:rsidR="00DF60EB">
        <w:t>Rev.10</w:t>
      </w:r>
      <w:r>
        <w:t xml:space="preserve">) and the </w:t>
      </w:r>
      <w:r w:rsidRPr="00BE0687">
        <w:t>Manual of Tests and Criteria (</w:t>
      </w:r>
      <w:r w:rsidR="00DF60EB">
        <w:t>Rev.8</w:t>
      </w:r>
      <w:r w:rsidRPr="00BE0687">
        <w:t xml:space="preserve">) </w:t>
      </w:r>
      <w:r>
        <w:t>by AEISG and its member companies, several relatively minor issues have been identified for potential correction.</w:t>
      </w:r>
    </w:p>
    <w:p w14:paraId="523E91CA" w14:textId="77777777" w:rsidR="00EE7FAE" w:rsidRPr="00350333" w:rsidRDefault="00EE7FAE" w:rsidP="00EE7FAE">
      <w:pPr>
        <w:pStyle w:val="SingleTxtG"/>
      </w:pPr>
      <w:r w:rsidRPr="00350333">
        <w:t>2.</w:t>
      </w:r>
      <w:r w:rsidRPr="00350333">
        <w:tab/>
      </w:r>
      <w:r>
        <w:t xml:space="preserve">AEISG considers these primarily ensue from typographical errors, updated </w:t>
      </w:r>
      <w:proofErr w:type="gramStart"/>
      <w:r>
        <w:t>requirements</w:t>
      </w:r>
      <w:proofErr w:type="gramEnd"/>
      <w:r>
        <w:t xml:space="preserve"> or misunderstandings. </w:t>
      </w:r>
      <w:r w:rsidRPr="00447F71">
        <w:t>AEISG</w:t>
      </w:r>
      <w:r>
        <w:t xml:space="preserve"> is therefore listing the issues for consideration by the TDG and GHS sub-committees, as relevant, to confirm, or otherwise, the need for amendment or correction</w:t>
      </w:r>
      <w:r w:rsidRPr="00A1350E">
        <w:t xml:space="preserve"> </w:t>
      </w:r>
      <w:r>
        <w:t>as appropriate.</w:t>
      </w:r>
    </w:p>
    <w:p w14:paraId="456BCFE5" w14:textId="36533283" w:rsidR="00EE7FAE" w:rsidRDefault="00EE7FAE" w:rsidP="00EE7FAE">
      <w:pPr>
        <w:pStyle w:val="HChG"/>
      </w:pPr>
      <w:r>
        <w:tab/>
        <w:t>II.</w:t>
      </w:r>
      <w:r>
        <w:tab/>
      </w:r>
      <w:bookmarkStart w:id="0" w:name="_Hlk129524710"/>
      <w:r>
        <w:t>Issues and proposed corrections</w:t>
      </w:r>
      <w:bookmarkEnd w:id="0"/>
    </w:p>
    <w:p w14:paraId="5413520A" w14:textId="77777777" w:rsidR="00EE7FAE" w:rsidRPr="00447F71" w:rsidRDefault="00EE7FAE" w:rsidP="00EE7FAE">
      <w:pPr>
        <w:pStyle w:val="H1G"/>
      </w:pPr>
      <w:r>
        <w:tab/>
      </w:r>
      <w:r>
        <w:tab/>
        <w:t>Model Regulations, chapter 2.1</w:t>
      </w:r>
    </w:p>
    <w:p w14:paraId="043F3F46" w14:textId="77777777" w:rsidR="00EE7FAE" w:rsidRDefault="00EE7FAE" w:rsidP="00EE7FAE">
      <w:pPr>
        <w:pStyle w:val="SingleTxtG"/>
      </w:pPr>
      <w:r w:rsidRPr="00317F48">
        <w:t>3.</w:t>
      </w:r>
      <w:r w:rsidRPr="00350333">
        <w:tab/>
      </w:r>
      <w:r>
        <w:t xml:space="preserve">In paragraph </w:t>
      </w:r>
      <w:proofErr w:type="gramStart"/>
      <w:r>
        <w:t>2.1.3.2.2 ,</w:t>
      </w:r>
      <w:proofErr w:type="gramEnd"/>
      <w:r>
        <w:t xml:space="preserve"> the reference to ‘… grouped into </w:t>
      </w:r>
      <w:r w:rsidRPr="006E28ED">
        <w:rPr>
          <w:b/>
          <w:bCs/>
        </w:rPr>
        <w:t>seven</w:t>
      </w:r>
      <w:r>
        <w:t xml:space="preserve"> series as listed …’ should read ‘… grouped into </w:t>
      </w:r>
      <w:r w:rsidRPr="006E28ED">
        <w:rPr>
          <w:b/>
          <w:bCs/>
        </w:rPr>
        <w:t>eight</w:t>
      </w:r>
      <w:r>
        <w:t xml:space="preserve"> series as listed …’.</w:t>
      </w:r>
    </w:p>
    <w:p w14:paraId="096B1AA7" w14:textId="527B0AF2" w:rsidR="00EE7FAE" w:rsidRPr="00E11E26" w:rsidRDefault="00E11E26" w:rsidP="00E11E26">
      <w:pPr>
        <w:pStyle w:val="H4G"/>
      </w:pPr>
      <w:r>
        <w:lastRenderedPageBreak/>
        <w:tab/>
      </w:r>
      <w:r>
        <w:tab/>
      </w:r>
      <w:r w:rsidR="00EE7FAE" w:rsidRPr="00E11E26">
        <w:t>Correction</w:t>
      </w:r>
    </w:p>
    <w:p w14:paraId="6CEA3150" w14:textId="77777777" w:rsidR="00EE7FAE" w:rsidRPr="000D2788" w:rsidRDefault="00EE7FAE" w:rsidP="00EE7FAE">
      <w:pPr>
        <w:pStyle w:val="SingleTxtG"/>
      </w:pPr>
      <w:r w:rsidRPr="00DF7172">
        <w:t>4.</w:t>
      </w:r>
      <w:r>
        <w:tab/>
        <w:t xml:space="preserve">In chapter 2.1, paragraph 2.1.3.2.2 </w:t>
      </w:r>
      <w:proofErr w:type="gramStart"/>
      <w:r w:rsidRPr="00DF7172">
        <w:rPr>
          <w:i/>
          <w:iCs/>
        </w:rPr>
        <w:t>replace</w:t>
      </w:r>
      <w:proofErr w:type="gramEnd"/>
      <w:r>
        <w:t xml:space="preserve"> seven series </w:t>
      </w:r>
      <w:r w:rsidRPr="00DF7172">
        <w:rPr>
          <w:i/>
          <w:iCs/>
        </w:rPr>
        <w:t>by</w:t>
      </w:r>
      <w:r>
        <w:t xml:space="preserve"> eight series</w:t>
      </w:r>
    </w:p>
    <w:p w14:paraId="6F72B030" w14:textId="542CCA52" w:rsidR="00EE7FAE" w:rsidRPr="00350333" w:rsidRDefault="00EE7FAE" w:rsidP="00EE7FAE">
      <w:pPr>
        <w:pStyle w:val="H1G"/>
      </w:pPr>
      <w:bookmarkStart w:id="1" w:name="_Hlk129526399"/>
      <w:r>
        <w:tab/>
      </w:r>
      <w:r>
        <w:tab/>
      </w:r>
      <w:bookmarkEnd w:id="1"/>
      <w:r w:rsidR="00B12297">
        <w:t>Globally Harmonized System</w:t>
      </w:r>
      <w:r>
        <w:t>, chapter 2.8, definition of self-reactive substances or mixtures</w:t>
      </w:r>
    </w:p>
    <w:p w14:paraId="1DDE1175" w14:textId="7332E15D" w:rsidR="00EE7FAE" w:rsidRDefault="003B6B38" w:rsidP="00EE7FAE">
      <w:pPr>
        <w:pStyle w:val="SingleTxtG"/>
      </w:pPr>
      <w:r>
        <w:t>5</w:t>
      </w:r>
      <w:r w:rsidR="00EE7FAE">
        <w:t>.</w:t>
      </w:r>
      <w:r w:rsidR="00EE7FAE">
        <w:tab/>
        <w:t xml:space="preserve">Paragraph 2.8.1.1 provides the definition for self-reactive substances or mixtures. However, the second sentence of this definition is unfinished. It should perhaps end with ‘… as explosives, organic peroxides or oxidizing </w:t>
      </w:r>
      <w:r w:rsidR="00EE7FAE" w:rsidRPr="00550562">
        <w:rPr>
          <w:b/>
          <w:bCs/>
        </w:rPr>
        <w:t>liquids or solids</w:t>
      </w:r>
      <w:r w:rsidR="00EE7FAE">
        <w:t>.’ This would maintain consistency with paragraph 2.8.2.1 (b).</w:t>
      </w:r>
    </w:p>
    <w:p w14:paraId="6B507E42" w14:textId="77777777" w:rsidR="00EE7FAE" w:rsidRDefault="00EE7FAE" w:rsidP="00E11E26">
      <w:pPr>
        <w:pStyle w:val="H4G"/>
      </w:pPr>
      <w:r>
        <w:tab/>
      </w:r>
      <w:r>
        <w:tab/>
        <w:t>Correction</w:t>
      </w:r>
    </w:p>
    <w:p w14:paraId="0A089221" w14:textId="472BDDCB" w:rsidR="00EE7FAE" w:rsidRDefault="0091269C" w:rsidP="00EE7FAE">
      <w:pPr>
        <w:pStyle w:val="SingleTxtG"/>
      </w:pPr>
      <w:r>
        <w:t>6.</w:t>
      </w:r>
      <w:r>
        <w:tab/>
        <w:t xml:space="preserve">In chapter 2.8, paragraph </w:t>
      </w:r>
      <w:r w:rsidR="00EE7FAE">
        <w:t>2.8.1.1</w:t>
      </w:r>
      <w:r>
        <w:t>, a</w:t>
      </w:r>
      <w:r w:rsidR="00EE7FAE">
        <w:t xml:space="preserve">t the end of the </w:t>
      </w:r>
      <w:proofErr w:type="gramStart"/>
      <w:r w:rsidR="00EE7FAE">
        <w:t xml:space="preserve">paragraph,  </w:t>
      </w:r>
      <w:r w:rsidR="00EE7FAE" w:rsidRPr="00DF7172">
        <w:rPr>
          <w:i/>
          <w:iCs/>
        </w:rPr>
        <w:t>for</w:t>
      </w:r>
      <w:proofErr w:type="gramEnd"/>
      <w:r w:rsidR="00EE7FAE">
        <w:rPr>
          <w:i/>
          <w:iCs/>
        </w:rPr>
        <w:t xml:space="preserve"> </w:t>
      </w:r>
      <w:r w:rsidR="00EE7FAE" w:rsidRPr="00DF7172">
        <w:t>or as</w:t>
      </w:r>
      <w:r w:rsidR="00EE7FAE">
        <w:rPr>
          <w:i/>
          <w:iCs/>
        </w:rPr>
        <w:t xml:space="preserve"> </w:t>
      </w:r>
      <w:r w:rsidR="00EE7FAE" w:rsidRPr="00DF7172">
        <w:t>oxidizing</w:t>
      </w:r>
      <w:r w:rsidR="00EE7FAE">
        <w:t xml:space="preserve"> </w:t>
      </w:r>
      <w:r w:rsidR="00EE7FAE" w:rsidRPr="00DF7172">
        <w:rPr>
          <w:i/>
          <w:iCs/>
        </w:rPr>
        <w:t>read</w:t>
      </w:r>
      <w:r w:rsidR="00EE7FAE">
        <w:t xml:space="preserve"> or as oxidizing liquids or solids.</w:t>
      </w:r>
    </w:p>
    <w:p w14:paraId="05DAC20D" w14:textId="77777777" w:rsidR="00EE7FAE" w:rsidRPr="00447F71" w:rsidRDefault="00EE7FAE" w:rsidP="00EE7FAE">
      <w:pPr>
        <w:pStyle w:val="H1G"/>
      </w:pPr>
      <w:r>
        <w:tab/>
      </w:r>
      <w:r>
        <w:tab/>
        <w:t>Manual of Tests and Criteria</w:t>
      </w:r>
    </w:p>
    <w:p w14:paraId="345319D5" w14:textId="77777777" w:rsidR="00EE7FAE" w:rsidRDefault="00EE7FAE" w:rsidP="00EE7FAE">
      <w:pPr>
        <w:pStyle w:val="H23G"/>
      </w:pPr>
      <w:r>
        <w:tab/>
      </w:r>
      <w:r>
        <w:tab/>
        <w:t>Section 11</w:t>
      </w:r>
    </w:p>
    <w:p w14:paraId="7312C130" w14:textId="0DEE52C4" w:rsidR="00EE7FAE" w:rsidRDefault="0091269C" w:rsidP="00EE7FAE">
      <w:pPr>
        <w:pStyle w:val="SingleTxtG"/>
      </w:pPr>
      <w:r>
        <w:t>7</w:t>
      </w:r>
      <w:r w:rsidR="00EE7FAE">
        <w:t>.</w:t>
      </w:r>
      <w:r w:rsidR="00EE7FAE">
        <w:tab/>
        <w:t>Paragraph 11.1.1 currently reads:</w:t>
      </w:r>
    </w:p>
    <w:p w14:paraId="318A5336" w14:textId="77777777" w:rsidR="00EE7FAE" w:rsidRDefault="00EE7FAE" w:rsidP="00EE7FAE">
      <w:pPr>
        <w:pStyle w:val="SingleTxtG"/>
      </w:pPr>
      <w:bookmarkStart w:id="2" w:name="_Hlk138775153"/>
      <w:r>
        <w:t>‘The question “</w:t>
      </w:r>
      <w:r w:rsidRPr="004071D6">
        <w:rPr>
          <w:b/>
          <w:bCs/>
        </w:rPr>
        <w:t>Is it an explosive substance</w:t>
      </w:r>
      <w:r>
        <w:t>?” (</w:t>
      </w:r>
      <w:r w:rsidRPr="00057701">
        <w:t xml:space="preserve">Box </w:t>
      </w:r>
      <w:r>
        <w:t xml:space="preserve">5 of Figure 10.2) is answered </w:t>
      </w:r>
      <w:proofErr w:type="gramStart"/>
      <w:r>
        <w:t>on the basis of</w:t>
      </w:r>
      <w:proofErr w:type="gramEnd"/>
      <w:r>
        <w:t xml:space="preserve"> the results of three types of tests to assess possible explosive effects. The question in </w:t>
      </w:r>
      <w:r w:rsidRPr="00057701">
        <w:t>Box 5</w:t>
      </w:r>
      <w:r>
        <w:t xml:space="preserve"> is answered “yes” if a “+” is obtained in any of the three types of </w:t>
      </w:r>
      <w:proofErr w:type="gramStart"/>
      <w:r>
        <w:t>test</w:t>
      </w:r>
      <w:proofErr w:type="gramEnd"/>
      <w:r>
        <w:t>.’</w:t>
      </w:r>
      <w:r>
        <w:tab/>
      </w:r>
    </w:p>
    <w:bookmarkEnd w:id="2"/>
    <w:p w14:paraId="22A7135D" w14:textId="4759A12D" w:rsidR="00EE7FAE" w:rsidRDefault="0091269C" w:rsidP="00EE7FAE">
      <w:pPr>
        <w:pStyle w:val="SingleTxtG"/>
      </w:pPr>
      <w:r>
        <w:t>8</w:t>
      </w:r>
      <w:r w:rsidR="00EE7FAE">
        <w:t>.</w:t>
      </w:r>
      <w:r w:rsidR="00EE7FAE">
        <w:tab/>
        <w:t>For consistency with figure 10.2, the paragraph should read:</w:t>
      </w:r>
    </w:p>
    <w:p w14:paraId="7E9E9AF7" w14:textId="77777777" w:rsidR="00EE7FAE" w:rsidRDefault="00EE7FAE" w:rsidP="00EE7FAE">
      <w:pPr>
        <w:pStyle w:val="SingleTxtG"/>
      </w:pPr>
      <w:r>
        <w:t>‘The question “</w:t>
      </w:r>
      <w:r w:rsidRPr="006837C1">
        <w:rPr>
          <w:b/>
          <w:bCs/>
        </w:rPr>
        <w:t>Does it have explosive properties</w:t>
      </w:r>
      <w:r>
        <w:t>?” (</w:t>
      </w:r>
      <w:r w:rsidRPr="00057701">
        <w:t>Box 5</w:t>
      </w:r>
      <w:r>
        <w:t xml:space="preserve"> of Figure 10.2) is answered </w:t>
      </w:r>
      <w:proofErr w:type="gramStart"/>
      <w:r>
        <w:t>on the basis of</w:t>
      </w:r>
      <w:proofErr w:type="gramEnd"/>
      <w:r>
        <w:t xml:space="preserve"> the results of three types of tests to assess possible explosive effects. The question in </w:t>
      </w:r>
      <w:r w:rsidRPr="00057701">
        <w:t>Box 5</w:t>
      </w:r>
      <w:r>
        <w:t xml:space="preserve"> is answered “yes” if a “+” is obtained in any of the three types of </w:t>
      </w:r>
      <w:proofErr w:type="gramStart"/>
      <w:r>
        <w:t>test</w:t>
      </w:r>
      <w:proofErr w:type="gramEnd"/>
      <w:r>
        <w:t>.’</w:t>
      </w:r>
      <w:r>
        <w:tab/>
      </w:r>
    </w:p>
    <w:p w14:paraId="25AC012D" w14:textId="77777777" w:rsidR="00EE7FAE" w:rsidRDefault="00EE7FAE" w:rsidP="00EE7FAE">
      <w:pPr>
        <w:pStyle w:val="H4G"/>
      </w:pPr>
      <w:r>
        <w:tab/>
      </w:r>
      <w:r>
        <w:tab/>
        <w:t>Correction</w:t>
      </w:r>
    </w:p>
    <w:p w14:paraId="52B5D02C" w14:textId="37FEF53E" w:rsidR="00EE7FAE" w:rsidRDefault="0091269C" w:rsidP="00EE7FAE">
      <w:pPr>
        <w:pStyle w:val="SingleTxtG"/>
      </w:pPr>
      <w:r>
        <w:t>9</w:t>
      </w:r>
      <w:r w:rsidR="00EE7FAE">
        <w:t>.</w:t>
      </w:r>
      <w:r w:rsidR="00EE7FAE">
        <w:tab/>
      </w:r>
      <w:r>
        <w:t>In s</w:t>
      </w:r>
      <w:r w:rsidR="00EE7FAE">
        <w:t xml:space="preserve">ection 11, paragraph 11.1.1 </w:t>
      </w:r>
      <w:r w:rsidR="00D76C80">
        <w:rPr>
          <w:i/>
          <w:iCs/>
        </w:rPr>
        <w:t>for</w:t>
      </w:r>
      <w:r w:rsidR="00EE7FAE">
        <w:t xml:space="preserve"> </w:t>
      </w:r>
      <w:r w:rsidR="00EE7FAE" w:rsidRPr="00DF7172">
        <w:t>Is it an explosive substance?</w:t>
      </w:r>
      <w:r w:rsidR="00EE7FAE">
        <w:rPr>
          <w:b/>
          <w:bCs/>
        </w:rPr>
        <w:t xml:space="preserve"> </w:t>
      </w:r>
      <w:r w:rsidR="00D76C80" w:rsidRPr="00D76C80">
        <w:rPr>
          <w:i/>
          <w:iCs/>
        </w:rPr>
        <w:t>read</w:t>
      </w:r>
      <w:r w:rsidR="00EE7FAE">
        <w:rPr>
          <w:b/>
          <w:bCs/>
        </w:rPr>
        <w:t xml:space="preserve"> </w:t>
      </w:r>
      <w:r w:rsidR="00EE7FAE" w:rsidRPr="00DF7172">
        <w:t xml:space="preserve">Does it have explosive </w:t>
      </w:r>
      <w:proofErr w:type="gramStart"/>
      <w:r w:rsidR="00EE7FAE" w:rsidRPr="00DF7172">
        <w:t>properties</w:t>
      </w:r>
      <w:r w:rsidR="00EE7FAE" w:rsidRPr="000D2788">
        <w:t>?.</w:t>
      </w:r>
      <w:proofErr w:type="gramEnd"/>
    </w:p>
    <w:p w14:paraId="24000400" w14:textId="77777777" w:rsidR="00EE7FAE" w:rsidRDefault="00EE7FAE" w:rsidP="00EE7FAE">
      <w:pPr>
        <w:pStyle w:val="H23G"/>
      </w:pPr>
      <w:r>
        <w:tab/>
      </w:r>
      <w:r>
        <w:tab/>
        <w:t>Section 12</w:t>
      </w:r>
    </w:p>
    <w:p w14:paraId="2FA62993" w14:textId="7A2661C6" w:rsidR="00EE7FAE" w:rsidRDefault="0091269C" w:rsidP="00EE7FAE">
      <w:pPr>
        <w:pStyle w:val="SingleTxtG"/>
      </w:pPr>
      <w:r>
        <w:t>10</w:t>
      </w:r>
      <w:r w:rsidR="00EE7FAE">
        <w:t>.</w:t>
      </w:r>
      <w:r w:rsidR="00EE7FAE">
        <w:tab/>
        <w:t>Paragraph 12.1.1 currently reads:</w:t>
      </w:r>
    </w:p>
    <w:p w14:paraId="1495C160" w14:textId="77777777" w:rsidR="00EE7FAE" w:rsidRDefault="00EE7FAE" w:rsidP="00EE7FAE">
      <w:pPr>
        <w:pStyle w:val="SingleTxtG"/>
      </w:pPr>
      <w:bookmarkStart w:id="3" w:name="_Hlk138775697"/>
      <w:r>
        <w:t>‘The question “</w:t>
      </w:r>
      <w:r w:rsidRPr="00AB5FCD">
        <w:rPr>
          <w:b/>
          <w:bCs/>
        </w:rPr>
        <w:t xml:space="preserve">Is </w:t>
      </w:r>
      <w:r>
        <w:rPr>
          <w:b/>
          <w:bCs/>
        </w:rPr>
        <w:t xml:space="preserve">the substance too insensitive for inclusion in the class of explosives?” </w:t>
      </w:r>
      <w:r>
        <w:t xml:space="preserve"> (</w:t>
      </w:r>
      <w:proofErr w:type="gramStart"/>
      <w:r w:rsidRPr="00AA3C70">
        <w:t>b</w:t>
      </w:r>
      <w:r w:rsidRPr="00F3170D">
        <w:t>ox</w:t>
      </w:r>
      <w:proofErr w:type="gramEnd"/>
      <w:r w:rsidRPr="00F3170D">
        <w:t xml:space="preserve"> </w:t>
      </w:r>
      <w:r w:rsidRPr="00F3170D">
        <w:rPr>
          <w:b/>
          <w:bCs/>
        </w:rPr>
        <w:t>7</w:t>
      </w:r>
      <w:r>
        <w:t xml:space="preserve"> of Figure 10.2) is answered on the basis of three types of tests to assess possible explosive effects. The question in </w:t>
      </w:r>
      <w:r w:rsidRPr="00F3170D">
        <w:rPr>
          <w:b/>
          <w:bCs/>
        </w:rPr>
        <w:t>b</w:t>
      </w:r>
      <w:r w:rsidRPr="002D6658">
        <w:rPr>
          <w:b/>
          <w:bCs/>
        </w:rPr>
        <w:t>ox 6</w:t>
      </w:r>
      <w:r>
        <w:t xml:space="preserve"> is answered “no” if a “+” is obtained in any of the three types of </w:t>
      </w:r>
      <w:proofErr w:type="gramStart"/>
      <w:r>
        <w:t>test</w:t>
      </w:r>
      <w:proofErr w:type="gramEnd"/>
      <w:r>
        <w:t>.’</w:t>
      </w:r>
    </w:p>
    <w:bookmarkEnd w:id="3"/>
    <w:p w14:paraId="5028329A" w14:textId="73278179" w:rsidR="00EE7FAE" w:rsidRDefault="0091269C" w:rsidP="00EE7FAE">
      <w:pPr>
        <w:pStyle w:val="SingleTxtG"/>
      </w:pPr>
      <w:r>
        <w:t>11</w:t>
      </w:r>
      <w:r w:rsidR="00EE7FAE">
        <w:t>.</w:t>
      </w:r>
      <w:r w:rsidR="00EE7FAE">
        <w:tab/>
        <w:t>For consistency with figure 10.2, the paragraph should read:</w:t>
      </w:r>
    </w:p>
    <w:p w14:paraId="312A16A9" w14:textId="77777777" w:rsidR="00EE7FAE" w:rsidRDefault="00EE7FAE" w:rsidP="00EE7FAE">
      <w:pPr>
        <w:pStyle w:val="SingleTxtG"/>
      </w:pPr>
      <w:r>
        <w:t>‘The question “</w:t>
      </w:r>
      <w:r w:rsidRPr="00AB5FCD">
        <w:rPr>
          <w:b/>
          <w:bCs/>
        </w:rPr>
        <w:t xml:space="preserve">Is </w:t>
      </w:r>
      <w:r>
        <w:rPr>
          <w:b/>
          <w:bCs/>
        </w:rPr>
        <w:t xml:space="preserve">it too insensitive for acceptance into this class?” </w:t>
      </w:r>
      <w:r>
        <w:t xml:space="preserve"> (</w:t>
      </w:r>
      <w:proofErr w:type="gramStart"/>
      <w:r w:rsidRPr="008F224D">
        <w:t>b</w:t>
      </w:r>
      <w:r w:rsidRPr="00F3170D">
        <w:t>ox</w:t>
      </w:r>
      <w:proofErr w:type="gramEnd"/>
      <w:r w:rsidRPr="00F3170D">
        <w:t xml:space="preserve"> </w:t>
      </w:r>
      <w:r w:rsidRPr="008F224D">
        <w:t>7</w:t>
      </w:r>
      <w:r>
        <w:t xml:space="preserve"> of Figure 10.2) is answered on the basis of three types of tests to assess possible explosive effects. The question in </w:t>
      </w:r>
      <w:r w:rsidRPr="00F3170D">
        <w:rPr>
          <w:b/>
          <w:bCs/>
        </w:rPr>
        <w:t>box 7</w:t>
      </w:r>
      <w:r>
        <w:t xml:space="preserve"> is answered “no” if a “+” is obtained in any of the three types of </w:t>
      </w:r>
      <w:proofErr w:type="gramStart"/>
      <w:r>
        <w:t>test</w:t>
      </w:r>
      <w:proofErr w:type="gramEnd"/>
      <w:r>
        <w:t>.’</w:t>
      </w:r>
    </w:p>
    <w:p w14:paraId="36B42DA2" w14:textId="77777777" w:rsidR="00EE7FAE" w:rsidRDefault="00EE7FAE" w:rsidP="00EE7FAE">
      <w:pPr>
        <w:pStyle w:val="H4G"/>
      </w:pPr>
      <w:r>
        <w:tab/>
      </w:r>
      <w:r>
        <w:tab/>
        <w:t>Correction</w:t>
      </w:r>
    </w:p>
    <w:p w14:paraId="39476A55" w14:textId="5D665230" w:rsidR="00EE7FAE" w:rsidRDefault="0091269C" w:rsidP="00EE7FAE">
      <w:pPr>
        <w:pStyle w:val="SingleTxtG"/>
      </w:pPr>
      <w:r>
        <w:t>12</w:t>
      </w:r>
      <w:r w:rsidR="00EE7FAE">
        <w:t>.</w:t>
      </w:r>
      <w:r w:rsidR="00EE7FAE">
        <w:tab/>
      </w:r>
      <w:r>
        <w:t>In s</w:t>
      </w:r>
      <w:r w:rsidR="00EE7FAE">
        <w:t xml:space="preserve">ection 12, paragraph 12.1.1 </w:t>
      </w:r>
      <w:r w:rsidR="00D76C80">
        <w:rPr>
          <w:i/>
          <w:iCs/>
        </w:rPr>
        <w:t xml:space="preserve">for </w:t>
      </w:r>
      <w:r w:rsidR="00EE7FAE" w:rsidRPr="00DF7172">
        <w:t>Is the substance too insensitive for inclusion in the class of explosives?</w:t>
      </w:r>
      <w:r w:rsidR="00EE7FAE">
        <w:rPr>
          <w:b/>
          <w:bCs/>
        </w:rPr>
        <w:t xml:space="preserve"> </w:t>
      </w:r>
      <w:r w:rsidR="00D76C80">
        <w:rPr>
          <w:i/>
          <w:iCs/>
        </w:rPr>
        <w:t>read</w:t>
      </w:r>
      <w:r w:rsidR="00EE7FAE">
        <w:rPr>
          <w:b/>
          <w:bCs/>
        </w:rPr>
        <w:t xml:space="preserve"> </w:t>
      </w:r>
      <w:r w:rsidR="00EE7FAE" w:rsidRPr="00DF7172">
        <w:t>Is it too insensitive for acceptance into this class?</w:t>
      </w:r>
    </w:p>
    <w:p w14:paraId="03C7077D" w14:textId="77777777" w:rsidR="00EE7FAE" w:rsidRDefault="00EE7FAE" w:rsidP="00EE7FAE">
      <w:pPr>
        <w:pStyle w:val="H23G"/>
      </w:pPr>
      <w:r>
        <w:tab/>
      </w:r>
      <w:r>
        <w:tab/>
        <w:t>Section 16</w:t>
      </w:r>
    </w:p>
    <w:p w14:paraId="0576FA44" w14:textId="00AE780F" w:rsidR="00EE7FAE" w:rsidRDefault="00EE7FAE" w:rsidP="00EE7FAE">
      <w:pPr>
        <w:pStyle w:val="SingleTxtG"/>
      </w:pPr>
      <w:r>
        <w:t>1</w:t>
      </w:r>
      <w:r w:rsidR="00D76C80">
        <w:t>3</w:t>
      </w:r>
      <w:r>
        <w:t>.</w:t>
      </w:r>
      <w:r>
        <w:tab/>
        <w:t xml:space="preserve">In 16.6.1.4.6 the reference ‘(see Box 32 of Figure 10.3)’ should be ‘(see boxes </w:t>
      </w:r>
      <w:r w:rsidRPr="00057701">
        <w:rPr>
          <w:b/>
          <w:bCs/>
        </w:rPr>
        <w:t>32 to</w:t>
      </w:r>
      <w:r w:rsidR="00D76C80">
        <w:rPr>
          <w:b/>
          <w:bCs/>
        </w:rPr>
        <w:t> </w:t>
      </w:r>
      <w:r w:rsidRPr="00057701">
        <w:rPr>
          <w:b/>
          <w:bCs/>
        </w:rPr>
        <w:t>37</w:t>
      </w:r>
      <w:r>
        <w:t xml:space="preserve"> of Figure 10.3)’.</w:t>
      </w:r>
    </w:p>
    <w:p w14:paraId="406BAA7E" w14:textId="77777777" w:rsidR="00EE7FAE" w:rsidRDefault="00EE7FAE" w:rsidP="00EE7FAE">
      <w:pPr>
        <w:pStyle w:val="H4G"/>
      </w:pPr>
      <w:r>
        <w:lastRenderedPageBreak/>
        <w:tab/>
      </w:r>
      <w:r>
        <w:tab/>
        <w:t>Correction</w:t>
      </w:r>
    </w:p>
    <w:p w14:paraId="7D78688E" w14:textId="0497B4DF" w:rsidR="00EE7FAE" w:rsidRDefault="00EE7FAE" w:rsidP="00EE7FAE">
      <w:pPr>
        <w:pStyle w:val="SingleTxtG"/>
      </w:pPr>
      <w:r>
        <w:t>1</w:t>
      </w:r>
      <w:r w:rsidR="00D76C80">
        <w:t>4</w:t>
      </w:r>
      <w:r>
        <w:t>.</w:t>
      </w:r>
      <w:r>
        <w:tab/>
        <w:t xml:space="preserve">Section 16, paragraph 16.6.1.4.6, </w:t>
      </w:r>
      <w:r w:rsidRPr="00DF7172">
        <w:rPr>
          <w:i/>
          <w:iCs/>
        </w:rPr>
        <w:t>replace</w:t>
      </w:r>
      <w:r>
        <w:t xml:space="preserve"> (see Box 32 of figure 10.3) </w:t>
      </w:r>
      <w:r w:rsidRPr="00DF7172">
        <w:rPr>
          <w:i/>
          <w:iCs/>
        </w:rPr>
        <w:t>by</w:t>
      </w:r>
      <w:r>
        <w:t xml:space="preserve"> (see boxes 32 to 37 of figure 10.3).</w:t>
      </w:r>
    </w:p>
    <w:p w14:paraId="0F50060D" w14:textId="77777777" w:rsidR="00EE7FAE" w:rsidRDefault="00EE7FAE" w:rsidP="00EE7FAE">
      <w:pPr>
        <w:pStyle w:val="H23G"/>
      </w:pPr>
      <w:r>
        <w:tab/>
      </w:r>
      <w:r>
        <w:tab/>
        <w:t>Section 32</w:t>
      </w:r>
    </w:p>
    <w:p w14:paraId="0C04DAF2" w14:textId="3CF568D2" w:rsidR="00EE7FAE" w:rsidRDefault="00EE7FAE" w:rsidP="00EE7FAE">
      <w:pPr>
        <w:pStyle w:val="SingleTxtG"/>
      </w:pPr>
      <w:r>
        <w:t>1</w:t>
      </w:r>
      <w:r w:rsidR="00D76C80">
        <w:t>5</w:t>
      </w:r>
      <w:r>
        <w:t>.</w:t>
      </w:r>
      <w:r>
        <w:tab/>
        <w:t xml:space="preserve">In paragraph 32.3.2.1, </w:t>
      </w:r>
      <w:bookmarkStart w:id="4" w:name="_Hlk138777225"/>
      <w:r>
        <w:t xml:space="preserve">the reference ‘(see paragraph 2.3.1.4 of the Model Regulations and </w:t>
      </w:r>
      <w:r w:rsidRPr="00F3170D">
        <w:rPr>
          <w:b/>
          <w:bCs/>
        </w:rPr>
        <w:t>note 2 to paragraph 2.1.1</w:t>
      </w:r>
      <w:r>
        <w:t xml:space="preserve"> of the GHS)’ needs to be corrected as note 2 to paragraph 2.1.1 of the GHS appears irrelevant. Perhaps it should be ‘(see paragraph</w:t>
      </w:r>
      <w:r w:rsidRPr="00DF7172">
        <w:rPr>
          <w:b/>
          <w:bCs/>
        </w:rPr>
        <w:t>s</w:t>
      </w:r>
      <w:r>
        <w:t xml:space="preserve"> 2.3.1.4 of the Model Regulations and </w:t>
      </w:r>
      <w:r w:rsidRPr="00057701">
        <w:rPr>
          <w:b/>
          <w:bCs/>
        </w:rPr>
        <w:t>2.17.1.2</w:t>
      </w:r>
      <w:r>
        <w:rPr>
          <w:b/>
          <w:bCs/>
        </w:rPr>
        <w:t> </w:t>
      </w:r>
      <w:r w:rsidRPr="00EE0D47">
        <w:rPr>
          <w:b/>
          <w:bCs/>
        </w:rPr>
        <w:t>(b)</w:t>
      </w:r>
      <w:r>
        <w:t xml:space="preserve"> of the GHS)’.</w:t>
      </w:r>
    </w:p>
    <w:p w14:paraId="31502E90" w14:textId="77777777" w:rsidR="00EE7FAE" w:rsidRDefault="00EE7FAE" w:rsidP="00EE7FAE">
      <w:pPr>
        <w:pStyle w:val="H4G"/>
      </w:pPr>
      <w:r>
        <w:tab/>
      </w:r>
      <w:r>
        <w:tab/>
        <w:t>Correction</w:t>
      </w:r>
    </w:p>
    <w:p w14:paraId="6C170A13" w14:textId="07F711D5" w:rsidR="00EE7FAE" w:rsidRDefault="00EE7FAE" w:rsidP="00EE7FAE">
      <w:pPr>
        <w:pStyle w:val="SingleTxtG"/>
      </w:pPr>
      <w:r>
        <w:t>1</w:t>
      </w:r>
      <w:r w:rsidR="00D76C80">
        <w:t>6</w:t>
      </w:r>
      <w:r>
        <w:t>.</w:t>
      </w:r>
      <w:r>
        <w:tab/>
      </w:r>
      <w:r w:rsidR="00D76C80">
        <w:t>In s</w:t>
      </w:r>
      <w:r>
        <w:t xml:space="preserve">ection 32, paragraph 32.3.2.1, </w:t>
      </w:r>
      <w:r w:rsidR="00D76C80">
        <w:rPr>
          <w:i/>
          <w:iCs/>
        </w:rPr>
        <w:t xml:space="preserve">for </w:t>
      </w:r>
      <w:r>
        <w:t xml:space="preserve">(see paragraph 2.3.1.4 of the Model Regulations and </w:t>
      </w:r>
      <w:r w:rsidRPr="00DF7172">
        <w:t>note 2 to paragraph 2.1.1</w:t>
      </w:r>
      <w:r>
        <w:t xml:space="preserve"> of the GHS) </w:t>
      </w:r>
      <w:r w:rsidR="00D76C80">
        <w:rPr>
          <w:i/>
          <w:iCs/>
        </w:rPr>
        <w:t xml:space="preserve">read </w:t>
      </w:r>
      <w:r>
        <w:t>(see paragraph</w:t>
      </w:r>
      <w:r w:rsidRPr="00DF7172">
        <w:t>s</w:t>
      </w:r>
      <w:r>
        <w:t xml:space="preserve"> 2.3.1.4 of the Model Regulations </w:t>
      </w:r>
      <w:r w:rsidRPr="00696786">
        <w:t xml:space="preserve">and </w:t>
      </w:r>
      <w:r w:rsidRPr="00DF7172">
        <w:t>2.17.1.2 (b)</w:t>
      </w:r>
      <w:r>
        <w:t xml:space="preserve"> of the GHS)</w:t>
      </w:r>
    </w:p>
    <w:bookmarkEnd w:id="4"/>
    <w:p w14:paraId="4AEA6AD8" w14:textId="77777777" w:rsidR="00EE7FAE" w:rsidRDefault="00EE7FAE" w:rsidP="00EE7FAE">
      <w:pPr>
        <w:pStyle w:val="H23G"/>
      </w:pPr>
      <w:r>
        <w:tab/>
      </w:r>
      <w:r>
        <w:tab/>
        <w:t>Section 33</w:t>
      </w:r>
    </w:p>
    <w:p w14:paraId="1E11C8B2" w14:textId="71941FE6" w:rsidR="00EE7FAE" w:rsidRDefault="00EE7FAE" w:rsidP="00EE7FAE">
      <w:pPr>
        <w:pStyle w:val="SingleTxtG"/>
      </w:pPr>
      <w:r>
        <w:t>1</w:t>
      </w:r>
      <w:r w:rsidR="00D76C80">
        <w:t>7</w:t>
      </w:r>
      <w:r>
        <w:t>.</w:t>
      </w:r>
      <w:r>
        <w:tab/>
        <w:t xml:space="preserve">In section 33, paragraph 33.3.1, the reference ‘(see </w:t>
      </w:r>
      <w:r w:rsidRPr="00B229AF">
        <w:rPr>
          <w:b/>
          <w:bCs/>
        </w:rPr>
        <w:t>sub-section 2.4.2.4 of the Model Regulations and note 2 to paragraph 2.1.2.2</w:t>
      </w:r>
      <w:r>
        <w:t xml:space="preserve"> of the GHS)’ needs to be corrected as the current note 2 to paragraph 2.1.2.2 of the GHS appears irrelevant. Perhaps it should be ‘(see subsection 2.4.2.4 of the Model Regulations and </w:t>
      </w:r>
      <w:r w:rsidRPr="00057701">
        <w:rPr>
          <w:b/>
          <w:bCs/>
        </w:rPr>
        <w:t>2.17.1.2</w:t>
      </w:r>
      <w:r w:rsidRPr="00464CDD">
        <w:rPr>
          <w:b/>
          <w:bCs/>
        </w:rPr>
        <w:t>(a)</w:t>
      </w:r>
      <w:r>
        <w:t xml:space="preserve"> of the GHS).’</w:t>
      </w:r>
    </w:p>
    <w:p w14:paraId="2B4D218B" w14:textId="77777777" w:rsidR="00EE7FAE" w:rsidRPr="00B40E23" w:rsidRDefault="00EE7FAE" w:rsidP="00EE7FAE">
      <w:pPr>
        <w:pStyle w:val="H4G"/>
      </w:pPr>
      <w:r w:rsidRPr="00B40E23">
        <w:tab/>
      </w:r>
      <w:r w:rsidRPr="00B40E23">
        <w:tab/>
      </w:r>
      <w:r>
        <w:t>Correction</w:t>
      </w:r>
    </w:p>
    <w:p w14:paraId="490C92E9" w14:textId="57885168" w:rsidR="00EE7FAE" w:rsidRPr="009D274E" w:rsidRDefault="00EE7FAE" w:rsidP="00EE7FAE">
      <w:pPr>
        <w:pStyle w:val="SingleTxtG"/>
      </w:pPr>
      <w:r>
        <w:t>1</w:t>
      </w:r>
      <w:r w:rsidR="00EC775E">
        <w:t>8</w:t>
      </w:r>
      <w:r>
        <w:t>.</w:t>
      </w:r>
      <w:r>
        <w:tab/>
      </w:r>
      <w:r w:rsidR="00EC775E">
        <w:t>In s</w:t>
      </w:r>
      <w:r>
        <w:t xml:space="preserve">ection 33, paragraph 33.3.1, </w:t>
      </w:r>
      <w:r w:rsidR="00EC775E">
        <w:rPr>
          <w:i/>
          <w:iCs/>
        </w:rPr>
        <w:t xml:space="preserve">for </w:t>
      </w:r>
      <w:r w:rsidRPr="00DF7172">
        <w:t>and note 2 to paragraph 2.1.2.2</w:t>
      </w:r>
      <w:r w:rsidRPr="009D274E">
        <w:t xml:space="preserve"> of the GHS)</w:t>
      </w:r>
      <w:r w:rsidRPr="00DF7172">
        <w:rPr>
          <w:i/>
          <w:iCs/>
        </w:rPr>
        <w:t xml:space="preserve"> </w:t>
      </w:r>
      <w:r w:rsidR="00EC775E">
        <w:rPr>
          <w:i/>
          <w:iCs/>
        </w:rPr>
        <w:t>read</w:t>
      </w:r>
      <w:r w:rsidRPr="009D274E">
        <w:t xml:space="preserve"> (and </w:t>
      </w:r>
      <w:r>
        <w:t xml:space="preserve">paragraph </w:t>
      </w:r>
      <w:r w:rsidRPr="00DF7172">
        <w:t>2.17.1.2 (a)</w:t>
      </w:r>
      <w:r w:rsidRPr="009D274E">
        <w:t xml:space="preserve"> of the GHS)</w:t>
      </w:r>
    </w:p>
    <w:p w14:paraId="026CBE14" w14:textId="77777777" w:rsidR="00EE7FAE" w:rsidRPr="00350333" w:rsidRDefault="00EE7FAE" w:rsidP="00EE7FAE">
      <w:pPr>
        <w:pStyle w:val="HChG"/>
      </w:pPr>
      <w:r>
        <w:tab/>
        <w:t>III.</w:t>
      </w:r>
      <w:r>
        <w:tab/>
        <w:t xml:space="preserve">Proposed editorial amendment to the Manual of Tests and Criteria </w:t>
      </w:r>
    </w:p>
    <w:p w14:paraId="20C4B90B" w14:textId="77777777" w:rsidR="00EE7FAE" w:rsidRPr="00451A36" w:rsidRDefault="00EE7FAE" w:rsidP="00EE7FAE">
      <w:pPr>
        <w:pStyle w:val="H1G"/>
      </w:pPr>
      <w:r w:rsidRPr="00451A36">
        <w:tab/>
      </w:r>
      <w:r w:rsidRPr="00451A36">
        <w:tab/>
      </w:r>
      <w:r w:rsidRPr="00DF7172">
        <w:t>Reference to UN G</w:t>
      </w:r>
      <w:r>
        <w:t>ap</w:t>
      </w:r>
      <w:r w:rsidRPr="00DF7172">
        <w:t xml:space="preserve"> tests </w:t>
      </w:r>
    </w:p>
    <w:p w14:paraId="35FBA22E" w14:textId="7D59A84E" w:rsidR="00EE7FAE" w:rsidRDefault="00EE7FAE" w:rsidP="00EE7FAE">
      <w:pPr>
        <w:pStyle w:val="SingleTxtG"/>
      </w:pPr>
      <w:r>
        <w:t>1</w:t>
      </w:r>
      <w:r w:rsidR="00EC775E">
        <w:t>9</w:t>
      </w:r>
      <w:r>
        <w:t>.</w:t>
      </w:r>
      <w:r>
        <w:tab/>
        <w:t>There are three UN Gap tests included in the Manual of Tests and Criteria:</w:t>
      </w:r>
    </w:p>
    <w:p w14:paraId="11899E9F" w14:textId="77777777" w:rsidR="00EE7FAE" w:rsidRDefault="00EE7FAE" w:rsidP="00EE7FAE">
      <w:pPr>
        <w:pStyle w:val="SingleTxtG"/>
        <w:numPr>
          <w:ilvl w:val="0"/>
          <w:numId w:val="14"/>
        </w:numPr>
      </w:pPr>
      <w:r>
        <w:t>Test 1 (a) (Section 11)</w:t>
      </w:r>
    </w:p>
    <w:p w14:paraId="6797006B" w14:textId="77777777" w:rsidR="00EE7FAE" w:rsidRDefault="00EE7FAE" w:rsidP="00EE7FAE">
      <w:pPr>
        <w:pStyle w:val="SingleTxtG"/>
        <w:numPr>
          <w:ilvl w:val="0"/>
          <w:numId w:val="14"/>
        </w:numPr>
      </w:pPr>
      <w:r>
        <w:t>Test 2 (a) (Section 12)</w:t>
      </w:r>
    </w:p>
    <w:p w14:paraId="26F7EDBA" w14:textId="77777777" w:rsidR="00EE7FAE" w:rsidRDefault="00EE7FAE" w:rsidP="00EE7FAE">
      <w:pPr>
        <w:pStyle w:val="SingleTxtG"/>
        <w:numPr>
          <w:ilvl w:val="0"/>
          <w:numId w:val="14"/>
        </w:numPr>
      </w:pPr>
      <w:r>
        <w:t>Test A.5 (Section 21)</w:t>
      </w:r>
    </w:p>
    <w:p w14:paraId="1067BEC8" w14:textId="4D51CCCB" w:rsidR="00EE7FAE" w:rsidRDefault="00EC775E" w:rsidP="00EE7FAE">
      <w:pPr>
        <w:pStyle w:val="SingleTxtG"/>
      </w:pPr>
      <w:r>
        <w:t>20</w:t>
      </w:r>
      <w:r w:rsidR="00EE7FAE">
        <w:t>.</w:t>
      </w:r>
      <w:r w:rsidR="00EE7FAE">
        <w:tab/>
        <w:t xml:space="preserve">These three tests are different in procedure, </w:t>
      </w:r>
      <w:proofErr w:type="gramStart"/>
      <w:r w:rsidR="00EE7FAE">
        <w:t>design</w:t>
      </w:r>
      <w:proofErr w:type="gramEnd"/>
      <w:r w:rsidR="00EE7FAE">
        <w:t xml:space="preserve"> and criteria. AEISG is of the view that these tests should be distinguishable – perhaps by simple name additions e.g., UN Gap test 1, UN Gap test 2, UN Gap test A.5 – so that potential confusion could be minimized. </w:t>
      </w:r>
    </w:p>
    <w:p w14:paraId="770EB9B2" w14:textId="77777777" w:rsidR="00EE7FAE" w:rsidRPr="00B40E23" w:rsidRDefault="00EE7FAE" w:rsidP="00EE7FAE">
      <w:pPr>
        <w:pStyle w:val="H4G"/>
      </w:pPr>
      <w:r w:rsidRPr="00B40E23">
        <w:tab/>
      </w:r>
      <w:r w:rsidRPr="00B40E23">
        <w:tab/>
        <w:t>Proposal</w:t>
      </w:r>
    </w:p>
    <w:p w14:paraId="0AF6E6F7" w14:textId="21B04C92" w:rsidR="00EE7FAE" w:rsidRDefault="00EC775E" w:rsidP="00EE7FAE">
      <w:pPr>
        <w:pStyle w:val="SingleTxtG"/>
      </w:pPr>
      <w:r>
        <w:t>21</w:t>
      </w:r>
      <w:r w:rsidR="00EE7FAE">
        <w:t>.</w:t>
      </w:r>
      <w:r w:rsidR="00EE7FAE">
        <w:tab/>
        <w:t>Amend the current references to the UN GAP test as follows:</w:t>
      </w:r>
    </w:p>
    <w:p w14:paraId="3D074A9A" w14:textId="77777777" w:rsidR="00EE7FAE" w:rsidRDefault="00EE7FAE" w:rsidP="00EE7FAE">
      <w:pPr>
        <w:pStyle w:val="Bullet1G"/>
        <w:numPr>
          <w:ilvl w:val="0"/>
          <w:numId w:val="8"/>
        </w:numPr>
        <w:suppressAutoHyphens/>
      </w:pPr>
      <w:r>
        <w:t>In section 11:</w:t>
      </w:r>
    </w:p>
    <w:p w14:paraId="5BC5CA9D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 xml:space="preserve">Table 11.1, column “Name of test”: replace “UN gap test” by “UN gap test </w:t>
      </w:r>
      <w:proofErr w:type="gramStart"/>
      <w:r>
        <w:t>1”</w:t>
      </w:r>
      <w:proofErr w:type="gramEnd"/>
    </w:p>
    <w:p w14:paraId="4DFACC9D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 xml:space="preserve">11.4.1, </w:t>
      </w:r>
      <w:proofErr w:type="gramStart"/>
      <w:r>
        <w:t>heading:</w:t>
      </w:r>
      <w:proofErr w:type="gramEnd"/>
      <w:r>
        <w:t xml:space="preserve"> replace “</w:t>
      </w:r>
      <w:r w:rsidRPr="00DF7172">
        <w:rPr>
          <w:b/>
          <w:bCs/>
          <w:i/>
          <w:iCs/>
        </w:rPr>
        <w:t>UN gap test</w:t>
      </w:r>
      <w:r>
        <w:t>” by “</w:t>
      </w:r>
      <w:r w:rsidRPr="00DF7172">
        <w:rPr>
          <w:b/>
          <w:bCs/>
          <w:i/>
          <w:iCs/>
        </w:rPr>
        <w:t>UN gap test 1</w:t>
      </w:r>
      <w:r>
        <w:t>”</w:t>
      </w:r>
    </w:p>
    <w:p w14:paraId="29888C3C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 xml:space="preserve">Figure 11.4.1.1, </w:t>
      </w:r>
      <w:proofErr w:type="gramStart"/>
      <w:r>
        <w:t>heading:</w:t>
      </w:r>
      <w:proofErr w:type="gramEnd"/>
      <w:r>
        <w:t xml:space="preserve"> replace “</w:t>
      </w:r>
      <w:r w:rsidRPr="00DF7172">
        <w:rPr>
          <w:b/>
          <w:bCs/>
        </w:rPr>
        <w:t>UN gap test</w:t>
      </w:r>
      <w:r>
        <w:t>” by “</w:t>
      </w:r>
      <w:r w:rsidRPr="00DF7172">
        <w:rPr>
          <w:b/>
          <w:bCs/>
        </w:rPr>
        <w:t>UN gap test 1</w:t>
      </w:r>
      <w:r>
        <w:t>”</w:t>
      </w:r>
    </w:p>
    <w:p w14:paraId="7678B488" w14:textId="77777777" w:rsidR="00EE7FAE" w:rsidRDefault="00EE7FAE" w:rsidP="00EE7FAE">
      <w:pPr>
        <w:pStyle w:val="Bullet1G"/>
        <w:numPr>
          <w:ilvl w:val="0"/>
          <w:numId w:val="8"/>
        </w:numPr>
        <w:suppressAutoHyphens/>
      </w:pPr>
      <w:r>
        <w:t>In section 12:</w:t>
      </w:r>
    </w:p>
    <w:p w14:paraId="0FB2C457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 xml:space="preserve">Table 12.1, column “Name of test”:  replace “UN gap test” by “UN gap test </w:t>
      </w:r>
      <w:proofErr w:type="gramStart"/>
      <w:r>
        <w:t>2”</w:t>
      </w:r>
      <w:proofErr w:type="gramEnd"/>
    </w:p>
    <w:p w14:paraId="5822E5B1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 xml:space="preserve">12.4.1, </w:t>
      </w:r>
      <w:proofErr w:type="gramStart"/>
      <w:r>
        <w:t>heading:</w:t>
      </w:r>
      <w:proofErr w:type="gramEnd"/>
      <w:r>
        <w:t xml:space="preserve"> replace “</w:t>
      </w:r>
      <w:r w:rsidRPr="006F508B">
        <w:rPr>
          <w:b/>
          <w:bCs/>
          <w:i/>
          <w:iCs/>
        </w:rPr>
        <w:t>UN gap test</w:t>
      </w:r>
      <w:r>
        <w:t>” by “</w:t>
      </w:r>
      <w:r w:rsidRPr="006F508B">
        <w:rPr>
          <w:b/>
          <w:bCs/>
          <w:i/>
          <w:iCs/>
        </w:rPr>
        <w:t xml:space="preserve">UN gap test </w:t>
      </w:r>
      <w:r>
        <w:rPr>
          <w:b/>
          <w:bCs/>
          <w:i/>
          <w:iCs/>
        </w:rPr>
        <w:t>2</w:t>
      </w:r>
      <w:r>
        <w:t>”</w:t>
      </w:r>
    </w:p>
    <w:p w14:paraId="4DD297F5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 xml:space="preserve">Figure 12.4.1.1, </w:t>
      </w:r>
      <w:proofErr w:type="gramStart"/>
      <w:r>
        <w:t>heading:</w:t>
      </w:r>
      <w:proofErr w:type="gramEnd"/>
      <w:r>
        <w:t xml:space="preserve"> replace “</w:t>
      </w:r>
      <w:r w:rsidRPr="006F508B">
        <w:rPr>
          <w:b/>
          <w:bCs/>
        </w:rPr>
        <w:t>UN gap test</w:t>
      </w:r>
      <w:r>
        <w:t>” by “</w:t>
      </w:r>
      <w:r w:rsidRPr="006F508B">
        <w:rPr>
          <w:b/>
          <w:bCs/>
        </w:rPr>
        <w:t xml:space="preserve">UN gap test </w:t>
      </w:r>
      <w:r>
        <w:rPr>
          <w:b/>
          <w:bCs/>
        </w:rPr>
        <w:t>2</w:t>
      </w:r>
      <w:r>
        <w:t>”</w:t>
      </w:r>
    </w:p>
    <w:p w14:paraId="231C77FC" w14:textId="77777777" w:rsidR="00EE7FAE" w:rsidRDefault="00EE7FAE" w:rsidP="00EE7FAE">
      <w:pPr>
        <w:pStyle w:val="Bullet1G"/>
        <w:numPr>
          <w:ilvl w:val="0"/>
          <w:numId w:val="8"/>
        </w:numPr>
        <w:suppressAutoHyphens/>
      </w:pPr>
      <w:r>
        <w:lastRenderedPageBreak/>
        <w:t>In section 21:</w:t>
      </w:r>
    </w:p>
    <w:p w14:paraId="1633BA31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>Table 21.1, column “Name of test”: replace “UN gap test” by “UN gap test A.</w:t>
      </w:r>
      <w:proofErr w:type="gramStart"/>
      <w:r>
        <w:t>5”</w:t>
      </w:r>
      <w:proofErr w:type="gramEnd"/>
    </w:p>
    <w:p w14:paraId="597AB3C1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 xml:space="preserve">21.4.2, </w:t>
      </w:r>
      <w:proofErr w:type="gramStart"/>
      <w:r>
        <w:t>heading:</w:t>
      </w:r>
      <w:proofErr w:type="gramEnd"/>
      <w:r>
        <w:t xml:space="preserve"> replace “</w:t>
      </w:r>
      <w:r w:rsidRPr="006F508B">
        <w:rPr>
          <w:b/>
          <w:bCs/>
          <w:i/>
          <w:iCs/>
        </w:rPr>
        <w:t>UN gap test</w:t>
      </w:r>
      <w:r>
        <w:t>” by “</w:t>
      </w:r>
      <w:r w:rsidRPr="006F508B">
        <w:rPr>
          <w:b/>
          <w:bCs/>
          <w:i/>
          <w:iCs/>
        </w:rPr>
        <w:t xml:space="preserve">UN gap test </w:t>
      </w:r>
      <w:r>
        <w:rPr>
          <w:b/>
          <w:bCs/>
          <w:i/>
          <w:iCs/>
        </w:rPr>
        <w:t>A.5</w:t>
      </w:r>
      <w:r>
        <w:t>”</w:t>
      </w:r>
    </w:p>
    <w:p w14:paraId="534ED7AB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>Figure 21.4.2.1: replace “</w:t>
      </w:r>
      <w:r w:rsidRPr="006F508B">
        <w:rPr>
          <w:b/>
          <w:bCs/>
        </w:rPr>
        <w:t>UN gap test</w:t>
      </w:r>
      <w:r>
        <w:t>” by “</w:t>
      </w:r>
      <w:r w:rsidRPr="006F508B">
        <w:rPr>
          <w:b/>
          <w:bCs/>
        </w:rPr>
        <w:t xml:space="preserve">UN gap test </w:t>
      </w:r>
      <w:r>
        <w:rPr>
          <w:b/>
          <w:bCs/>
        </w:rPr>
        <w:t>A.</w:t>
      </w:r>
      <w:proofErr w:type="gramStart"/>
      <w:r>
        <w:rPr>
          <w:b/>
          <w:bCs/>
        </w:rPr>
        <w:t>5</w:t>
      </w:r>
      <w:r>
        <w:t>”</w:t>
      </w:r>
      <w:proofErr w:type="gramEnd"/>
    </w:p>
    <w:p w14:paraId="12B48BD2" w14:textId="77777777" w:rsidR="00EE7FAE" w:rsidRDefault="00EE7FAE" w:rsidP="00EE7FAE">
      <w:pPr>
        <w:pStyle w:val="SingleTxtG"/>
        <w:ind w:firstLine="567"/>
      </w:pPr>
      <w:r w:rsidRPr="00DF7172">
        <w:rPr>
          <w:i/>
          <w:iCs/>
          <w:u w:val="single"/>
        </w:rPr>
        <w:t>Consequential amendments</w:t>
      </w:r>
      <w:r w:rsidRPr="00DF7172">
        <w:rPr>
          <w:i/>
          <w:iCs/>
        </w:rPr>
        <w:t>:</w:t>
      </w:r>
      <w:r>
        <w:t xml:space="preserve"> </w:t>
      </w:r>
    </w:p>
    <w:p w14:paraId="3364C2D1" w14:textId="77777777" w:rsidR="00EE7FAE" w:rsidRDefault="00EE7FAE" w:rsidP="00EE7FAE">
      <w:pPr>
        <w:pStyle w:val="Bullet1G"/>
        <w:numPr>
          <w:ilvl w:val="0"/>
          <w:numId w:val="8"/>
        </w:numPr>
        <w:suppressAutoHyphens/>
      </w:pPr>
      <w:r>
        <w:t>Section 1, table 1.3:</w:t>
      </w:r>
    </w:p>
    <w:p w14:paraId="3B92A95D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 xml:space="preserve">Row for test series 1, test type (a), under “test name”: replace “UN gap test” by “UN gap test </w:t>
      </w:r>
      <w:proofErr w:type="gramStart"/>
      <w:r>
        <w:t>1”</w:t>
      </w:r>
      <w:proofErr w:type="gramEnd"/>
    </w:p>
    <w:p w14:paraId="04781BAC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 xml:space="preserve">Row for test series 2, test type (a), under “test name”: replace “UN gap test” by “UN gap test </w:t>
      </w:r>
      <w:proofErr w:type="gramStart"/>
      <w:r>
        <w:t>2”</w:t>
      </w:r>
      <w:proofErr w:type="gramEnd"/>
    </w:p>
    <w:p w14:paraId="0ECA4285" w14:textId="77777777" w:rsidR="00EE7FAE" w:rsidRDefault="00EE7FAE" w:rsidP="00EE7FAE">
      <w:pPr>
        <w:pStyle w:val="Bullet1G"/>
        <w:numPr>
          <w:ilvl w:val="0"/>
          <w:numId w:val="8"/>
        </w:numPr>
        <w:suppressAutoHyphens/>
      </w:pPr>
      <w:r>
        <w:t>Section 10, figure 10.7 (a):</w:t>
      </w:r>
    </w:p>
    <w:p w14:paraId="0066A22A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 xml:space="preserve">Line 5.1: replace “UN gap test” by “UN gap test </w:t>
      </w:r>
      <w:proofErr w:type="gramStart"/>
      <w:r>
        <w:t>1”</w:t>
      </w:r>
      <w:proofErr w:type="gramEnd"/>
    </w:p>
    <w:p w14:paraId="7C67E16C" w14:textId="77777777" w:rsidR="00EE7FAE" w:rsidRDefault="00EE7FAE" w:rsidP="00EE7FAE">
      <w:pPr>
        <w:pStyle w:val="Bullet2G"/>
        <w:numPr>
          <w:ilvl w:val="0"/>
          <w:numId w:val="9"/>
        </w:numPr>
        <w:suppressAutoHyphens/>
      </w:pPr>
      <w:r>
        <w:t xml:space="preserve">Line 7.1: replace “UN gap test” by “UN gap test </w:t>
      </w:r>
      <w:proofErr w:type="gramStart"/>
      <w:r>
        <w:t>2”</w:t>
      </w:r>
      <w:proofErr w:type="gramEnd"/>
    </w:p>
    <w:p w14:paraId="383FE6F8" w14:textId="77777777" w:rsidR="00EE7FAE" w:rsidRPr="00440809" w:rsidRDefault="00EE7FAE" w:rsidP="00EE7FAE">
      <w:pPr>
        <w:pStyle w:val="Bullet1G"/>
        <w:numPr>
          <w:ilvl w:val="0"/>
          <w:numId w:val="8"/>
        </w:numPr>
        <w:suppressAutoHyphens/>
      </w:pPr>
      <w:r>
        <w:t>Amend accordingly the references to UN gap tests in the table of contents of parts I (sections 11 and 12) and II (section 21).</w:t>
      </w:r>
    </w:p>
    <w:p w14:paraId="6E5F8EBE" w14:textId="053AA3EB" w:rsidR="00AF5DE1" w:rsidRPr="004964CE" w:rsidRDefault="004964CE" w:rsidP="004964C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5DE1" w:rsidRPr="004964CE" w:rsidSect="00650A9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229E" w14:textId="77777777" w:rsidR="007A4216" w:rsidRPr="00C47B2E" w:rsidRDefault="007A4216" w:rsidP="00C47B2E">
      <w:pPr>
        <w:pStyle w:val="Footer"/>
      </w:pPr>
    </w:p>
  </w:endnote>
  <w:endnote w:type="continuationSeparator" w:id="0">
    <w:p w14:paraId="201C6715" w14:textId="77777777" w:rsidR="007A4216" w:rsidRPr="00C47B2E" w:rsidRDefault="007A4216" w:rsidP="00C47B2E">
      <w:pPr>
        <w:pStyle w:val="Footer"/>
      </w:pPr>
    </w:p>
  </w:endnote>
  <w:endnote w:type="continuationNotice" w:id="1">
    <w:p w14:paraId="5399B7DF" w14:textId="77777777" w:rsidR="007A4216" w:rsidRPr="00C47B2E" w:rsidRDefault="007A4216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8BF1" w14:textId="3BA2276E" w:rsidR="00D94B05" w:rsidRPr="00650A9E" w:rsidRDefault="00650A9E" w:rsidP="00650A9E">
    <w:pPr>
      <w:pStyle w:val="Footer"/>
      <w:tabs>
        <w:tab w:val="right" w:pos="9598"/>
        <w:tab w:val="right" w:pos="9638"/>
      </w:tabs>
      <w:rPr>
        <w:sz w:val="18"/>
      </w:rPr>
    </w:pPr>
    <w:r w:rsidRPr="00650A9E">
      <w:rPr>
        <w:b/>
        <w:sz w:val="18"/>
      </w:rPr>
      <w:fldChar w:fldCharType="begin"/>
    </w:r>
    <w:r w:rsidRPr="00650A9E">
      <w:rPr>
        <w:b/>
        <w:sz w:val="18"/>
      </w:rPr>
      <w:instrText xml:space="preserve"> PAGE  \* MERGEFORMAT </w:instrText>
    </w:r>
    <w:r w:rsidRPr="00650A9E">
      <w:rPr>
        <w:b/>
        <w:sz w:val="18"/>
      </w:rPr>
      <w:fldChar w:fldCharType="separate"/>
    </w:r>
    <w:r w:rsidRPr="00650A9E">
      <w:rPr>
        <w:b/>
        <w:noProof/>
        <w:sz w:val="18"/>
      </w:rPr>
      <w:t>2</w:t>
    </w:r>
    <w:r w:rsidRPr="00650A9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9724" w14:textId="6D858099" w:rsidR="00D94B05" w:rsidRPr="00D36F0C" w:rsidRDefault="00650A9E" w:rsidP="00650A9E">
    <w:pPr>
      <w:pStyle w:val="Footer"/>
      <w:tabs>
        <w:tab w:val="left" w:pos="5775"/>
        <w:tab w:val="right" w:pos="9598"/>
        <w:tab w:val="right" w:pos="9638"/>
      </w:tabs>
      <w:rPr>
        <w:b/>
        <w:bCs/>
        <w:sz w:val="18"/>
      </w:rPr>
    </w:pPr>
    <w:r>
      <w:rPr>
        <w:b/>
        <w:sz w:val="18"/>
      </w:rPr>
      <w:tab/>
    </w:r>
    <w:r w:rsidR="00D36F0C">
      <w:rPr>
        <w:b/>
        <w:sz w:val="18"/>
      </w:rPr>
      <w:tab/>
    </w:r>
    <w:r w:rsidRPr="00D36F0C">
      <w:rPr>
        <w:b/>
        <w:bCs/>
        <w:sz w:val="18"/>
      </w:rPr>
      <w:fldChar w:fldCharType="begin"/>
    </w:r>
    <w:r w:rsidRPr="00D36F0C">
      <w:rPr>
        <w:b/>
        <w:bCs/>
        <w:sz w:val="18"/>
      </w:rPr>
      <w:instrText xml:space="preserve"> PAGE  \* MERGEFORMAT </w:instrText>
    </w:r>
    <w:r w:rsidRPr="00D36F0C">
      <w:rPr>
        <w:b/>
        <w:bCs/>
        <w:sz w:val="18"/>
      </w:rPr>
      <w:fldChar w:fldCharType="separate"/>
    </w:r>
    <w:r w:rsidRPr="00D36F0C">
      <w:rPr>
        <w:b/>
        <w:bCs/>
        <w:noProof/>
        <w:sz w:val="18"/>
      </w:rPr>
      <w:t>3</w:t>
    </w:r>
    <w:r w:rsidRPr="00D36F0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A5BE" w14:textId="5F91BD4C" w:rsidR="00D94B05" w:rsidRDefault="007A688D" w:rsidP="007A688D">
    <w:pPr>
      <w:pStyle w:val="Footer"/>
      <w:rPr>
        <w:rFonts w:asciiTheme="majorBidi" w:hAnsiTheme="majorBidi" w:cstheme="majorBidi"/>
        <w:sz w:val="20"/>
      </w:rPr>
    </w:pPr>
    <w:r w:rsidRPr="007A688D">
      <w:rPr>
        <w:rFonts w:asciiTheme="majorBidi" w:hAnsiTheme="majorBidi" w:cstheme="majorBidi"/>
        <w:noProof/>
        <w:sz w:val="20"/>
        <w:lang w:val="en-US"/>
      </w:rPr>
      <w:drawing>
        <wp:anchor distT="0" distB="0" distL="114300" distR="114300" simplePos="0" relativeHeight="251660288" behindDoc="0" locked="1" layoutInCell="1" allowOverlap="1" wp14:anchorId="7517F582" wp14:editId="3332617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109"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5707BE58" wp14:editId="5F1E2B28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56C79" w14:textId="6FE97728" w:rsidR="007A688D" w:rsidRPr="007A688D" w:rsidRDefault="007A688D" w:rsidP="007A688D">
    <w:pPr>
      <w:pStyle w:val="Footer"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GE.24-</w:t>
    </w:r>
    <w:proofErr w:type="gramStart"/>
    <w:r>
      <w:rPr>
        <w:rFonts w:asciiTheme="majorBidi" w:hAnsiTheme="majorBidi" w:cstheme="majorBidi"/>
        <w:sz w:val="20"/>
      </w:rPr>
      <w:t>06315  (</w:t>
    </w:r>
    <w:proofErr w:type="gramEnd"/>
    <w:r>
      <w:rPr>
        <w:rFonts w:asciiTheme="majorBidi" w:hAnsiTheme="majorBidi" w:cstheme="majorBidi"/>
        <w:sz w:val="20"/>
      </w:rPr>
      <w:t>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1312" behindDoc="0" locked="0" layoutInCell="1" allowOverlap="1" wp14:anchorId="59E4D39B" wp14:editId="007AC4F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73D0" w14:textId="77777777" w:rsidR="007A4216" w:rsidRPr="00C47B2E" w:rsidRDefault="007A4216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2CBD94E" w14:textId="77777777" w:rsidR="007A4216" w:rsidRPr="00C47B2E" w:rsidRDefault="007A4216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B04C957" w14:textId="77777777" w:rsidR="007A4216" w:rsidRPr="00C47B2E" w:rsidRDefault="007A4216" w:rsidP="00C47B2E">
      <w:pPr>
        <w:pStyle w:val="Footer"/>
      </w:pPr>
    </w:p>
  </w:footnote>
  <w:footnote w:id="2">
    <w:p w14:paraId="2CE889AF" w14:textId="01569A88" w:rsidR="00EE7FAE" w:rsidRPr="00EE7FAE" w:rsidRDefault="00EE7FAE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EE7FA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64328B" w:rsidRPr="0082113E">
        <w:t>A/78/6 (Sect. 20), table 20.5</w:t>
      </w:r>
      <w:r w:rsidR="006432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E195" w14:textId="394CF7A0" w:rsidR="00650A9E" w:rsidRPr="00650A9E" w:rsidRDefault="00650A9E">
    <w:pPr>
      <w:pStyle w:val="Header"/>
    </w:pPr>
    <w:r>
      <w:t>ST/SG/AC.10/C.3/2024/5</w:t>
    </w:r>
    <w:r w:rsidR="00E669A7">
      <w:t>2</w:t>
    </w:r>
    <w:r>
      <w:br/>
      <w:t>ST/SG/AC.10/C.4/2024/8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F26A" w14:textId="5CA89C57" w:rsidR="00D94B05" w:rsidRPr="00650A9E" w:rsidRDefault="00650A9E" w:rsidP="00650A9E">
    <w:pPr>
      <w:pStyle w:val="Header"/>
      <w:jc w:val="right"/>
    </w:pPr>
    <w:r>
      <w:t>ST/SG/AC.10/C.3/2024/5</w:t>
    </w:r>
    <w:r w:rsidR="00E669A7">
      <w:t>2</w:t>
    </w:r>
    <w:r>
      <w:br/>
      <w:t>ST/SG/AC.10/C.4/2024/8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C1C0A"/>
    <w:multiLevelType w:val="hybridMultilevel"/>
    <w:tmpl w:val="B41A022A"/>
    <w:lvl w:ilvl="0" w:tplc="E61A362C">
      <w:start w:val="16"/>
      <w:numFmt w:val="bullet"/>
      <w:lvlText w:val="-"/>
      <w:lvlJc w:val="left"/>
      <w:pPr>
        <w:ind w:left="204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76841448">
    <w:abstractNumId w:val="5"/>
  </w:num>
  <w:num w:numId="2" w16cid:durableId="1511337597">
    <w:abstractNumId w:val="4"/>
  </w:num>
  <w:num w:numId="3" w16cid:durableId="1221596567">
    <w:abstractNumId w:val="0"/>
  </w:num>
  <w:num w:numId="4" w16cid:durableId="2127306733">
    <w:abstractNumId w:val="7"/>
  </w:num>
  <w:num w:numId="5" w16cid:durableId="1221818885">
    <w:abstractNumId w:val="8"/>
  </w:num>
  <w:num w:numId="6" w16cid:durableId="510069006">
    <w:abstractNumId w:val="10"/>
  </w:num>
  <w:num w:numId="7" w16cid:durableId="1090278063">
    <w:abstractNumId w:val="3"/>
  </w:num>
  <w:num w:numId="8" w16cid:durableId="1351368993">
    <w:abstractNumId w:val="1"/>
  </w:num>
  <w:num w:numId="9" w16cid:durableId="1525048087">
    <w:abstractNumId w:val="9"/>
  </w:num>
  <w:num w:numId="10" w16cid:durableId="1030836013">
    <w:abstractNumId w:val="1"/>
  </w:num>
  <w:num w:numId="11" w16cid:durableId="1000083866">
    <w:abstractNumId w:val="9"/>
  </w:num>
  <w:num w:numId="12" w16cid:durableId="184446393">
    <w:abstractNumId w:val="2"/>
  </w:num>
  <w:num w:numId="13" w16cid:durableId="265043003">
    <w:abstractNumId w:val="2"/>
  </w:num>
  <w:num w:numId="14" w16cid:durableId="2115979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9E"/>
    <w:rsid w:val="00046E92"/>
    <w:rsid w:val="00063C90"/>
    <w:rsid w:val="00070000"/>
    <w:rsid w:val="00101B98"/>
    <w:rsid w:val="0011297A"/>
    <w:rsid w:val="00123A5A"/>
    <w:rsid w:val="001514D1"/>
    <w:rsid w:val="001B3681"/>
    <w:rsid w:val="001F145B"/>
    <w:rsid w:val="00240EA7"/>
    <w:rsid w:val="00247E2C"/>
    <w:rsid w:val="00285BC8"/>
    <w:rsid w:val="002A32CB"/>
    <w:rsid w:val="002D5B2C"/>
    <w:rsid w:val="002D6C53"/>
    <w:rsid w:val="002F5595"/>
    <w:rsid w:val="00304DD9"/>
    <w:rsid w:val="00334F6A"/>
    <w:rsid w:val="00342AC8"/>
    <w:rsid w:val="00343302"/>
    <w:rsid w:val="003979DE"/>
    <w:rsid w:val="003A4925"/>
    <w:rsid w:val="003A6F41"/>
    <w:rsid w:val="003B4550"/>
    <w:rsid w:val="003B6B38"/>
    <w:rsid w:val="003D2A18"/>
    <w:rsid w:val="00413386"/>
    <w:rsid w:val="00461253"/>
    <w:rsid w:val="004722B7"/>
    <w:rsid w:val="004858F5"/>
    <w:rsid w:val="004964CE"/>
    <w:rsid w:val="004A2814"/>
    <w:rsid w:val="004C0622"/>
    <w:rsid w:val="004F73D0"/>
    <w:rsid w:val="005042C2"/>
    <w:rsid w:val="005109C9"/>
    <w:rsid w:val="005176B6"/>
    <w:rsid w:val="005C260A"/>
    <w:rsid w:val="005E716E"/>
    <w:rsid w:val="0064328B"/>
    <w:rsid w:val="00646BBD"/>
    <w:rsid w:val="006476E1"/>
    <w:rsid w:val="00650A9E"/>
    <w:rsid w:val="006604DF"/>
    <w:rsid w:val="0066151D"/>
    <w:rsid w:val="00671529"/>
    <w:rsid w:val="006C6FBD"/>
    <w:rsid w:val="006D0905"/>
    <w:rsid w:val="006F1EF5"/>
    <w:rsid w:val="0070489D"/>
    <w:rsid w:val="007200A1"/>
    <w:rsid w:val="007268F9"/>
    <w:rsid w:val="00750282"/>
    <w:rsid w:val="00764440"/>
    <w:rsid w:val="0077101B"/>
    <w:rsid w:val="007A4216"/>
    <w:rsid w:val="007A688D"/>
    <w:rsid w:val="007C52B0"/>
    <w:rsid w:val="007C6033"/>
    <w:rsid w:val="007D096B"/>
    <w:rsid w:val="008147C8"/>
    <w:rsid w:val="0081753A"/>
    <w:rsid w:val="00820FD0"/>
    <w:rsid w:val="00843D8D"/>
    <w:rsid w:val="00857D23"/>
    <w:rsid w:val="008714A7"/>
    <w:rsid w:val="008C74D4"/>
    <w:rsid w:val="0091269C"/>
    <w:rsid w:val="009411B4"/>
    <w:rsid w:val="00946F1D"/>
    <w:rsid w:val="009829EE"/>
    <w:rsid w:val="009D0139"/>
    <w:rsid w:val="009D717D"/>
    <w:rsid w:val="009F5CDC"/>
    <w:rsid w:val="00A072D7"/>
    <w:rsid w:val="00A775CF"/>
    <w:rsid w:val="00AD1A9C"/>
    <w:rsid w:val="00AF5DE1"/>
    <w:rsid w:val="00B06045"/>
    <w:rsid w:val="00B12297"/>
    <w:rsid w:val="00B206DD"/>
    <w:rsid w:val="00B2313B"/>
    <w:rsid w:val="00B52EF4"/>
    <w:rsid w:val="00B777AD"/>
    <w:rsid w:val="00C03015"/>
    <w:rsid w:val="00C0358D"/>
    <w:rsid w:val="00C35A27"/>
    <w:rsid w:val="00C47B2E"/>
    <w:rsid w:val="00CA03F0"/>
    <w:rsid w:val="00D27E81"/>
    <w:rsid w:val="00D36F0C"/>
    <w:rsid w:val="00D63CD2"/>
    <w:rsid w:val="00D76C80"/>
    <w:rsid w:val="00D87DC2"/>
    <w:rsid w:val="00D93887"/>
    <w:rsid w:val="00D94B05"/>
    <w:rsid w:val="00DC44C3"/>
    <w:rsid w:val="00DC7379"/>
    <w:rsid w:val="00DF60EB"/>
    <w:rsid w:val="00E02C2B"/>
    <w:rsid w:val="00E11E26"/>
    <w:rsid w:val="00E21C27"/>
    <w:rsid w:val="00E26BCF"/>
    <w:rsid w:val="00E52109"/>
    <w:rsid w:val="00E669A7"/>
    <w:rsid w:val="00E75317"/>
    <w:rsid w:val="00EC0CE6"/>
    <w:rsid w:val="00EC775E"/>
    <w:rsid w:val="00EC7C1D"/>
    <w:rsid w:val="00ED6C48"/>
    <w:rsid w:val="00EE3045"/>
    <w:rsid w:val="00EE7FAE"/>
    <w:rsid w:val="00EF1A48"/>
    <w:rsid w:val="00F65F5D"/>
    <w:rsid w:val="00F86A3A"/>
    <w:rsid w:val="00FA42DA"/>
    <w:rsid w:val="00FE2AC5"/>
    <w:rsid w:val="00FF27A6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0C37E"/>
  <w15:docId w15:val="{4163C85C-1192-484A-8B6D-DAE4F0BB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rsid w:val="00EE7FAE"/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rsid w:val="00EE7FAE"/>
  </w:style>
  <w:style w:type="character" w:customStyle="1" w:styleId="H1GChar">
    <w:name w:val="_ H_1_G Char"/>
    <w:link w:val="H1G"/>
    <w:qFormat/>
    <w:locked/>
    <w:rsid w:val="00EE7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B261D-C504-40D3-B6FA-10BC22C70EDD}"/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4</Pages>
  <Words>1196</Words>
  <Characters>5948</Characters>
  <Application>Microsoft Office Word</Application>
  <DocSecurity>0</DocSecurity>
  <Lines>144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ST/SG/AC.10/C.3/2024/52</vt:lpstr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ST/SG/AC.10/C.3/2024/52</dc:title>
  <dc:subject>2406315</dc:subject>
  <dc:creator>Rosa Garcia-Couto</dc:creator>
  <cp:keywords>ST/SG/AC.10/C.4/2024/8</cp:keywords>
  <dc:description/>
  <cp:lastModifiedBy>Pauline Anne Escalante</cp:lastModifiedBy>
  <cp:revision>2</cp:revision>
  <dcterms:created xsi:type="dcterms:W3CDTF">2024-04-11T09:01:00Z</dcterms:created>
  <dcterms:modified xsi:type="dcterms:W3CDTF">2024-04-11T09:01:00Z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