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5233AE3" w14:textId="77777777" w:rsidTr="006476E1">
        <w:trPr>
          <w:trHeight w:val="851"/>
        </w:trPr>
        <w:tc>
          <w:tcPr>
            <w:tcW w:w="1259" w:type="dxa"/>
            <w:tcBorders>
              <w:top w:val="nil"/>
              <w:left w:val="nil"/>
              <w:bottom w:val="single" w:sz="4" w:space="0" w:color="auto"/>
              <w:right w:val="nil"/>
            </w:tcBorders>
          </w:tcPr>
          <w:p w14:paraId="54D0B330" w14:textId="77777777" w:rsidR="00E52109" w:rsidRPr="002A32CB" w:rsidRDefault="00E52109" w:rsidP="004858F5"/>
        </w:tc>
        <w:tc>
          <w:tcPr>
            <w:tcW w:w="2236" w:type="dxa"/>
            <w:tcBorders>
              <w:top w:val="nil"/>
              <w:left w:val="nil"/>
              <w:bottom w:val="single" w:sz="4" w:space="0" w:color="auto"/>
              <w:right w:val="nil"/>
            </w:tcBorders>
            <w:vAlign w:val="bottom"/>
          </w:tcPr>
          <w:p w14:paraId="65771DE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5C296E3" w14:textId="334C254C" w:rsidR="00E52109" w:rsidRDefault="006B4952" w:rsidP="006B4952">
            <w:pPr>
              <w:jc w:val="right"/>
            </w:pPr>
            <w:r w:rsidRPr="006B4952">
              <w:rPr>
                <w:sz w:val="40"/>
              </w:rPr>
              <w:t>ST</w:t>
            </w:r>
            <w:r>
              <w:t>/SG/AC.10/C.3/2024/50</w:t>
            </w:r>
          </w:p>
        </w:tc>
      </w:tr>
      <w:tr w:rsidR="00E52109" w14:paraId="30DED5F5" w14:textId="77777777" w:rsidTr="006476E1">
        <w:trPr>
          <w:trHeight w:val="2835"/>
        </w:trPr>
        <w:tc>
          <w:tcPr>
            <w:tcW w:w="1259" w:type="dxa"/>
            <w:tcBorders>
              <w:top w:val="single" w:sz="4" w:space="0" w:color="auto"/>
              <w:left w:val="nil"/>
              <w:bottom w:val="single" w:sz="12" w:space="0" w:color="auto"/>
              <w:right w:val="nil"/>
            </w:tcBorders>
          </w:tcPr>
          <w:p w14:paraId="2396E7B0" w14:textId="77777777" w:rsidR="00E52109" w:rsidRDefault="00E52109" w:rsidP="006476E1">
            <w:pPr>
              <w:spacing w:before="120"/>
              <w:jc w:val="center"/>
            </w:pPr>
            <w:r>
              <w:rPr>
                <w:noProof/>
                <w:lang w:val="fr-CH" w:eastAsia="fr-CH"/>
              </w:rPr>
              <w:drawing>
                <wp:inline distT="0" distB="0" distL="0" distR="0" wp14:anchorId="22355AA1" wp14:editId="73E2988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4320E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55EF3A9" w14:textId="77777777" w:rsidR="00D94B05" w:rsidRDefault="006B4952" w:rsidP="006B4952">
            <w:pPr>
              <w:spacing w:before="240" w:line="240" w:lineRule="exact"/>
            </w:pPr>
            <w:r>
              <w:t>Distr.: General</w:t>
            </w:r>
          </w:p>
          <w:p w14:paraId="1FAC4A7E" w14:textId="74DD501B" w:rsidR="006B4952" w:rsidRDefault="00D83B70" w:rsidP="006B4952">
            <w:pPr>
              <w:spacing w:line="240" w:lineRule="exact"/>
            </w:pPr>
            <w:r>
              <w:t>1</w:t>
            </w:r>
            <w:r w:rsidR="002761CC">
              <w:t>5</w:t>
            </w:r>
            <w:r w:rsidR="006B4952">
              <w:t xml:space="preserve"> April 2024</w:t>
            </w:r>
          </w:p>
          <w:p w14:paraId="6E13F2B8" w14:textId="77777777" w:rsidR="006B4952" w:rsidRDefault="006B4952" w:rsidP="006B4952">
            <w:pPr>
              <w:spacing w:line="240" w:lineRule="exact"/>
            </w:pPr>
          </w:p>
          <w:p w14:paraId="7D513EB0" w14:textId="0E537196" w:rsidR="006B4952" w:rsidRDefault="006B4952" w:rsidP="006B4952">
            <w:pPr>
              <w:spacing w:line="240" w:lineRule="exact"/>
            </w:pPr>
            <w:r>
              <w:t>Original: English</w:t>
            </w:r>
          </w:p>
        </w:tc>
      </w:tr>
    </w:tbl>
    <w:p w14:paraId="24CC6597" w14:textId="77777777" w:rsidR="00C4757B" w:rsidRDefault="00C4757B" w:rsidP="00C4757B">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50621A03" w14:textId="77777777" w:rsidR="00C4757B" w:rsidRDefault="00C4757B" w:rsidP="00C4757B">
      <w:pPr>
        <w:spacing w:before="120"/>
        <w:rPr>
          <w:rFonts w:ascii="Helv" w:hAnsi="Helv" w:cs="Helv"/>
          <w:b/>
          <w:color w:val="000000"/>
        </w:rPr>
      </w:pPr>
      <w:r>
        <w:rPr>
          <w:b/>
        </w:rPr>
        <w:t>Sub-Committee of Experts on the Transport of Dangerous Goods</w:t>
      </w:r>
    </w:p>
    <w:p w14:paraId="5E8CBBDB" w14:textId="77777777" w:rsidR="00C4757B" w:rsidRDefault="00C4757B" w:rsidP="00C4757B">
      <w:pPr>
        <w:spacing w:before="120"/>
        <w:rPr>
          <w:b/>
        </w:rPr>
      </w:pPr>
      <w:r>
        <w:rPr>
          <w:b/>
        </w:rPr>
        <w:t>Sixty-fourth session</w:t>
      </w:r>
    </w:p>
    <w:p w14:paraId="580FA76F" w14:textId="59E37A3D" w:rsidR="00C4757B" w:rsidRDefault="00C4757B" w:rsidP="00C4757B">
      <w:r>
        <w:t>Geneva, 24 June-3 July 2024</w:t>
      </w:r>
    </w:p>
    <w:p w14:paraId="6B973639" w14:textId="77777777" w:rsidR="00C4757B" w:rsidRDefault="00C4757B" w:rsidP="00C4757B">
      <w:r>
        <w:t>Item 3 of the provisional agenda</w:t>
      </w:r>
    </w:p>
    <w:p w14:paraId="23080DF0" w14:textId="77777777" w:rsidR="00C4757B" w:rsidRDefault="00C4757B" w:rsidP="00C4757B">
      <w:pPr>
        <w:rPr>
          <w:b/>
          <w:bCs/>
        </w:rPr>
      </w:pPr>
      <w:r>
        <w:rPr>
          <w:b/>
          <w:bCs/>
        </w:rPr>
        <w:t xml:space="preserve">Listing, </w:t>
      </w:r>
      <w:proofErr w:type="gramStart"/>
      <w:r>
        <w:rPr>
          <w:b/>
          <w:bCs/>
        </w:rPr>
        <w:t>classification</w:t>
      </w:r>
      <w:proofErr w:type="gramEnd"/>
      <w:r>
        <w:rPr>
          <w:b/>
          <w:bCs/>
        </w:rPr>
        <w:t xml:space="preserve"> and packing</w:t>
      </w:r>
    </w:p>
    <w:p w14:paraId="070B72F4" w14:textId="63285837" w:rsidR="00C4757B" w:rsidRDefault="00C4757B" w:rsidP="00C4757B">
      <w:pPr>
        <w:pStyle w:val="HChG"/>
        <w:rPr>
          <w:lang w:eastAsia="ja-JP"/>
        </w:rPr>
      </w:pPr>
      <w:r>
        <w:tab/>
      </w:r>
      <w:r>
        <w:tab/>
      </w:r>
      <w:r w:rsidR="008E3942" w:rsidRPr="00F61D80">
        <w:t xml:space="preserve">Present and future products in the </w:t>
      </w:r>
      <w:r w:rsidR="00761E02">
        <w:t>liquefied petroleum gas</w:t>
      </w:r>
      <w:r w:rsidR="00761E02" w:rsidRPr="00F61D80">
        <w:t xml:space="preserve"> </w:t>
      </w:r>
      <w:r w:rsidR="00761E02">
        <w:t>(</w:t>
      </w:r>
      <w:r w:rsidR="008E3942" w:rsidRPr="00F61D80">
        <w:t>LPG</w:t>
      </w:r>
      <w:r w:rsidR="00761E02">
        <w:t>)</w:t>
      </w:r>
      <w:r w:rsidR="008E3942" w:rsidRPr="00F61D80">
        <w:t xml:space="preserve"> industry </w:t>
      </w:r>
      <w:r w:rsidR="00717EF6" w:rsidRPr="00717EF6">
        <w:t>−</w:t>
      </w:r>
      <w:r w:rsidR="008E3942" w:rsidRPr="00F61D80">
        <w:t xml:space="preserve"> </w:t>
      </w:r>
      <w:r w:rsidR="008E3942">
        <w:t>P</w:t>
      </w:r>
      <w:r w:rsidR="008E3942">
        <w:rPr>
          <w:bCs/>
          <w:szCs w:val="28"/>
        </w:rPr>
        <w:t>roposal for a new UN number</w:t>
      </w:r>
    </w:p>
    <w:p w14:paraId="5D45A80C" w14:textId="6B6DC82F" w:rsidR="00C4757B" w:rsidRPr="00356245" w:rsidRDefault="00C4757B" w:rsidP="00C4757B">
      <w:pPr>
        <w:pStyle w:val="H1G"/>
        <w:rPr>
          <w:rStyle w:val="FootnoteReference"/>
          <w:sz w:val="20"/>
          <w:vertAlign w:val="baseline"/>
          <w:lang w:val="en-US"/>
        </w:rPr>
      </w:pPr>
      <w:bookmarkStart w:id="0" w:name="_Hlk531350542"/>
      <w:r>
        <w:rPr>
          <w:lang w:val="en-US"/>
        </w:rPr>
        <w:tab/>
      </w:r>
      <w:r>
        <w:rPr>
          <w:lang w:val="en-US"/>
        </w:rPr>
        <w:tab/>
        <w:t>Transmitted by</w:t>
      </w:r>
      <w:bookmarkEnd w:id="0"/>
      <w:r>
        <w:rPr>
          <w:lang w:val="en-US"/>
        </w:rPr>
        <w:t xml:space="preserve"> </w:t>
      </w:r>
      <w:r w:rsidR="00687AB0" w:rsidRPr="00687AB0">
        <w:rPr>
          <w:lang w:val="en-US"/>
        </w:rPr>
        <w:t>the World Liquid Gas Association (WLGA - ex. WLPGA)</w:t>
      </w:r>
      <w:r w:rsidR="00356245" w:rsidRPr="00356245">
        <w:rPr>
          <w:rStyle w:val="FootnoteReference"/>
          <w:sz w:val="20"/>
          <w:vertAlign w:val="baseline"/>
          <w:lang w:val="en-U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509"/>
      </w:tblGrid>
      <w:tr w:rsidR="009A6F18" w:rsidRPr="00F61D80" w14:paraId="4AA74E61" w14:textId="77777777" w:rsidTr="00BA3B74">
        <w:trPr>
          <w:trHeight w:val="31"/>
          <w:jc w:val="center"/>
        </w:trPr>
        <w:tc>
          <w:tcPr>
            <w:tcW w:w="9509" w:type="dxa"/>
            <w:shd w:val="clear" w:color="auto" w:fill="auto"/>
          </w:tcPr>
          <w:p w14:paraId="01800CE1" w14:textId="3C4FADE3" w:rsidR="009A6F18" w:rsidRDefault="009A6F18" w:rsidP="009A6F18">
            <w:pPr>
              <w:spacing w:before="240" w:after="120" w:line="240" w:lineRule="auto"/>
              <w:ind w:left="2552" w:right="438" w:hanging="2268"/>
              <w:jc w:val="both"/>
            </w:pPr>
            <w:r w:rsidRPr="00F61D80">
              <w:rPr>
                <w:b/>
                <w:lang w:val="en-GB"/>
              </w:rPr>
              <w:t xml:space="preserve">Executive summary: </w:t>
            </w:r>
            <w:r w:rsidRPr="00F61D80">
              <w:rPr>
                <w:lang w:val="en-GB"/>
              </w:rPr>
              <w:tab/>
            </w:r>
            <w:r>
              <w:t xml:space="preserve">Conventional LPG is primarily propane, </w:t>
            </w:r>
            <w:proofErr w:type="gramStart"/>
            <w:r>
              <w:t>butane</w:t>
            </w:r>
            <w:proofErr w:type="gramEnd"/>
            <w:r>
              <w:t xml:space="preserve"> or mixtures thereof. </w:t>
            </w:r>
            <w:r w:rsidR="00012625">
              <w:t>T</w:t>
            </w:r>
            <w:r>
              <w:t>o lower the carbon footprint of the product, it can be partly replaced in the future by mixtures of renewable/recycled LPG and renewable/recycled dimethyl ether (DME) at any ratio.</w:t>
            </w:r>
          </w:p>
          <w:p w14:paraId="287AD71A" w14:textId="5F1AD639" w:rsidR="009A6F18" w:rsidRDefault="009A6F18" w:rsidP="009A6F18">
            <w:pPr>
              <w:spacing w:after="120"/>
              <w:ind w:left="2552" w:right="438"/>
              <w:jc w:val="both"/>
            </w:pPr>
            <w:r>
              <w:t>Current forecasts are that for e</w:t>
            </w:r>
            <w:r w:rsidR="00AA1D5B">
              <w:t>xample</w:t>
            </w:r>
            <w:r>
              <w:t xml:space="preserve"> in Europe </w:t>
            </w:r>
            <w:r w:rsidRPr="002157E3">
              <w:t>and North America</w:t>
            </w:r>
            <w:r>
              <w:t>, by 2030 renewable/recycled DME can constitute up to 25</w:t>
            </w:r>
            <w:r w:rsidR="00AA1D5B">
              <w:t xml:space="preserve"> </w:t>
            </w:r>
            <w:r>
              <w:t>% of the renewables offerings of the LPG industry and possibly up to 40</w:t>
            </w:r>
            <w:r w:rsidR="00AA1D5B">
              <w:t xml:space="preserve"> </w:t>
            </w:r>
            <w:r>
              <w:t>% by 2040, rising to 50</w:t>
            </w:r>
            <w:r w:rsidR="00AA1D5B">
              <w:t xml:space="preserve"> </w:t>
            </w:r>
            <w:r>
              <w:t xml:space="preserve">% by 2050. </w:t>
            </w:r>
            <w:r w:rsidRPr="00B26134">
              <w:t xml:space="preserve">Assuming that the </w:t>
            </w:r>
            <w:r>
              <w:t xml:space="preserve">requested </w:t>
            </w:r>
            <w:r w:rsidRPr="00B26134">
              <w:t>new special provision to allow LPG with up to 12</w:t>
            </w:r>
            <w:r w:rsidR="00AA1D5B">
              <w:t xml:space="preserve"> </w:t>
            </w:r>
            <w:r w:rsidRPr="00B26134">
              <w:t xml:space="preserve">% by mass of DME to be assigned to UN 1075 or UN 1965 is </w:t>
            </w:r>
            <w:r>
              <w:t>approved</w:t>
            </w:r>
            <w:r w:rsidRPr="00B26134">
              <w:t xml:space="preserve">, it is </w:t>
            </w:r>
            <w:r>
              <w:t xml:space="preserve">believed that in the future, up to </w:t>
            </w:r>
            <w:r w:rsidRPr="00A136F9">
              <w:t>30</w:t>
            </w:r>
            <w:r w:rsidR="00BD2391">
              <w:t xml:space="preserve"> </w:t>
            </w:r>
            <w:r w:rsidRPr="00A136F9">
              <w:t>% of the DME/LPG mixtures may have a DME content higher than 12</w:t>
            </w:r>
            <w:r w:rsidR="00BD2391">
              <w:t xml:space="preserve"> </w:t>
            </w:r>
            <w:r w:rsidRPr="00A136F9">
              <w:t xml:space="preserve">% (by mass), </w:t>
            </w:r>
            <w:r w:rsidRPr="0076359B">
              <w:t>thus falling in the category of the requested new UN number</w:t>
            </w:r>
            <w:r>
              <w:t>,</w:t>
            </w:r>
            <w:r w:rsidRPr="0076359B">
              <w:t xml:space="preserve"> and represent </w:t>
            </w:r>
            <w:r>
              <w:t xml:space="preserve">around </w:t>
            </w:r>
            <w:r w:rsidRPr="0076359B">
              <w:t>10</w:t>
            </w:r>
            <w:r w:rsidR="00BD2391">
              <w:t xml:space="preserve"> </w:t>
            </w:r>
            <w:r w:rsidRPr="0076359B">
              <w:t>% of the total market</w:t>
            </w:r>
            <w:r>
              <w:t xml:space="preserve">. These significant mixture volumes, according to the current regulations, would need to be assigned to UN 3161 Liquified Gas, Flammable, N.O.S. However, to ease identification of the product by the emergency services, it is proposed that a new UN </w:t>
            </w:r>
            <w:r w:rsidR="00BD2391">
              <w:t>n</w:t>
            </w:r>
            <w:r>
              <w:t xml:space="preserve">umber is created for </w:t>
            </w:r>
            <w:r w:rsidRPr="005003A9">
              <w:t>“</w:t>
            </w:r>
            <w:r>
              <w:t xml:space="preserve">Hydrocarbon and </w:t>
            </w:r>
            <w:r w:rsidR="00585951">
              <w:t>d</w:t>
            </w:r>
            <w:r w:rsidRPr="005003A9">
              <w:t xml:space="preserve">imethyl </w:t>
            </w:r>
            <w:r w:rsidR="00585951">
              <w:t>e</w:t>
            </w:r>
            <w:r w:rsidRPr="005003A9">
              <w:t xml:space="preserve">ther </w:t>
            </w:r>
            <w:r w:rsidR="00585951">
              <w:t>g</w:t>
            </w:r>
            <w:r w:rsidRPr="005003A9">
              <w:t xml:space="preserve">as </w:t>
            </w:r>
            <w:r w:rsidR="00585951">
              <w:t>m</w:t>
            </w:r>
            <w:r w:rsidRPr="005003A9">
              <w:t xml:space="preserve">ixtures, </w:t>
            </w:r>
            <w:r w:rsidR="00585951">
              <w:t>l</w:t>
            </w:r>
            <w:r w:rsidRPr="005003A9">
              <w:t>iquefied”.</w:t>
            </w:r>
          </w:p>
          <w:p w14:paraId="0B9ABF3D" w14:textId="27A6653A" w:rsidR="009A6F18" w:rsidRPr="008B52CE" w:rsidRDefault="009A6F18" w:rsidP="009A6F18">
            <w:pPr>
              <w:spacing w:after="120"/>
              <w:ind w:left="2552" w:right="438" w:firstLine="1"/>
              <w:jc w:val="both"/>
            </w:pPr>
            <w:r>
              <w:t xml:space="preserve">This proposal is separate from and not linked to the proposal to introduce a new </w:t>
            </w:r>
            <w:r w:rsidR="00A25168">
              <w:t>s</w:t>
            </w:r>
            <w:r>
              <w:t xml:space="preserve">pecial </w:t>
            </w:r>
            <w:r w:rsidR="00A25168">
              <w:t>p</w:t>
            </w:r>
            <w:r>
              <w:t>rovision to allow up to 12</w:t>
            </w:r>
            <w:r w:rsidR="00BD2391">
              <w:t xml:space="preserve"> </w:t>
            </w:r>
            <w:r>
              <w:t>% by mass of DME in LPG assigned to UN 1075 or UN 1965</w:t>
            </w:r>
            <w:r w:rsidR="00CE3EE5">
              <w:t xml:space="preserve"> (</w:t>
            </w:r>
            <w:r w:rsidR="00F522B1">
              <w:rPr>
                <w:lang w:val="en-GB"/>
              </w:rPr>
              <w:t>ST</w:t>
            </w:r>
            <w:r w:rsidR="00F522B1" w:rsidRPr="00F61D80">
              <w:rPr>
                <w:lang w:val="en-GB"/>
              </w:rPr>
              <w:t>/SG/AC.10/C.3/2024/</w:t>
            </w:r>
            <w:r w:rsidR="00F522B1">
              <w:rPr>
                <w:lang w:val="en-GB"/>
              </w:rPr>
              <w:t>48)</w:t>
            </w:r>
            <w:r>
              <w:t>.</w:t>
            </w:r>
          </w:p>
        </w:tc>
      </w:tr>
      <w:tr w:rsidR="009A6F18" w:rsidRPr="00F61D80" w14:paraId="5982EC01" w14:textId="77777777" w:rsidTr="00BA3B74">
        <w:trPr>
          <w:trHeight w:val="4"/>
          <w:jc w:val="center"/>
        </w:trPr>
        <w:tc>
          <w:tcPr>
            <w:tcW w:w="9509" w:type="dxa"/>
            <w:shd w:val="clear" w:color="auto" w:fill="auto"/>
          </w:tcPr>
          <w:p w14:paraId="0F76BED0" w14:textId="1E9F35B4" w:rsidR="009A6F18" w:rsidRPr="00F61D80" w:rsidRDefault="009A6F18" w:rsidP="009A6F18">
            <w:pPr>
              <w:tabs>
                <w:tab w:val="left" w:pos="2552"/>
              </w:tabs>
              <w:spacing w:after="120"/>
              <w:ind w:left="2552" w:right="438" w:hanging="2268"/>
              <w:jc w:val="both"/>
              <w:rPr>
                <w:lang w:val="en-GB"/>
              </w:rPr>
            </w:pPr>
            <w:r w:rsidRPr="00F61D80">
              <w:rPr>
                <w:b/>
                <w:lang w:val="en-GB"/>
              </w:rPr>
              <w:t>Action to be taken</w:t>
            </w:r>
            <w:r w:rsidRPr="00F61D80">
              <w:rPr>
                <w:b/>
                <w:lang w:val="en-GB"/>
              </w:rPr>
              <w:tab/>
            </w:r>
            <w:r w:rsidRPr="00AD24DC">
              <w:rPr>
                <w:bCs/>
              </w:rPr>
              <w:t>C</w:t>
            </w:r>
            <w:r>
              <w:rPr>
                <w:bCs/>
              </w:rPr>
              <w:t xml:space="preserve">reate a new UN </w:t>
            </w:r>
            <w:r w:rsidR="00A25168">
              <w:rPr>
                <w:bCs/>
              </w:rPr>
              <w:t>n</w:t>
            </w:r>
            <w:r>
              <w:rPr>
                <w:bCs/>
              </w:rPr>
              <w:t>umber for hydrocarbon and DME mixtures as “</w:t>
            </w:r>
            <w:r w:rsidRPr="0041000F">
              <w:rPr>
                <w:bCs/>
              </w:rPr>
              <w:t>Hydrocarbon</w:t>
            </w:r>
            <w:r>
              <w:rPr>
                <w:bCs/>
              </w:rPr>
              <w:t xml:space="preserve"> </w:t>
            </w:r>
            <w:r w:rsidR="00A9647F">
              <w:rPr>
                <w:bCs/>
              </w:rPr>
              <w:t>g</w:t>
            </w:r>
            <w:r>
              <w:rPr>
                <w:bCs/>
              </w:rPr>
              <w:t>ases</w:t>
            </w:r>
            <w:r w:rsidR="00A9647F">
              <w:rPr>
                <w:bCs/>
              </w:rPr>
              <w:t>,</w:t>
            </w:r>
            <w:r>
              <w:rPr>
                <w:bCs/>
              </w:rPr>
              <w:t xml:space="preserve"> UN </w:t>
            </w:r>
            <w:r w:rsidR="00A9647F">
              <w:rPr>
                <w:bCs/>
              </w:rPr>
              <w:t>Nos.</w:t>
            </w:r>
            <w:r>
              <w:rPr>
                <w:bCs/>
              </w:rPr>
              <w:t xml:space="preserve"> 1075, 1965, 1011, 1012, 1055, 1969, </w:t>
            </w:r>
            <w:r w:rsidR="0061780C">
              <w:rPr>
                <w:bCs/>
              </w:rPr>
              <w:t xml:space="preserve">or </w:t>
            </w:r>
            <w:r>
              <w:rPr>
                <w:bCs/>
              </w:rPr>
              <w:t xml:space="preserve">1978 and </w:t>
            </w:r>
            <w:r w:rsidR="00A9647F">
              <w:rPr>
                <w:bCs/>
              </w:rPr>
              <w:t>d</w:t>
            </w:r>
            <w:r>
              <w:rPr>
                <w:bCs/>
              </w:rPr>
              <w:t xml:space="preserve">imethyl </w:t>
            </w:r>
            <w:r w:rsidR="00A9647F">
              <w:rPr>
                <w:bCs/>
              </w:rPr>
              <w:t>e</w:t>
            </w:r>
            <w:r>
              <w:rPr>
                <w:bCs/>
              </w:rPr>
              <w:t xml:space="preserve">ther UN 1033, </w:t>
            </w:r>
            <w:r w:rsidR="00D25AD8">
              <w:rPr>
                <w:bCs/>
              </w:rPr>
              <w:t>m</w:t>
            </w:r>
            <w:r w:rsidRPr="0041000F">
              <w:rPr>
                <w:bCs/>
              </w:rPr>
              <w:t xml:space="preserve">ixtures, </w:t>
            </w:r>
            <w:r w:rsidR="00D25AD8">
              <w:rPr>
                <w:bCs/>
              </w:rPr>
              <w:t>l</w:t>
            </w:r>
            <w:r w:rsidRPr="0041000F">
              <w:rPr>
                <w:bCs/>
              </w:rPr>
              <w:t>iquefied</w:t>
            </w:r>
            <w:r w:rsidR="00AA1D5B">
              <w:rPr>
                <w:bCs/>
              </w:rPr>
              <w:t>”</w:t>
            </w:r>
            <w:r>
              <w:rPr>
                <w:bCs/>
              </w:rPr>
              <w:t>.</w:t>
            </w:r>
          </w:p>
        </w:tc>
      </w:tr>
      <w:tr w:rsidR="009A6F18" w:rsidRPr="00F61D80" w14:paraId="64BD3B8E" w14:textId="77777777" w:rsidTr="00BA3B74">
        <w:trPr>
          <w:trHeight w:val="1"/>
          <w:jc w:val="center"/>
        </w:trPr>
        <w:tc>
          <w:tcPr>
            <w:tcW w:w="9509" w:type="dxa"/>
            <w:shd w:val="clear" w:color="auto" w:fill="auto"/>
          </w:tcPr>
          <w:p w14:paraId="0EA4D648" w14:textId="77777777" w:rsidR="009A6F18" w:rsidRPr="00F61D80" w:rsidRDefault="009A6F18" w:rsidP="009A6F18">
            <w:pPr>
              <w:tabs>
                <w:tab w:val="left" w:pos="2552"/>
              </w:tabs>
              <w:ind w:left="2552" w:right="438" w:hanging="2268"/>
              <w:rPr>
                <w:lang w:val="en-GB"/>
              </w:rPr>
            </w:pPr>
            <w:r w:rsidRPr="00F61D80">
              <w:rPr>
                <w:b/>
                <w:bCs/>
                <w:lang w:val="en-GB"/>
              </w:rPr>
              <w:t>Related documents:</w:t>
            </w:r>
            <w:r w:rsidRPr="00F61D80">
              <w:rPr>
                <w:lang w:val="en-GB"/>
              </w:rPr>
              <w:tab/>
            </w:r>
            <w:r w:rsidRPr="00F17B96">
              <w:rPr>
                <w:bCs/>
              </w:rPr>
              <w:t xml:space="preserve">Document </w:t>
            </w:r>
            <w:r w:rsidRPr="00C42B9A">
              <w:rPr>
                <w:bCs/>
              </w:rPr>
              <w:t>ST/SG/AC.10/C.3/202</w:t>
            </w:r>
            <w:r>
              <w:rPr>
                <w:bCs/>
              </w:rPr>
              <w:t>3</w:t>
            </w:r>
            <w:r w:rsidRPr="00C42B9A">
              <w:rPr>
                <w:bCs/>
              </w:rPr>
              <w:t>/</w:t>
            </w:r>
            <w:r>
              <w:rPr>
                <w:bCs/>
              </w:rPr>
              <w:t>32 from the sixty-third session.</w:t>
            </w:r>
          </w:p>
        </w:tc>
      </w:tr>
      <w:tr w:rsidR="009A6F18" w:rsidRPr="00F61D80" w14:paraId="5D068F2D" w14:textId="77777777" w:rsidTr="00BA3B74">
        <w:trPr>
          <w:trHeight w:val="1"/>
          <w:jc w:val="center"/>
        </w:trPr>
        <w:tc>
          <w:tcPr>
            <w:tcW w:w="9509" w:type="dxa"/>
            <w:shd w:val="clear" w:color="auto" w:fill="auto"/>
          </w:tcPr>
          <w:p w14:paraId="4AA2A7A7" w14:textId="77777777" w:rsidR="009A6F18" w:rsidRPr="00F61D80" w:rsidRDefault="009A6F18" w:rsidP="00BA3B74">
            <w:pPr>
              <w:tabs>
                <w:tab w:val="left" w:pos="2552"/>
              </w:tabs>
              <w:spacing w:after="120"/>
              <w:ind w:left="2552" w:right="712" w:hanging="2268"/>
              <w:jc w:val="both"/>
              <w:rPr>
                <w:b/>
                <w:bCs/>
                <w:lang w:val="en-GB"/>
              </w:rPr>
            </w:pPr>
          </w:p>
        </w:tc>
      </w:tr>
    </w:tbl>
    <w:p w14:paraId="544CB10B" w14:textId="1A106EA2" w:rsidR="00C4757B" w:rsidRDefault="00C4757B" w:rsidP="00C4757B">
      <w:pPr>
        <w:pStyle w:val="HChG"/>
        <w:rPr>
          <w:lang w:val="en-US"/>
        </w:rPr>
      </w:pPr>
      <w:r>
        <w:lastRenderedPageBreak/>
        <w:tab/>
        <w:t>I.</w:t>
      </w:r>
      <w:r>
        <w:tab/>
      </w:r>
      <w:r w:rsidR="00351135" w:rsidRPr="00F209B3">
        <w:t>Background</w:t>
      </w:r>
    </w:p>
    <w:p w14:paraId="40FD8AD7" w14:textId="77777777" w:rsidR="004A188C" w:rsidRPr="009B4343" w:rsidRDefault="004A188C" w:rsidP="004A188C">
      <w:pPr>
        <w:pStyle w:val="SingleTxtG"/>
      </w:pPr>
      <w:r>
        <w:t>1.</w:t>
      </w:r>
      <w:r>
        <w:tab/>
        <w:t>Document</w:t>
      </w:r>
      <w:r w:rsidRPr="00122837">
        <w:t xml:space="preserve"> ST</w:t>
      </w:r>
      <w:r w:rsidRPr="00512306">
        <w:t>/SG/AC.10/C.3/202</w:t>
      </w:r>
      <w:r>
        <w:t>3</w:t>
      </w:r>
      <w:r w:rsidRPr="00512306">
        <w:t>/</w:t>
      </w:r>
      <w:r>
        <w:t>32</w:t>
      </w:r>
      <w:r w:rsidRPr="00512306">
        <w:t xml:space="preserve"> </w:t>
      </w:r>
      <w:r>
        <w:t xml:space="preserve">of the </w:t>
      </w:r>
      <w:r>
        <w:rPr>
          <w:bCs/>
        </w:rPr>
        <w:t xml:space="preserve">sixty-third </w:t>
      </w:r>
      <w:r>
        <w:t xml:space="preserve">session </w:t>
      </w:r>
      <w:r w:rsidRPr="00512306">
        <w:t xml:space="preserve">contained the background information on the way that the LPG industry is changing and adapting to meet its renewable </w:t>
      </w:r>
      <w:r>
        <w:t xml:space="preserve">and sustainability </w:t>
      </w:r>
      <w:r w:rsidRPr="00512306">
        <w:t>goal</w:t>
      </w:r>
      <w:r>
        <w:t>s, and addressed the issues raised during the sixty-second session.</w:t>
      </w:r>
    </w:p>
    <w:p w14:paraId="59C4409B" w14:textId="77777777" w:rsidR="004A188C" w:rsidRDefault="004A188C" w:rsidP="004A188C">
      <w:pPr>
        <w:pStyle w:val="SingleTxtG"/>
      </w:pPr>
      <w:r>
        <w:t>2.</w:t>
      </w:r>
      <w:r>
        <w:tab/>
        <w:t xml:space="preserve">During the debate held in the </w:t>
      </w:r>
      <w:r>
        <w:rPr>
          <w:bCs/>
        </w:rPr>
        <w:t xml:space="preserve">sixty-third </w:t>
      </w:r>
      <w:r>
        <w:t>session, it was felt that product identification was not sufficient grounds to justify a new UN number, unless large quantities of such DME/LPG mixtures will enter the transport train. This document includes some projections/forecasts on the significant expected quantities concerned.</w:t>
      </w:r>
    </w:p>
    <w:p w14:paraId="58EF66BB" w14:textId="68915689" w:rsidR="004A188C" w:rsidRPr="00910A43" w:rsidRDefault="004A188C" w:rsidP="004A188C">
      <w:pPr>
        <w:pStyle w:val="SingleTxtG"/>
      </w:pPr>
      <w:r>
        <w:t>3.</w:t>
      </w:r>
      <w:r>
        <w:tab/>
        <w:t xml:space="preserve">Such mixtures of </w:t>
      </w:r>
      <w:r w:rsidR="00335BBC">
        <w:t>renewable/recycled DME (</w:t>
      </w:r>
      <w:proofErr w:type="spellStart"/>
      <w:r>
        <w:t>rDME</w:t>
      </w:r>
      <w:proofErr w:type="spellEnd"/>
      <w:r w:rsidR="00335BBC">
        <w:t>)</w:t>
      </w:r>
      <w:r>
        <w:t xml:space="preserve"> with LPG </w:t>
      </w:r>
      <w:r w:rsidRPr="007712CF">
        <w:t xml:space="preserve">will </w:t>
      </w:r>
      <w:r>
        <w:t>assist in the decarbonisation of the fuel supplied by the Liquid Gas, LPG industry,</w:t>
      </w:r>
      <w:r w:rsidRPr="007712CF">
        <w:t xml:space="preserve"> and thus contribute towards the United Nations, Sustainable Development Goal 7 (</w:t>
      </w:r>
      <w:r w:rsidR="006B4AC4">
        <w:t>a</w:t>
      </w:r>
      <w:r w:rsidRPr="007712CF">
        <w:t xml:space="preserve">ffordable </w:t>
      </w:r>
      <w:r w:rsidR="006B4AC4">
        <w:t>and</w:t>
      </w:r>
      <w:r w:rsidRPr="007712CF">
        <w:t xml:space="preserve"> </w:t>
      </w:r>
      <w:r w:rsidR="006B4AC4">
        <w:t>c</w:t>
      </w:r>
      <w:r w:rsidRPr="007712CF">
        <w:t xml:space="preserve">lean </w:t>
      </w:r>
      <w:r w:rsidR="006B4AC4">
        <w:t>e</w:t>
      </w:r>
      <w:r w:rsidRPr="007712CF">
        <w:t>nergy)</w:t>
      </w:r>
      <w:r>
        <w:t xml:space="preserve">. Current forecasts are that for Europe </w:t>
      </w:r>
      <w:r w:rsidRPr="002157E3">
        <w:t>and North America</w:t>
      </w:r>
      <w:r>
        <w:t xml:space="preserve">, by 2030 </w:t>
      </w:r>
      <w:proofErr w:type="spellStart"/>
      <w:r w:rsidR="00335BBC">
        <w:t>rDME</w:t>
      </w:r>
      <w:proofErr w:type="spellEnd"/>
      <w:r w:rsidR="00335BBC">
        <w:t xml:space="preserve"> </w:t>
      </w:r>
      <w:r>
        <w:t>can constitute up to 25</w:t>
      </w:r>
      <w:r w:rsidR="00B3343B">
        <w:t xml:space="preserve"> </w:t>
      </w:r>
      <w:r>
        <w:t>% of the renewables offerings of the LPG industry and possibly up to 40</w:t>
      </w:r>
      <w:r w:rsidR="00B3343B">
        <w:t xml:space="preserve"> </w:t>
      </w:r>
      <w:r>
        <w:t>% by 2040, rising to 50</w:t>
      </w:r>
      <w:r w:rsidR="00B3343B">
        <w:t xml:space="preserve"> </w:t>
      </w:r>
      <w:r>
        <w:t xml:space="preserve">% by 2050. </w:t>
      </w:r>
      <w:r w:rsidRPr="00B26134">
        <w:t xml:space="preserve">Assuming that the </w:t>
      </w:r>
      <w:r>
        <w:t xml:space="preserve">requested </w:t>
      </w:r>
      <w:r w:rsidRPr="00B26134">
        <w:t>new special provision to allow LPG with up to 12</w:t>
      </w:r>
      <w:r w:rsidR="00B3343B">
        <w:t xml:space="preserve"> </w:t>
      </w:r>
      <w:r w:rsidRPr="00B26134">
        <w:t xml:space="preserve">% by mass of DME to be assigned to UN 1075 or UN 1965 is </w:t>
      </w:r>
      <w:r>
        <w:t>approved</w:t>
      </w:r>
      <w:r w:rsidRPr="00B26134">
        <w:t xml:space="preserve">, it is </w:t>
      </w:r>
      <w:r>
        <w:t xml:space="preserve">believed that in the future, up to </w:t>
      </w:r>
      <w:r w:rsidRPr="00A136F9">
        <w:t>30</w:t>
      </w:r>
      <w:r w:rsidR="00AB1632">
        <w:t xml:space="preserve"> </w:t>
      </w:r>
      <w:r w:rsidRPr="00A136F9">
        <w:t>% of the DME/LPG mixtures may have a DME content higher than 12</w:t>
      </w:r>
      <w:r w:rsidR="00AB1632">
        <w:t xml:space="preserve"> </w:t>
      </w:r>
      <w:r w:rsidRPr="00A136F9">
        <w:t xml:space="preserve">% (by mass), </w:t>
      </w:r>
      <w:r>
        <w:t xml:space="preserve">thus </w:t>
      </w:r>
      <w:r w:rsidRPr="00A136F9">
        <w:t>falling in the category of the requested new UN number</w:t>
      </w:r>
      <w:r>
        <w:t>, and represent around 10</w:t>
      </w:r>
      <w:r w:rsidR="00AB1632">
        <w:t xml:space="preserve"> </w:t>
      </w:r>
      <w:r>
        <w:t>% of the total market.</w:t>
      </w:r>
    </w:p>
    <w:p w14:paraId="7344E767" w14:textId="4A2DD84C" w:rsidR="004A188C" w:rsidRDefault="004A188C" w:rsidP="004A188C">
      <w:pPr>
        <w:pStyle w:val="SingleTxtG"/>
      </w:pPr>
      <w:r>
        <w:t>4.</w:t>
      </w:r>
      <w:r>
        <w:tab/>
        <w:t xml:space="preserve">During the debate held </w:t>
      </w:r>
      <w:r w:rsidR="00134FA3">
        <w:t>at</w:t>
      </w:r>
      <w:r>
        <w:t xml:space="preserve"> the </w:t>
      </w:r>
      <w:r>
        <w:rPr>
          <w:bCs/>
        </w:rPr>
        <w:t xml:space="preserve">sixty-third </w:t>
      </w:r>
      <w:r>
        <w:t>session, v</w:t>
      </w:r>
      <w:r w:rsidRPr="00FC315E">
        <w:t xml:space="preserve">iews were expressed that </w:t>
      </w:r>
      <w:r>
        <w:t xml:space="preserve">a </w:t>
      </w:r>
      <w:r w:rsidRPr="00FC315E">
        <w:t xml:space="preserve">new UN number was not necessary, as there was no need to specifically identify this mixture in an emergency, thus duplicating unnecessarily the existing UN number (UN 3161). However, there are already similar duplications in UN numbers, </w:t>
      </w:r>
      <w:r>
        <w:t xml:space="preserve">and </w:t>
      </w:r>
      <w:r w:rsidRPr="00FC315E">
        <w:t xml:space="preserve">we believe these were introduced for the sake of </w:t>
      </w:r>
      <w:r>
        <w:t xml:space="preserve">similar </w:t>
      </w:r>
      <w:r w:rsidRPr="00FC315E">
        <w:t>clarity</w:t>
      </w:r>
      <w:r>
        <w:t xml:space="preserve"> as the one we are requesting here</w:t>
      </w:r>
      <w:r w:rsidRPr="00FC315E">
        <w:t>.</w:t>
      </w:r>
    </w:p>
    <w:p w14:paraId="356E4198" w14:textId="53E82FE1" w:rsidR="004A188C" w:rsidRDefault="004A188C" w:rsidP="004A188C">
      <w:pPr>
        <w:pStyle w:val="SingleTxtG"/>
      </w:pPr>
      <w:r>
        <w:t>5.</w:t>
      </w:r>
      <w:r>
        <w:tab/>
      </w:r>
      <w:r w:rsidRPr="00FC315E">
        <w:t>An example is with refrigerant gases</w:t>
      </w:r>
      <w:r>
        <w:t>. T</w:t>
      </w:r>
      <w:r w:rsidRPr="00FC315E">
        <w:t xml:space="preserve">here are 25 separate UN numbers for gases classified as 2A with a 20 </w:t>
      </w:r>
      <w:r w:rsidR="00CF6C48">
        <w:t>hazard identification number</w:t>
      </w:r>
      <w:r w:rsidR="005E281B">
        <w:rPr>
          <w:rStyle w:val="FootnoteReference"/>
        </w:rPr>
        <w:footnoteReference w:id="3"/>
      </w:r>
      <w:r w:rsidR="00CF6C48">
        <w:t xml:space="preserve"> (</w:t>
      </w:r>
      <w:r w:rsidRPr="00FC315E">
        <w:t>HIN</w:t>
      </w:r>
      <w:r w:rsidR="00CF6C48">
        <w:t>)</w:t>
      </w:r>
      <w:r w:rsidRPr="00FC315E">
        <w:t xml:space="preserve"> (</w:t>
      </w:r>
      <w:r w:rsidR="00544437">
        <w:t xml:space="preserve">UN Nos. </w:t>
      </w:r>
      <w:r w:rsidRPr="00FC315E">
        <w:t>1009, 1018, 1020, 1021, 1022, 1028, 1029, 1958, 1973, 1974, 1976, 1982, 1983, 1984, 2422, 2424, 2599, 2602, 3159, 3220, 3296, 3337, 3338, 3339 and 3340) and 7 UN numbers classified as 2F with a 23 HIN (</w:t>
      </w:r>
      <w:r w:rsidR="00544437">
        <w:t xml:space="preserve">UN Nos. </w:t>
      </w:r>
      <w:r w:rsidRPr="00FC315E">
        <w:t xml:space="preserve">1030, 1063, 2035, 2453, 2454, 2517 and 3252). The 2A gases could have been assigned to UN 1078 Refrigerant </w:t>
      </w:r>
      <w:r>
        <w:t>g</w:t>
      </w:r>
      <w:r w:rsidRPr="00FC315E">
        <w:t xml:space="preserve">ases, N.O.S. or UN 3163 (liquefied </w:t>
      </w:r>
      <w:r>
        <w:t>g</w:t>
      </w:r>
      <w:r w:rsidRPr="00FC315E">
        <w:t>ases N.O.S.</w:t>
      </w:r>
      <w:r>
        <w:t>)</w:t>
      </w:r>
      <w:r w:rsidRPr="00FC315E">
        <w:t xml:space="preserve"> and the 2F gases to UN 3161. However, they have all been assigned to separate UN numbers to avoid confusion and aid identification</w:t>
      </w:r>
      <w:r>
        <w:t>.</w:t>
      </w:r>
      <w:r w:rsidRPr="00FC315E">
        <w:t xml:space="preserve"> </w:t>
      </w:r>
      <w:r>
        <w:t>By 2030</w:t>
      </w:r>
      <w:r w:rsidRPr="00FC315E">
        <w:t xml:space="preserve"> the volume of DME</w:t>
      </w:r>
      <w:r>
        <w:t>/LPG</w:t>
      </w:r>
      <w:r w:rsidRPr="00FC315E">
        <w:t xml:space="preserve"> mixtures transported </w:t>
      </w:r>
      <w:r>
        <w:t xml:space="preserve">will by far </w:t>
      </w:r>
      <w:r w:rsidRPr="00FC315E">
        <w:t>exceed the total volume of refrigerant gases transported.</w:t>
      </w:r>
    </w:p>
    <w:p w14:paraId="61D742B4" w14:textId="174F4AF7" w:rsidR="004A188C" w:rsidRDefault="004A188C" w:rsidP="004A188C">
      <w:pPr>
        <w:pStyle w:val="SingleTxtG"/>
      </w:pPr>
      <w:r>
        <w:t>6.</w:t>
      </w:r>
      <w:r>
        <w:tab/>
        <w:t xml:space="preserve">UN </w:t>
      </w:r>
      <w:r w:rsidR="00544437">
        <w:t>Nos.</w:t>
      </w:r>
      <w:r>
        <w:t xml:space="preserve"> 1033, 1075 and 1065 all have the same HIN (23). However, some flammable liquefied gases that could be mixed and then classified as UN 3161 have different HINs. For example, UN 1041 has a 239 HIN (</w:t>
      </w:r>
      <w:r w:rsidR="001606F9">
        <w:t>r</w:t>
      </w:r>
      <w:r>
        <w:t xml:space="preserve">isk of spontaneous violent reaction), but if that is mixed with another flammable gas it is assigned to UN 3161 with a 23 HIN. The same applies with UN </w:t>
      </w:r>
      <w:r w:rsidR="00346E54">
        <w:t>Nos.</w:t>
      </w:r>
      <w:r>
        <w:t xml:space="preserve"> 1060, 1081, 1085, 1086, 1087, 1959 and 2452. UN 2191 has a 26 HIN, again that can be mixed with another liquefied gas and then assigned to UN 3161.</w:t>
      </w:r>
    </w:p>
    <w:p w14:paraId="1A26CF1B" w14:textId="798DE5F7" w:rsidR="004A188C" w:rsidRDefault="00346E54" w:rsidP="004A188C">
      <w:pPr>
        <w:pStyle w:val="SingleTxtG"/>
      </w:pPr>
      <w:r>
        <w:t>7.</w:t>
      </w:r>
      <w:r>
        <w:tab/>
      </w:r>
      <w:r w:rsidR="004A188C">
        <w:t xml:space="preserve">During </w:t>
      </w:r>
      <w:r w:rsidR="004A188C" w:rsidRPr="0025062E">
        <w:t>an emergency</w:t>
      </w:r>
      <w:r w:rsidR="004A188C">
        <w:t>,</w:t>
      </w:r>
      <w:r w:rsidR="004A188C" w:rsidRPr="0025062E">
        <w:t xml:space="preserve"> documentation detailing the actual </w:t>
      </w:r>
      <w:r w:rsidR="004A188C">
        <w:t>mixture</w:t>
      </w:r>
      <w:r w:rsidR="004A188C" w:rsidRPr="0025062E">
        <w:t xml:space="preserve"> </w:t>
      </w:r>
      <w:r w:rsidR="004A188C">
        <w:t xml:space="preserve">transported </w:t>
      </w:r>
      <w:r w:rsidR="004A188C" w:rsidRPr="0025062E">
        <w:t xml:space="preserve">may not be </w:t>
      </w:r>
      <w:r w:rsidR="004A188C">
        <w:t xml:space="preserve">readily </w:t>
      </w:r>
      <w:r w:rsidR="004A188C" w:rsidRPr="0025062E">
        <w:t>available</w:t>
      </w:r>
      <w:r w:rsidR="004A188C">
        <w:t>,</w:t>
      </w:r>
      <w:r w:rsidR="004A188C" w:rsidRPr="0025062E">
        <w:t xml:space="preserve"> and if </w:t>
      </w:r>
      <w:r w:rsidR="004A188C">
        <w:t xml:space="preserve">the product </w:t>
      </w:r>
      <w:r w:rsidR="004A188C" w:rsidRPr="0025062E">
        <w:t>were to be transferred into an alternative container not hav</w:t>
      </w:r>
      <w:r w:rsidR="004A188C">
        <w:t>ing</w:t>
      </w:r>
      <w:r w:rsidR="004A188C" w:rsidRPr="0025062E">
        <w:t xml:space="preserve"> suitable elastomeric seals</w:t>
      </w:r>
      <w:r w:rsidR="004A188C">
        <w:t>,</w:t>
      </w:r>
      <w:r w:rsidR="004A188C" w:rsidRPr="0025062E">
        <w:t xml:space="preserve"> unacceptable swelling may occur. Swelling occurs in the first 48 hours of exposure and dimethyl ether/LPG </w:t>
      </w:r>
      <w:r w:rsidR="004A188C">
        <w:t>mixtures</w:t>
      </w:r>
      <w:r w:rsidR="004A188C" w:rsidRPr="0025062E">
        <w:t xml:space="preserve"> with a higher than 40</w:t>
      </w:r>
      <w:r w:rsidR="00906358">
        <w:t xml:space="preserve"> </w:t>
      </w:r>
      <w:r w:rsidR="004A188C" w:rsidRPr="0025062E">
        <w:t>% DME will cause unacceptable swelling in many elastomers used in the LPG industry</w:t>
      </w:r>
      <w:r w:rsidR="004A188C">
        <w:t>.</w:t>
      </w:r>
    </w:p>
    <w:p w14:paraId="5DE3FEDF" w14:textId="0A8A909C" w:rsidR="004A188C" w:rsidRDefault="00346E54" w:rsidP="004A188C">
      <w:pPr>
        <w:pStyle w:val="SingleTxtG"/>
      </w:pPr>
      <w:r>
        <w:t>8</w:t>
      </w:r>
      <w:r w:rsidR="004A188C">
        <w:t>.</w:t>
      </w:r>
      <w:r w:rsidR="004A188C">
        <w:tab/>
        <w:t xml:space="preserve">Mixtures of </w:t>
      </w:r>
      <w:proofErr w:type="spellStart"/>
      <w:r w:rsidR="00906358">
        <w:t>r</w:t>
      </w:r>
      <w:r w:rsidR="004A188C">
        <w:t>DME</w:t>
      </w:r>
      <w:proofErr w:type="spellEnd"/>
      <w:r w:rsidR="004A188C">
        <w:t xml:space="preserve"> and LPG (</w:t>
      </w:r>
      <w:r w:rsidR="00F07565">
        <w:t>h</w:t>
      </w:r>
      <w:r w:rsidR="004A188C" w:rsidRPr="00B85FD6">
        <w:t xml:space="preserve">ydrocarbons to UN </w:t>
      </w:r>
      <w:r w:rsidR="00DC4700">
        <w:t>Nos.</w:t>
      </w:r>
      <w:r w:rsidR="004A188C">
        <w:t xml:space="preserve"> </w:t>
      </w:r>
      <w:r w:rsidR="004A188C" w:rsidRPr="00B85FD6">
        <w:t>1075</w:t>
      </w:r>
      <w:r w:rsidR="004A188C">
        <w:t xml:space="preserve">, </w:t>
      </w:r>
      <w:r w:rsidR="004A188C" w:rsidRPr="00B85FD6">
        <w:t>1965, 1011, 1012, 1055, 1969, 1978</w:t>
      </w:r>
      <w:r w:rsidR="004A188C">
        <w:t>) will become very common in the transport chain in the future, as conventional fossil fuels are gradually replaced. H</w:t>
      </w:r>
      <w:r w:rsidR="004A188C" w:rsidRPr="00B85FD6">
        <w:t>aving a dedicated UN number for</w:t>
      </w:r>
      <w:r w:rsidR="004A188C">
        <w:t xml:space="preserve"> these mixtures will enable rapid identification of the actual product transported, which can only help in the case of an emergency and will improve safety.</w:t>
      </w:r>
    </w:p>
    <w:p w14:paraId="1D15D14A" w14:textId="6FE3C973" w:rsidR="004A188C" w:rsidRDefault="002004AE" w:rsidP="002004AE">
      <w:pPr>
        <w:pStyle w:val="HChG"/>
      </w:pPr>
      <w:r>
        <w:lastRenderedPageBreak/>
        <w:tab/>
      </w:r>
      <w:r w:rsidR="004A188C">
        <w:t>II.</w:t>
      </w:r>
      <w:r w:rsidR="004A188C">
        <w:tab/>
      </w:r>
      <w:r w:rsidR="004A188C" w:rsidRPr="00B16389">
        <w:t>Proposal</w:t>
      </w:r>
    </w:p>
    <w:p w14:paraId="5D7C1B52" w14:textId="6DEC9776" w:rsidR="004A188C" w:rsidRDefault="00346E54" w:rsidP="004A188C">
      <w:pPr>
        <w:pStyle w:val="SingleTxtG"/>
        <w:keepNext/>
        <w:keepLines/>
      </w:pPr>
      <w:r>
        <w:t>9</w:t>
      </w:r>
      <w:r w:rsidR="004A188C" w:rsidRPr="0098690D">
        <w:t>.</w:t>
      </w:r>
      <w:r w:rsidR="004A188C" w:rsidRPr="0098690D">
        <w:tab/>
      </w:r>
      <w:r w:rsidR="004A188C" w:rsidRPr="00DF7CC1">
        <w:t>Add a new entry to the Dangerous Goods List in 3.2.2 as follows:</w:t>
      </w:r>
    </w:p>
    <w:tbl>
      <w:tblPr>
        <w:tblStyle w:val="TableGrid"/>
        <w:tblW w:w="9493" w:type="dxa"/>
        <w:tblLayout w:type="fixed"/>
        <w:tblLook w:val="04A0" w:firstRow="1" w:lastRow="0" w:firstColumn="1" w:lastColumn="0" w:noHBand="0" w:noVBand="1"/>
      </w:tblPr>
      <w:tblGrid>
        <w:gridCol w:w="704"/>
        <w:gridCol w:w="3402"/>
        <w:gridCol w:w="567"/>
        <w:gridCol w:w="567"/>
        <w:gridCol w:w="425"/>
        <w:gridCol w:w="567"/>
        <w:gridCol w:w="567"/>
        <w:gridCol w:w="567"/>
        <w:gridCol w:w="567"/>
        <w:gridCol w:w="567"/>
        <w:gridCol w:w="567"/>
        <w:gridCol w:w="426"/>
      </w:tblGrid>
      <w:tr w:rsidR="00623EAD" w:rsidRPr="008F36EA" w14:paraId="2AF2F4F2" w14:textId="77777777" w:rsidTr="008624E7">
        <w:trPr>
          <w:trHeight w:val="337"/>
        </w:trPr>
        <w:tc>
          <w:tcPr>
            <w:tcW w:w="704" w:type="dxa"/>
            <w:vAlign w:val="center"/>
          </w:tcPr>
          <w:p w14:paraId="779A1DBC" w14:textId="77777777" w:rsidR="00623EAD" w:rsidRPr="008F36EA" w:rsidRDefault="00623EAD" w:rsidP="008624E7">
            <w:pPr>
              <w:pStyle w:val="Default"/>
              <w:jc w:val="center"/>
              <w:rPr>
                <w:b/>
                <w:bCs/>
                <w:i/>
                <w:iCs/>
                <w:sz w:val="16"/>
                <w:szCs w:val="16"/>
                <w:lang w:val="en-GB"/>
              </w:rPr>
            </w:pPr>
            <w:r w:rsidRPr="008F36EA">
              <w:rPr>
                <w:b/>
                <w:bCs/>
                <w:i/>
                <w:iCs/>
                <w:sz w:val="16"/>
                <w:szCs w:val="16"/>
                <w:lang w:val="en-GB"/>
              </w:rPr>
              <w:t>(1)</w:t>
            </w:r>
          </w:p>
        </w:tc>
        <w:tc>
          <w:tcPr>
            <w:tcW w:w="3402" w:type="dxa"/>
            <w:vAlign w:val="center"/>
          </w:tcPr>
          <w:p w14:paraId="6E73AF21" w14:textId="77777777" w:rsidR="00623EAD" w:rsidRPr="008F36EA" w:rsidRDefault="00623EAD" w:rsidP="008624E7">
            <w:pPr>
              <w:pStyle w:val="Default"/>
              <w:ind w:right="424"/>
              <w:jc w:val="center"/>
              <w:rPr>
                <w:b/>
                <w:bCs/>
                <w:sz w:val="16"/>
                <w:szCs w:val="16"/>
                <w:lang w:val="en-GB"/>
              </w:rPr>
            </w:pPr>
            <w:r w:rsidRPr="008F36EA">
              <w:rPr>
                <w:b/>
                <w:bCs/>
                <w:sz w:val="16"/>
                <w:szCs w:val="16"/>
                <w:lang w:val="en-GB"/>
              </w:rPr>
              <w:t>(2)</w:t>
            </w:r>
          </w:p>
        </w:tc>
        <w:tc>
          <w:tcPr>
            <w:tcW w:w="567" w:type="dxa"/>
            <w:vAlign w:val="center"/>
          </w:tcPr>
          <w:p w14:paraId="67126C50" w14:textId="77777777" w:rsidR="00623EAD" w:rsidRPr="008F36EA" w:rsidRDefault="00623EAD" w:rsidP="008624E7">
            <w:pPr>
              <w:pStyle w:val="Default"/>
              <w:jc w:val="center"/>
              <w:rPr>
                <w:b/>
                <w:bCs/>
                <w:sz w:val="16"/>
                <w:szCs w:val="16"/>
                <w:lang w:val="en-GB"/>
              </w:rPr>
            </w:pPr>
            <w:r w:rsidRPr="008F36EA">
              <w:rPr>
                <w:b/>
                <w:bCs/>
                <w:sz w:val="16"/>
                <w:szCs w:val="16"/>
                <w:lang w:val="en-GB"/>
              </w:rPr>
              <w:t>(3)</w:t>
            </w:r>
          </w:p>
        </w:tc>
        <w:tc>
          <w:tcPr>
            <w:tcW w:w="567" w:type="dxa"/>
            <w:vAlign w:val="center"/>
          </w:tcPr>
          <w:p w14:paraId="48D2257C" w14:textId="77777777" w:rsidR="00623EAD" w:rsidRPr="008F36EA" w:rsidRDefault="00623EAD" w:rsidP="008624E7">
            <w:pPr>
              <w:pStyle w:val="Default"/>
              <w:jc w:val="center"/>
              <w:rPr>
                <w:b/>
                <w:bCs/>
                <w:sz w:val="16"/>
                <w:szCs w:val="16"/>
                <w:lang w:val="en-GB"/>
              </w:rPr>
            </w:pPr>
            <w:r w:rsidRPr="008F36EA">
              <w:rPr>
                <w:b/>
                <w:bCs/>
                <w:sz w:val="16"/>
                <w:szCs w:val="16"/>
                <w:lang w:val="en-GB"/>
              </w:rPr>
              <w:t>(4)</w:t>
            </w:r>
          </w:p>
        </w:tc>
        <w:tc>
          <w:tcPr>
            <w:tcW w:w="425" w:type="dxa"/>
            <w:vAlign w:val="center"/>
          </w:tcPr>
          <w:p w14:paraId="40F4D984" w14:textId="77777777" w:rsidR="00623EAD" w:rsidRPr="008F36EA" w:rsidRDefault="00623EAD" w:rsidP="008624E7">
            <w:pPr>
              <w:pStyle w:val="Default"/>
              <w:jc w:val="center"/>
              <w:rPr>
                <w:b/>
                <w:bCs/>
                <w:sz w:val="16"/>
                <w:szCs w:val="16"/>
                <w:lang w:val="en-GB"/>
              </w:rPr>
            </w:pPr>
            <w:r w:rsidRPr="008F36EA">
              <w:rPr>
                <w:b/>
                <w:bCs/>
                <w:sz w:val="16"/>
                <w:szCs w:val="16"/>
                <w:lang w:val="en-GB"/>
              </w:rPr>
              <w:t>(5)</w:t>
            </w:r>
          </w:p>
        </w:tc>
        <w:tc>
          <w:tcPr>
            <w:tcW w:w="567" w:type="dxa"/>
            <w:vAlign w:val="center"/>
          </w:tcPr>
          <w:p w14:paraId="0C498422"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(6)</w:t>
            </w:r>
          </w:p>
        </w:tc>
        <w:tc>
          <w:tcPr>
            <w:tcW w:w="567" w:type="dxa"/>
            <w:vAlign w:val="center"/>
          </w:tcPr>
          <w:p w14:paraId="7B5EC465"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(7a)</w:t>
            </w:r>
          </w:p>
        </w:tc>
        <w:tc>
          <w:tcPr>
            <w:tcW w:w="567" w:type="dxa"/>
            <w:vAlign w:val="center"/>
          </w:tcPr>
          <w:p w14:paraId="7DA151CC"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(7b)</w:t>
            </w:r>
          </w:p>
        </w:tc>
        <w:tc>
          <w:tcPr>
            <w:tcW w:w="567" w:type="dxa"/>
            <w:vAlign w:val="center"/>
          </w:tcPr>
          <w:p w14:paraId="30CBE9BC"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(8)</w:t>
            </w:r>
          </w:p>
        </w:tc>
        <w:tc>
          <w:tcPr>
            <w:tcW w:w="567" w:type="dxa"/>
            <w:vAlign w:val="center"/>
          </w:tcPr>
          <w:p w14:paraId="19D2970F"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(9)</w:t>
            </w:r>
          </w:p>
        </w:tc>
        <w:tc>
          <w:tcPr>
            <w:tcW w:w="567" w:type="dxa"/>
            <w:vAlign w:val="center"/>
          </w:tcPr>
          <w:p w14:paraId="3EF9D20C"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(10)</w:t>
            </w:r>
          </w:p>
        </w:tc>
        <w:tc>
          <w:tcPr>
            <w:tcW w:w="426" w:type="dxa"/>
            <w:vAlign w:val="center"/>
          </w:tcPr>
          <w:p w14:paraId="10FBE7A9" w14:textId="77777777" w:rsidR="00623EAD" w:rsidRPr="008F36EA" w:rsidRDefault="00623EAD" w:rsidP="008624E7">
            <w:pPr>
              <w:pStyle w:val="Default"/>
              <w:ind w:right="56"/>
              <w:jc w:val="center"/>
              <w:rPr>
                <w:b/>
                <w:bCs/>
                <w:sz w:val="16"/>
                <w:szCs w:val="16"/>
                <w:lang w:val="en-GB"/>
              </w:rPr>
            </w:pPr>
            <w:r w:rsidRPr="008F36EA">
              <w:rPr>
                <w:b/>
                <w:bCs/>
                <w:sz w:val="16"/>
                <w:szCs w:val="16"/>
                <w:lang w:val="en-GB"/>
              </w:rPr>
              <w:t>(11)</w:t>
            </w:r>
          </w:p>
        </w:tc>
      </w:tr>
      <w:tr w:rsidR="00623EAD" w:rsidRPr="008F36EA" w14:paraId="3921CF62" w14:textId="77777777" w:rsidTr="008624E7">
        <w:tc>
          <w:tcPr>
            <w:tcW w:w="704" w:type="dxa"/>
          </w:tcPr>
          <w:p w14:paraId="45ABA462" w14:textId="77777777" w:rsidR="00623EAD" w:rsidRPr="008F36EA" w:rsidRDefault="00623EAD" w:rsidP="008624E7">
            <w:pPr>
              <w:pStyle w:val="Default"/>
              <w:jc w:val="center"/>
              <w:rPr>
                <w:i/>
                <w:iCs/>
                <w:sz w:val="16"/>
                <w:szCs w:val="16"/>
                <w:lang w:val="en-GB"/>
              </w:rPr>
            </w:pPr>
            <w:r w:rsidRPr="008F36EA">
              <w:rPr>
                <w:i/>
                <w:iCs/>
                <w:sz w:val="16"/>
                <w:szCs w:val="16"/>
                <w:lang w:val="en-GB"/>
              </w:rPr>
              <w:t>XXXX</w:t>
            </w:r>
          </w:p>
        </w:tc>
        <w:tc>
          <w:tcPr>
            <w:tcW w:w="3402" w:type="dxa"/>
          </w:tcPr>
          <w:p w14:paraId="64CE0D7B" w14:textId="618E7101" w:rsidR="00623EAD" w:rsidRPr="008F36EA" w:rsidRDefault="00623EAD" w:rsidP="008624E7">
            <w:pPr>
              <w:pStyle w:val="Default"/>
              <w:rPr>
                <w:sz w:val="16"/>
                <w:szCs w:val="16"/>
                <w:lang w:val="en-GB"/>
              </w:rPr>
            </w:pPr>
            <w:r w:rsidRPr="008F36EA">
              <w:rPr>
                <w:sz w:val="16"/>
                <w:szCs w:val="16"/>
                <w:lang w:val="en-GB"/>
              </w:rPr>
              <w:t xml:space="preserve">HYDROCARBON GASES, UN </w:t>
            </w:r>
            <w:r w:rsidR="00C02C72">
              <w:rPr>
                <w:sz w:val="16"/>
                <w:szCs w:val="16"/>
                <w:lang w:val="en-GB"/>
              </w:rPr>
              <w:t>N</w:t>
            </w:r>
            <w:r w:rsidR="006A148E">
              <w:rPr>
                <w:sz w:val="16"/>
                <w:szCs w:val="16"/>
                <w:lang w:val="en-GB"/>
              </w:rPr>
              <w:t>os</w:t>
            </w:r>
            <w:r w:rsidR="00C02C72">
              <w:rPr>
                <w:sz w:val="16"/>
                <w:szCs w:val="16"/>
                <w:lang w:val="en-GB"/>
              </w:rPr>
              <w:t>.</w:t>
            </w:r>
            <w:r w:rsidRPr="008F36EA">
              <w:rPr>
                <w:sz w:val="16"/>
                <w:szCs w:val="16"/>
                <w:lang w:val="en-GB"/>
              </w:rPr>
              <w:t xml:space="preserve"> 1075, 1965, 1011, 1012, 1055, 1969, OR 1978, AND DIMETHYL ETHER UN</w:t>
            </w:r>
            <w:r w:rsidR="00C02C72">
              <w:rPr>
                <w:sz w:val="16"/>
                <w:szCs w:val="16"/>
                <w:lang w:val="en-GB"/>
              </w:rPr>
              <w:t xml:space="preserve"> </w:t>
            </w:r>
            <w:r w:rsidRPr="008F36EA">
              <w:rPr>
                <w:sz w:val="16"/>
                <w:szCs w:val="16"/>
                <w:lang w:val="en-GB"/>
              </w:rPr>
              <w:t>1033, MIXTURES, LIQUEFIED</w:t>
            </w:r>
          </w:p>
        </w:tc>
        <w:tc>
          <w:tcPr>
            <w:tcW w:w="567" w:type="dxa"/>
          </w:tcPr>
          <w:p w14:paraId="4FE80545" w14:textId="77777777" w:rsidR="00623EAD" w:rsidRPr="008F36EA" w:rsidRDefault="00623EAD" w:rsidP="008624E7">
            <w:pPr>
              <w:pStyle w:val="Default"/>
              <w:ind w:right="-6"/>
              <w:jc w:val="center"/>
              <w:rPr>
                <w:sz w:val="16"/>
                <w:szCs w:val="16"/>
                <w:lang w:val="en-GB"/>
              </w:rPr>
            </w:pPr>
            <w:r w:rsidRPr="008F36EA">
              <w:rPr>
                <w:sz w:val="16"/>
                <w:szCs w:val="16"/>
                <w:lang w:val="en-GB"/>
              </w:rPr>
              <w:t>2.1</w:t>
            </w:r>
          </w:p>
        </w:tc>
        <w:tc>
          <w:tcPr>
            <w:tcW w:w="567" w:type="dxa"/>
          </w:tcPr>
          <w:p w14:paraId="131EFCE3" w14:textId="77777777" w:rsidR="00623EAD" w:rsidRPr="008F36EA" w:rsidRDefault="00623EAD" w:rsidP="008624E7">
            <w:pPr>
              <w:pStyle w:val="Default"/>
              <w:ind w:right="424"/>
              <w:jc w:val="center"/>
              <w:rPr>
                <w:sz w:val="16"/>
                <w:szCs w:val="16"/>
                <w:lang w:val="en-GB"/>
              </w:rPr>
            </w:pPr>
          </w:p>
        </w:tc>
        <w:tc>
          <w:tcPr>
            <w:tcW w:w="425" w:type="dxa"/>
          </w:tcPr>
          <w:p w14:paraId="26D85B9F" w14:textId="77777777" w:rsidR="00623EAD" w:rsidRPr="008F36EA" w:rsidRDefault="00623EAD" w:rsidP="008624E7">
            <w:pPr>
              <w:pStyle w:val="Default"/>
              <w:ind w:right="424"/>
              <w:jc w:val="center"/>
              <w:rPr>
                <w:sz w:val="16"/>
                <w:szCs w:val="16"/>
                <w:lang w:val="en-GB"/>
              </w:rPr>
            </w:pPr>
          </w:p>
        </w:tc>
        <w:tc>
          <w:tcPr>
            <w:tcW w:w="567" w:type="dxa"/>
          </w:tcPr>
          <w:p w14:paraId="553F9D5B" w14:textId="555288CA" w:rsidR="00623EAD" w:rsidRPr="008F36EA" w:rsidRDefault="00623EAD" w:rsidP="008624E7">
            <w:pPr>
              <w:pStyle w:val="Default"/>
              <w:jc w:val="center"/>
              <w:rPr>
                <w:sz w:val="16"/>
                <w:szCs w:val="16"/>
                <w:lang w:val="en-GB"/>
              </w:rPr>
            </w:pPr>
            <w:r w:rsidRPr="008F36EA">
              <w:rPr>
                <w:sz w:val="16"/>
                <w:szCs w:val="16"/>
                <w:lang w:val="en-GB"/>
              </w:rPr>
              <w:t>274</w:t>
            </w:r>
            <w:r w:rsidR="00080F87">
              <w:rPr>
                <w:sz w:val="16"/>
                <w:szCs w:val="16"/>
                <w:lang w:val="en-GB"/>
              </w:rPr>
              <w:br/>
            </w:r>
            <w:r w:rsidRPr="008F36EA">
              <w:rPr>
                <w:sz w:val="16"/>
                <w:szCs w:val="16"/>
                <w:lang w:val="en-GB"/>
              </w:rPr>
              <w:t>392</w:t>
            </w:r>
          </w:p>
        </w:tc>
        <w:tc>
          <w:tcPr>
            <w:tcW w:w="567" w:type="dxa"/>
          </w:tcPr>
          <w:p w14:paraId="0484878D" w14:textId="77777777" w:rsidR="00623EAD" w:rsidRPr="008F36EA" w:rsidRDefault="00623EAD" w:rsidP="008624E7">
            <w:pPr>
              <w:pStyle w:val="Default"/>
              <w:jc w:val="center"/>
              <w:rPr>
                <w:sz w:val="16"/>
                <w:szCs w:val="16"/>
                <w:lang w:val="en-GB"/>
              </w:rPr>
            </w:pPr>
            <w:r w:rsidRPr="008F36EA">
              <w:rPr>
                <w:sz w:val="16"/>
                <w:szCs w:val="16"/>
                <w:lang w:val="en-GB"/>
              </w:rPr>
              <w:t>0</w:t>
            </w:r>
          </w:p>
        </w:tc>
        <w:tc>
          <w:tcPr>
            <w:tcW w:w="567" w:type="dxa"/>
          </w:tcPr>
          <w:p w14:paraId="6B50D761" w14:textId="77777777" w:rsidR="00623EAD" w:rsidRPr="008F36EA" w:rsidRDefault="00623EAD" w:rsidP="008624E7">
            <w:pPr>
              <w:pStyle w:val="Default"/>
              <w:jc w:val="center"/>
              <w:rPr>
                <w:sz w:val="16"/>
                <w:szCs w:val="16"/>
                <w:lang w:val="en-GB"/>
              </w:rPr>
            </w:pPr>
            <w:r w:rsidRPr="008F36EA">
              <w:rPr>
                <w:sz w:val="16"/>
                <w:szCs w:val="16"/>
                <w:lang w:val="en-GB"/>
              </w:rPr>
              <w:t>E0</w:t>
            </w:r>
          </w:p>
        </w:tc>
        <w:tc>
          <w:tcPr>
            <w:tcW w:w="567" w:type="dxa"/>
          </w:tcPr>
          <w:p w14:paraId="1763960F" w14:textId="77777777" w:rsidR="00623EAD" w:rsidRPr="008F36EA" w:rsidRDefault="00623EAD" w:rsidP="008624E7">
            <w:pPr>
              <w:pStyle w:val="Default"/>
              <w:jc w:val="center"/>
              <w:rPr>
                <w:sz w:val="16"/>
                <w:szCs w:val="16"/>
                <w:lang w:val="en-GB"/>
              </w:rPr>
            </w:pPr>
            <w:r w:rsidRPr="008F36EA">
              <w:rPr>
                <w:sz w:val="16"/>
                <w:szCs w:val="16"/>
                <w:lang w:val="en-GB"/>
              </w:rPr>
              <w:t>P200</w:t>
            </w:r>
          </w:p>
        </w:tc>
        <w:tc>
          <w:tcPr>
            <w:tcW w:w="567" w:type="dxa"/>
          </w:tcPr>
          <w:p w14:paraId="62806DA0" w14:textId="77777777" w:rsidR="00623EAD" w:rsidRPr="008F36EA" w:rsidRDefault="00623EAD" w:rsidP="008624E7">
            <w:pPr>
              <w:pStyle w:val="Default"/>
              <w:jc w:val="center"/>
              <w:rPr>
                <w:sz w:val="16"/>
                <w:szCs w:val="16"/>
                <w:lang w:val="en-GB"/>
              </w:rPr>
            </w:pPr>
          </w:p>
        </w:tc>
        <w:tc>
          <w:tcPr>
            <w:tcW w:w="567" w:type="dxa"/>
          </w:tcPr>
          <w:p w14:paraId="73FA8B75" w14:textId="77777777" w:rsidR="00623EAD" w:rsidRPr="008F36EA" w:rsidRDefault="00623EAD" w:rsidP="008624E7">
            <w:pPr>
              <w:pStyle w:val="Default"/>
              <w:jc w:val="center"/>
              <w:rPr>
                <w:sz w:val="16"/>
                <w:szCs w:val="16"/>
                <w:lang w:val="en-GB"/>
              </w:rPr>
            </w:pPr>
            <w:r w:rsidRPr="008F36EA">
              <w:rPr>
                <w:sz w:val="16"/>
                <w:szCs w:val="16"/>
                <w:lang w:val="en-GB"/>
              </w:rPr>
              <w:t>T50</w:t>
            </w:r>
          </w:p>
        </w:tc>
        <w:tc>
          <w:tcPr>
            <w:tcW w:w="426" w:type="dxa"/>
          </w:tcPr>
          <w:p w14:paraId="6DC4FCC4" w14:textId="77777777" w:rsidR="00623EAD" w:rsidRPr="008F36EA" w:rsidRDefault="00623EAD" w:rsidP="008624E7">
            <w:pPr>
              <w:pStyle w:val="Default"/>
              <w:jc w:val="center"/>
              <w:rPr>
                <w:sz w:val="16"/>
                <w:szCs w:val="16"/>
                <w:lang w:val="en-GB"/>
              </w:rPr>
            </w:pPr>
          </w:p>
        </w:tc>
      </w:tr>
    </w:tbl>
    <w:p w14:paraId="2D44A7C2" w14:textId="77777777" w:rsidR="008624E7" w:rsidRDefault="008624E7" w:rsidP="004A188C">
      <w:pPr>
        <w:pStyle w:val="SingleTxtG"/>
      </w:pPr>
    </w:p>
    <w:p w14:paraId="3A0AE75C" w14:textId="4094F340" w:rsidR="004A188C" w:rsidRDefault="00346E54" w:rsidP="004A188C">
      <w:pPr>
        <w:pStyle w:val="SingleTxtG"/>
      </w:pPr>
      <w:r>
        <w:t>10</w:t>
      </w:r>
      <w:r w:rsidR="004A188C" w:rsidRPr="008F36EA">
        <w:t>.</w:t>
      </w:r>
      <w:r w:rsidR="004A188C" w:rsidRPr="008F36EA">
        <w:tab/>
        <w:t>In 4.1.4.1 packing instruction P200, Table 2, add new entry as follows:</w:t>
      </w:r>
    </w:p>
    <w:tbl>
      <w:tblPr>
        <w:tblStyle w:val="TableGrid"/>
        <w:tblW w:w="0" w:type="auto"/>
        <w:tblLook w:val="04A0" w:firstRow="1" w:lastRow="0" w:firstColumn="1" w:lastColumn="0" w:noHBand="0" w:noVBand="1"/>
      </w:tblPr>
      <w:tblGrid>
        <w:gridCol w:w="709"/>
        <w:gridCol w:w="2761"/>
        <w:gridCol w:w="426"/>
        <w:gridCol w:w="426"/>
        <w:gridCol w:w="426"/>
        <w:gridCol w:w="426"/>
        <w:gridCol w:w="496"/>
        <w:gridCol w:w="567"/>
        <w:gridCol w:w="567"/>
        <w:gridCol w:w="567"/>
        <w:gridCol w:w="426"/>
        <w:gridCol w:w="567"/>
        <w:gridCol w:w="567"/>
        <w:gridCol w:w="567"/>
      </w:tblGrid>
      <w:tr w:rsidR="004A188C" w:rsidRPr="008F36EA" w14:paraId="4CCADC1F" w14:textId="77777777" w:rsidTr="008624E7">
        <w:trPr>
          <w:cantSplit/>
          <w:trHeight w:val="1747"/>
        </w:trPr>
        <w:tc>
          <w:tcPr>
            <w:tcW w:w="709" w:type="dxa"/>
            <w:vAlign w:val="center"/>
          </w:tcPr>
          <w:p w14:paraId="4F5A7DB3" w14:textId="77777777" w:rsidR="004A188C" w:rsidRPr="008F36EA" w:rsidRDefault="004A188C" w:rsidP="008624E7">
            <w:pPr>
              <w:pStyle w:val="Default"/>
              <w:keepNext/>
              <w:keepLines/>
              <w:ind w:left="69" w:right="131" w:hanging="69"/>
              <w:jc w:val="center"/>
              <w:rPr>
                <w:b/>
                <w:bCs/>
                <w:sz w:val="16"/>
                <w:szCs w:val="16"/>
                <w:lang w:val="en-GB"/>
              </w:rPr>
            </w:pPr>
            <w:r w:rsidRPr="008F36EA">
              <w:rPr>
                <w:b/>
                <w:bCs/>
                <w:sz w:val="16"/>
                <w:szCs w:val="16"/>
                <w:lang w:val="en-GB"/>
              </w:rPr>
              <w:t>UN No.</w:t>
            </w:r>
          </w:p>
        </w:tc>
        <w:tc>
          <w:tcPr>
            <w:tcW w:w="2761" w:type="dxa"/>
            <w:vAlign w:val="center"/>
          </w:tcPr>
          <w:p w14:paraId="5D952E97" w14:textId="77777777" w:rsidR="004A188C" w:rsidRPr="008F36EA" w:rsidRDefault="004A188C" w:rsidP="008624E7">
            <w:pPr>
              <w:pStyle w:val="Default"/>
              <w:keepNext/>
              <w:keepLines/>
              <w:ind w:left="69" w:right="131" w:hanging="69"/>
              <w:jc w:val="center"/>
              <w:rPr>
                <w:b/>
                <w:bCs/>
                <w:sz w:val="16"/>
                <w:szCs w:val="16"/>
                <w:lang w:val="en-GB"/>
              </w:rPr>
            </w:pPr>
            <w:r w:rsidRPr="008F36EA">
              <w:rPr>
                <w:b/>
                <w:bCs/>
                <w:sz w:val="16"/>
                <w:szCs w:val="16"/>
                <w:lang w:val="en-GB"/>
              </w:rPr>
              <w:t>Name and description</w:t>
            </w:r>
          </w:p>
        </w:tc>
        <w:tc>
          <w:tcPr>
            <w:tcW w:w="426" w:type="dxa"/>
            <w:textDirection w:val="btLr"/>
            <w:vAlign w:val="center"/>
          </w:tcPr>
          <w:p w14:paraId="3F294CA5"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Class or Division</w:t>
            </w:r>
          </w:p>
        </w:tc>
        <w:tc>
          <w:tcPr>
            <w:tcW w:w="426" w:type="dxa"/>
            <w:textDirection w:val="btLr"/>
            <w:vAlign w:val="center"/>
          </w:tcPr>
          <w:p w14:paraId="2E6E1E19"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Subsidiary Hazard</w:t>
            </w:r>
          </w:p>
        </w:tc>
        <w:tc>
          <w:tcPr>
            <w:tcW w:w="426" w:type="dxa"/>
            <w:textDirection w:val="btLr"/>
            <w:vAlign w:val="center"/>
          </w:tcPr>
          <w:p w14:paraId="51857BD9"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LC</w:t>
            </w:r>
            <w:r w:rsidRPr="008F36EA">
              <w:rPr>
                <w:b/>
                <w:bCs/>
                <w:sz w:val="16"/>
                <w:szCs w:val="16"/>
                <w:vertAlign w:val="subscript"/>
                <w:lang w:val="en-GB"/>
              </w:rPr>
              <w:t>50</w:t>
            </w:r>
            <w:r w:rsidRPr="008F36EA">
              <w:rPr>
                <w:b/>
                <w:bCs/>
                <w:sz w:val="16"/>
                <w:szCs w:val="16"/>
                <w:lang w:val="en-GB"/>
              </w:rPr>
              <w:t xml:space="preserve"> (ml/m</w:t>
            </w:r>
            <w:r w:rsidRPr="008F36EA">
              <w:rPr>
                <w:b/>
                <w:bCs/>
                <w:sz w:val="16"/>
                <w:szCs w:val="16"/>
                <w:vertAlign w:val="superscript"/>
                <w:lang w:val="en-GB"/>
              </w:rPr>
              <w:t>3</w:t>
            </w:r>
            <w:r w:rsidRPr="008F36EA">
              <w:rPr>
                <w:b/>
                <w:bCs/>
                <w:sz w:val="16"/>
                <w:szCs w:val="16"/>
                <w:lang w:val="en-GB"/>
              </w:rPr>
              <w:t>)</w:t>
            </w:r>
          </w:p>
        </w:tc>
        <w:tc>
          <w:tcPr>
            <w:tcW w:w="426" w:type="dxa"/>
            <w:textDirection w:val="btLr"/>
            <w:vAlign w:val="center"/>
          </w:tcPr>
          <w:p w14:paraId="08ED1AB6"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Cylinders</w:t>
            </w:r>
          </w:p>
        </w:tc>
        <w:tc>
          <w:tcPr>
            <w:tcW w:w="496" w:type="dxa"/>
            <w:textDirection w:val="btLr"/>
            <w:vAlign w:val="center"/>
          </w:tcPr>
          <w:p w14:paraId="0B267AA8"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Tubes</w:t>
            </w:r>
          </w:p>
        </w:tc>
        <w:tc>
          <w:tcPr>
            <w:tcW w:w="567" w:type="dxa"/>
            <w:textDirection w:val="btLr"/>
            <w:vAlign w:val="center"/>
          </w:tcPr>
          <w:p w14:paraId="5E3C3DE5"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Pressure Drums</w:t>
            </w:r>
          </w:p>
        </w:tc>
        <w:tc>
          <w:tcPr>
            <w:tcW w:w="567" w:type="dxa"/>
            <w:textDirection w:val="btLr"/>
            <w:vAlign w:val="center"/>
          </w:tcPr>
          <w:p w14:paraId="481F633E"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Bundles of cylinders</w:t>
            </w:r>
          </w:p>
        </w:tc>
        <w:tc>
          <w:tcPr>
            <w:tcW w:w="567" w:type="dxa"/>
            <w:textDirection w:val="btLr"/>
            <w:vAlign w:val="center"/>
          </w:tcPr>
          <w:p w14:paraId="772F0E52"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MEGCs</w:t>
            </w:r>
          </w:p>
        </w:tc>
        <w:tc>
          <w:tcPr>
            <w:tcW w:w="426" w:type="dxa"/>
            <w:textDirection w:val="btLr"/>
            <w:vAlign w:val="center"/>
          </w:tcPr>
          <w:p w14:paraId="634566F5"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Test period (years)</w:t>
            </w:r>
          </w:p>
        </w:tc>
        <w:tc>
          <w:tcPr>
            <w:tcW w:w="567" w:type="dxa"/>
            <w:textDirection w:val="btLr"/>
            <w:vAlign w:val="center"/>
          </w:tcPr>
          <w:p w14:paraId="788BB8EA"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Test pressure (bar)</w:t>
            </w:r>
          </w:p>
        </w:tc>
        <w:tc>
          <w:tcPr>
            <w:tcW w:w="567" w:type="dxa"/>
            <w:textDirection w:val="btLr"/>
            <w:vAlign w:val="center"/>
          </w:tcPr>
          <w:p w14:paraId="2341E923"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Filling ratio</w:t>
            </w:r>
          </w:p>
        </w:tc>
        <w:tc>
          <w:tcPr>
            <w:tcW w:w="567" w:type="dxa"/>
            <w:textDirection w:val="btLr"/>
            <w:vAlign w:val="center"/>
          </w:tcPr>
          <w:p w14:paraId="3299AE92" w14:textId="77777777" w:rsidR="004A188C" w:rsidRPr="008F36EA" w:rsidRDefault="004A188C" w:rsidP="008624E7">
            <w:pPr>
              <w:pStyle w:val="Default"/>
              <w:keepNext/>
              <w:keepLines/>
              <w:ind w:left="182" w:right="131" w:hanging="69"/>
              <w:jc w:val="center"/>
              <w:rPr>
                <w:b/>
                <w:bCs/>
                <w:sz w:val="16"/>
                <w:szCs w:val="16"/>
                <w:lang w:val="en-GB"/>
              </w:rPr>
            </w:pPr>
            <w:r w:rsidRPr="008F36EA">
              <w:rPr>
                <w:b/>
                <w:bCs/>
                <w:sz w:val="16"/>
                <w:szCs w:val="16"/>
                <w:lang w:val="en-GB"/>
              </w:rPr>
              <w:t>Special packing provisions</w:t>
            </w:r>
          </w:p>
        </w:tc>
      </w:tr>
      <w:tr w:rsidR="004A188C" w:rsidRPr="008F36EA" w14:paraId="2D8B464A" w14:textId="77777777" w:rsidTr="008624E7">
        <w:tc>
          <w:tcPr>
            <w:tcW w:w="709" w:type="dxa"/>
          </w:tcPr>
          <w:p w14:paraId="1D6B7D3C" w14:textId="77777777" w:rsidR="004A188C" w:rsidRPr="008F36EA" w:rsidRDefault="004A188C" w:rsidP="008624E7">
            <w:pPr>
              <w:pStyle w:val="Default"/>
              <w:keepNext/>
              <w:keepLines/>
              <w:jc w:val="center"/>
              <w:rPr>
                <w:sz w:val="16"/>
                <w:szCs w:val="16"/>
                <w:lang w:val="en-GB"/>
              </w:rPr>
            </w:pPr>
            <w:r w:rsidRPr="008F36EA">
              <w:rPr>
                <w:sz w:val="16"/>
                <w:szCs w:val="16"/>
                <w:lang w:val="en-GB"/>
              </w:rPr>
              <w:t>XXXX</w:t>
            </w:r>
          </w:p>
        </w:tc>
        <w:tc>
          <w:tcPr>
            <w:tcW w:w="2761" w:type="dxa"/>
          </w:tcPr>
          <w:p w14:paraId="3FB036D2" w14:textId="4AB36E0B" w:rsidR="004A188C" w:rsidRPr="008F36EA" w:rsidRDefault="004A188C" w:rsidP="008624E7">
            <w:pPr>
              <w:pStyle w:val="Default"/>
              <w:keepNext/>
              <w:keepLines/>
              <w:rPr>
                <w:sz w:val="16"/>
                <w:szCs w:val="16"/>
                <w:lang w:val="en-GB"/>
              </w:rPr>
            </w:pPr>
            <w:r w:rsidRPr="008F36EA">
              <w:rPr>
                <w:sz w:val="16"/>
                <w:szCs w:val="16"/>
                <w:lang w:val="en-GB"/>
              </w:rPr>
              <w:t xml:space="preserve">HYDROCARBON GASES, UN </w:t>
            </w:r>
            <w:r w:rsidR="006A148E">
              <w:rPr>
                <w:sz w:val="16"/>
                <w:szCs w:val="16"/>
                <w:lang w:val="en-GB"/>
              </w:rPr>
              <w:t>Nos.</w:t>
            </w:r>
            <w:r w:rsidRPr="008F36EA">
              <w:rPr>
                <w:sz w:val="16"/>
                <w:szCs w:val="16"/>
                <w:lang w:val="en-GB"/>
              </w:rPr>
              <w:t xml:space="preserve"> 1075 1965, 1011, 1012, 1055, 1969, OR 1978, AND DIMETHYL ETHER UN</w:t>
            </w:r>
            <w:r w:rsidR="006A148E">
              <w:rPr>
                <w:sz w:val="16"/>
                <w:szCs w:val="16"/>
                <w:lang w:val="en-GB"/>
              </w:rPr>
              <w:t xml:space="preserve"> </w:t>
            </w:r>
            <w:r w:rsidRPr="008F36EA">
              <w:rPr>
                <w:sz w:val="16"/>
                <w:szCs w:val="16"/>
                <w:lang w:val="en-GB"/>
              </w:rPr>
              <w:t>1033, MIXTURES, LIQUEFIED</w:t>
            </w:r>
          </w:p>
        </w:tc>
        <w:tc>
          <w:tcPr>
            <w:tcW w:w="426" w:type="dxa"/>
          </w:tcPr>
          <w:p w14:paraId="6633EFD4" w14:textId="77777777" w:rsidR="004A188C" w:rsidRPr="008F36EA" w:rsidRDefault="004A188C" w:rsidP="008624E7">
            <w:pPr>
              <w:pStyle w:val="Default"/>
              <w:keepNext/>
              <w:keepLines/>
              <w:jc w:val="center"/>
              <w:rPr>
                <w:sz w:val="16"/>
                <w:szCs w:val="16"/>
                <w:lang w:val="en-GB"/>
              </w:rPr>
            </w:pPr>
            <w:r w:rsidRPr="008F36EA">
              <w:rPr>
                <w:sz w:val="16"/>
                <w:szCs w:val="16"/>
                <w:lang w:val="en-GB"/>
              </w:rPr>
              <w:t>2.1</w:t>
            </w:r>
          </w:p>
        </w:tc>
        <w:tc>
          <w:tcPr>
            <w:tcW w:w="426" w:type="dxa"/>
          </w:tcPr>
          <w:p w14:paraId="7184742D" w14:textId="77777777" w:rsidR="004A188C" w:rsidRPr="008F36EA" w:rsidRDefault="004A188C" w:rsidP="008624E7">
            <w:pPr>
              <w:pStyle w:val="Default"/>
              <w:keepNext/>
              <w:keepLines/>
              <w:jc w:val="center"/>
              <w:rPr>
                <w:sz w:val="16"/>
                <w:szCs w:val="16"/>
                <w:lang w:val="en-GB"/>
              </w:rPr>
            </w:pPr>
          </w:p>
        </w:tc>
        <w:tc>
          <w:tcPr>
            <w:tcW w:w="426" w:type="dxa"/>
          </w:tcPr>
          <w:p w14:paraId="0169CC3A" w14:textId="77777777" w:rsidR="004A188C" w:rsidRPr="008F36EA" w:rsidRDefault="004A188C" w:rsidP="008624E7">
            <w:pPr>
              <w:pStyle w:val="Default"/>
              <w:keepNext/>
              <w:keepLines/>
              <w:jc w:val="center"/>
              <w:rPr>
                <w:sz w:val="16"/>
                <w:szCs w:val="16"/>
                <w:lang w:val="en-GB"/>
              </w:rPr>
            </w:pPr>
          </w:p>
        </w:tc>
        <w:tc>
          <w:tcPr>
            <w:tcW w:w="426" w:type="dxa"/>
          </w:tcPr>
          <w:p w14:paraId="52CC7382" w14:textId="77777777" w:rsidR="004A188C" w:rsidRPr="008F36EA" w:rsidRDefault="004A188C" w:rsidP="008624E7">
            <w:pPr>
              <w:pStyle w:val="Default"/>
              <w:keepNext/>
              <w:keepLines/>
              <w:jc w:val="center"/>
              <w:rPr>
                <w:sz w:val="16"/>
                <w:szCs w:val="16"/>
                <w:lang w:val="en-GB"/>
              </w:rPr>
            </w:pPr>
            <w:r w:rsidRPr="008F36EA">
              <w:rPr>
                <w:sz w:val="16"/>
                <w:szCs w:val="16"/>
                <w:lang w:val="en-GB"/>
              </w:rPr>
              <w:t>X</w:t>
            </w:r>
          </w:p>
        </w:tc>
        <w:tc>
          <w:tcPr>
            <w:tcW w:w="496" w:type="dxa"/>
          </w:tcPr>
          <w:p w14:paraId="0878230A" w14:textId="77777777" w:rsidR="004A188C" w:rsidRPr="008F36EA" w:rsidRDefault="004A188C" w:rsidP="008624E7">
            <w:pPr>
              <w:pStyle w:val="Default"/>
              <w:keepNext/>
              <w:keepLines/>
              <w:jc w:val="center"/>
              <w:rPr>
                <w:sz w:val="16"/>
                <w:szCs w:val="16"/>
                <w:lang w:val="en-GB"/>
              </w:rPr>
            </w:pPr>
            <w:r w:rsidRPr="008F36EA">
              <w:rPr>
                <w:sz w:val="16"/>
                <w:szCs w:val="16"/>
                <w:lang w:val="en-GB"/>
              </w:rPr>
              <w:t>X</w:t>
            </w:r>
          </w:p>
        </w:tc>
        <w:tc>
          <w:tcPr>
            <w:tcW w:w="567" w:type="dxa"/>
          </w:tcPr>
          <w:p w14:paraId="03E4E94A" w14:textId="77777777" w:rsidR="004A188C" w:rsidRPr="008F36EA" w:rsidRDefault="004A188C" w:rsidP="008624E7">
            <w:pPr>
              <w:pStyle w:val="Default"/>
              <w:keepNext/>
              <w:keepLines/>
              <w:jc w:val="center"/>
              <w:rPr>
                <w:sz w:val="16"/>
                <w:szCs w:val="16"/>
                <w:lang w:val="en-GB"/>
              </w:rPr>
            </w:pPr>
            <w:r w:rsidRPr="008F36EA">
              <w:rPr>
                <w:sz w:val="16"/>
                <w:szCs w:val="16"/>
                <w:lang w:val="en-GB"/>
              </w:rPr>
              <w:t>X</w:t>
            </w:r>
          </w:p>
        </w:tc>
        <w:tc>
          <w:tcPr>
            <w:tcW w:w="567" w:type="dxa"/>
          </w:tcPr>
          <w:p w14:paraId="7FD66743" w14:textId="77777777" w:rsidR="004A188C" w:rsidRPr="008F36EA" w:rsidRDefault="004A188C" w:rsidP="008624E7">
            <w:pPr>
              <w:pStyle w:val="Default"/>
              <w:keepNext/>
              <w:keepLines/>
              <w:jc w:val="center"/>
              <w:rPr>
                <w:sz w:val="16"/>
                <w:szCs w:val="16"/>
                <w:lang w:val="en-GB"/>
              </w:rPr>
            </w:pPr>
          </w:p>
        </w:tc>
        <w:tc>
          <w:tcPr>
            <w:tcW w:w="567" w:type="dxa"/>
          </w:tcPr>
          <w:p w14:paraId="5F447C0F" w14:textId="77777777" w:rsidR="004A188C" w:rsidRPr="008F36EA" w:rsidRDefault="004A188C" w:rsidP="008624E7">
            <w:pPr>
              <w:pStyle w:val="Default"/>
              <w:keepNext/>
              <w:keepLines/>
              <w:jc w:val="center"/>
              <w:rPr>
                <w:sz w:val="16"/>
                <w:szCs w:val="16"/>
                <w:lang w:val="en-GB"/>
              </w:rPr>
            </w:pPr>
          </w:p>
        </w:tc>
        <w:tc>
          <w:tcPr>
            <w:tcW w:w="426" w:type="dxa"/>
          </w:tcPr>
          <w:p w14:paraId="61583C11" w14:textId="77777777" w:rsidR="004A188C" w:rsidRPr="008F36EA" w:rsidRDefault="004A188C" w:rsidP="008624E7">
            <w:pPr>
              <w:pStyle w:val="Default"/>
              <w:keepNext/>
              <w:keepLines/>
              <w:jc w:val="center"/>
              <w:rPr>
                <w:sz w:val="16"/>
                <w:szCs w:val="16"/>
                <w:lang w:val="en-GB"/>
              </w:rPr>
            </w:pPr>
            <w:r w:rsidRPr="008F36EA">
              <w:rPr>
                <w:sz w:val="16"/>
                <w:szCs w:val="16"/>
                <w:lang w:val="en-GB"/>
              </w:rPr>
              <w:t>10</w:t>
            </w:r>
          </w:p>
        </w:tc>
        <w:tc>
          <w:tcPr>
            <w:tcW w:w="567" w:type="dxa"/>
          </w:tcPr>
          <w:p w14:paraId="1105323E" w14:textId="77777777" w:rsidR="004A188C" w:rsidRPr="008F36EA" w:rsidRDefault="004A188C" w:rsidP="008624E7">
            <w:pPr>
              <w:pStyle w:val="Default"/>
              <w:keepNext/>
              <w:keepLines/>
              <w:jc w:val="center"/>
              <w:rPr>
                <w:sz w:val="16"/>
                <w:szCs w:val="16"/>
                <w:lang w:val="en-GB"/>
              </w:rPr>
            </w:pPr>
          </w:p>
        </w:tc>
        <w:tc>
          <w:tcPr>
            <w:tcW w:w="567" w:type="dxa"/>
          </w:tcPr>
          <w:p w14:paraId="0F6534BE" w14:textId="77777777" w:rsidR="004A188C" w:rsidRPr="008F36EA" w:rsidRDefault="004A188C" w:rsidP="008624E7">
            <w:pPr>
              <w:pStyle w:val="Default"/>
              <w:keepNext/>
              <w:keepLines/>
              <w:jc w:val="center"/>
              <w:rPr>
                <w:sz w:val="16"/>
                <w:szCs w:val="16"/>
                <w:lang w:val="en-GB"/>
              </w:rPr>
            </w:pPr>
          </w:p>
        </w:tc>
        <w:tc>
          <w:tcPr>
            <w:tcW w:w="567" w:type="dxa"/>
          </w:tcPr>
          <w:p w14:paraId="38A503B0" w14:textId="77777777" w:rsidR="004A188C" w:rsidRPr="008F36EA" w:rsidRDefault="004A188C" w:rsidP="008624E7">
            <w:pPr>
              <w:pStyle w:val="Default"/>
              <w:keepNext/>
              <w:keepLines/>
              <w:jc w:val="center"/>
              <w:rPr>
                <w:sz w:val="16"/>
                <w:szCs w:val="16"/>
                <w:lang w:val="en-GB"/>
              </w:rPr>
            </w:pPr>
            <w:r w:rsidRPr="008F36EA">
              <w:rPr>
                <w:sz w:val="16"/>
                <w:szCs w:val="16"/>
                <w:lang w:val="en-GB"/>
              </w:rPr>
              <w:t>z</w:t>
            </w:r>
          </w:p>
        </w:tc>
      </w:tr>
    </w:tbl>
    <w:p w14:paraId="53144612" w14:textId="77777777" w:rsidR="004A188C" w:rsidRPr="008F36EA" w:rsidRDefault="004A188C" w:rsidP="004A188C">
      <w:pPr>
        <w:pStyle w:val="SingleTxtG"/>
      </w:pPr>
    </w:p>
    <w:p w14:paraId="2B4A6B1A" w14:textId="1C2B77E0" w:rsidR="004A188C" w:rsidRPr="008F36EA" w:rsidRDefault="004A188C" w:rsidP="008624E7">
      <w:pPr>
        <w:pStyle w:val="SingleTxtG"/>
      </w:pPr>
      <w:r w:rsidRPr="008F36EA">
        <w:t>1</w:t>
      </w:r>
      <w:r w:rsidR="00346E54">
        <w:t>1</w:t>
      </w:r>
      <w:r w:rsidRPr="008F36EA">
        <w:t>.</w:t>
      </w:r>
      <w:r w:rsidRPr="008F36EA">
        <w:tab/>
        <w:t>In 4.2.5.2.6 portable tank instruction T50, add a new entry as follows:</w:t>
      </w:r>
    </w:p>
    <w:tbl>
      <w:tblPr>
        <w:tblStyle w:val="TableGrid"/>
        <w:tblW w:w="9498" w:type="dxa"/>
        <w:tblLook w:val="04A0" w:firstRow="1" w:lastRow="0" w:firstColumn="1" w:lastColumn="0" w:noHBand="0" w:noVBand="1"/>
      </w:tblPr>
      <w:tblGrid>
        <w:gridCol w:w="709"/>
        <w:gridCol w:w="3402"/>
        <w:gridCol w:w="1985"/>
        <w:gridCol w:w="992"/>
        <w:gridCol w:w="1278"/>
        <w:gridCol w:w="1132"/>
      </w:tblGrid>
      <w:tr w:rsidR="004A188C" w:rsidRPr="008F36EA" w14:paraId="54F7C17D" w14:textId="77777777" w:rsidTr="008624E7">
        <w:trPr>
          <w:cantSplit/>
          <w:trHeight w:val="893"/>
        </w:trPr>
        <w:tc>
          <w:tcPr>
            <w:tcW w:w="709" w:type="dxa"/>
            <w:vAlign w:val="center"/>
          </w:tcPr>
          <w:p w14:paraId="60FB8A80"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UN No.</w:t>
            </w:r>
          </w:p>
        </w:tc>
        <w:tc>
          <w:tcPr>
            <w:tcW w:w="3402" w:type="dxa"/>
            <w:vAlign w:val="center"/>
          </w:tcPr>
          <w:p w14:paraId="2CFD4A56"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Non-refrigerated liquefied gases</w:t>
            </w:r>
          </w:p>
        </w:tc>
        <w:tc>
          <w:tcPr>
            <w:tcW w:w="1985" w:type="dxa"/>
            <w:vAlign w:val="center"/>
          </w:tcPr>
          <w:p w14:paraId="0C19860F"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Max.</w:t>
            </w:r>
            <w:r>
              <w:rPr>
                <w:b/>
                <w:bCs/>
                <w:sz w:val="16"/>
                <w:szCs w:val="16"/>
                <w:lang w:val="en-GB"/>
              </w:rPr>
              <w:t xml:space="preserve"> </w:t>
            </w:r>
            <w:r w:rsidRPr="008F36EA">
              <w:rPr>
                <w:b/>
                <w:bCs/>
                <w:sz w:val="16"/>
                <w:szCs w:val="16"/>
                <w:lang w:val="en-GB"/>
              </w:rPr>
              <w:t>allowable working pressure (bar)</w:t>
            </w:r>
          </w:p>
          <w:p w14:paraId="4A38A57F" w14:textId="77777777" w:rsidR="004A188C" w:rsidRPr="008F36EA" w:rsidRDefault="004A188C" w:rsidP="008624E7">
            <w:pPr>
              <w:pStyle w:val="Default"/>
              <w:ind w:left="69" w:right="131" w:hanging="69"/>
              <w:jc w:val="center"/>
              <w:rPr>
                <w:b/>
                <w:bCs/>
                <w:sz w:val="16"/>
                <w:szCs w:val="16"/>
                <w:vertAlign w:val="superscript"/>
                <w:lang w:val="en-GB"/>
              </w:rPr>
            </w:pPr>
            <w:r w:rsidRPr="008F36EA">
              <w:rPr>
                <w:b/>
                <w:bCs/>
                <w:sz w:val="16"/>
                <w:szCs w:val="16"/>
                <w:lang w:val="en-GB"/>
              </w:rPr>
              <w:t>Small: Bare; Sunshield; Insulated: respectively</w:t>
            </w:r>
            <w:r>
              <w:rPr>
                <w:b/>
                <w:bCs/>
                <w:sz w:val="16"/>
                <w:szCs w:val="16"/>
                <w:lang w:val="en-GB"/>
              </w:rPr>
              <w:t xml:space="preserve"> </w:t>
            </w:r>
            <w:r w:rsidRPr="008F36EA">
              <w:rPr>
                <w:b/>
                <w:bCs/>
                <w:sz w:val="16"/>
                <w:szCs w:val="16"/>
                <w:vertAlign w:val="superscript"/>
                <w:lang w:val="en-GB"/>
              </w:rPr>
              <w:t>a</w:t>
            </w:r>
          </w:p>
        </w:tc>
        <w:tc>
          <w:tcPr>
            <w:tcW w:w="992" w:type="dxa"/>
            <w:vAlign w:val="center"/>
          </w:tcPr>
          <w:p w14:paraId="7A31CDE1"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Openings below liquid level</w:t>
            </w:r>
          </w:p>
        </w:tc>
        <w:tc>
          <w:tcPr>
            <w:tcW w:w="1278" w:type="dxa"/>
            <w:vAlign w:val="center"/>
          </w:tcPr>
          <w:p w14:paraId="63B41B49"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Pressure-relief requirements</w:t>
            </w:r>
            <w:r>
              <w:rPr>
                <w:b/>
                <w:bCs/>
                <w:sz w:val="16"/>
                <w:szCs w:val="16"/>
                <w:lang w:val="en-GB"/>
              </w:rPr>
              <w:t xml:space="preserve"> </w:t>
            </w:r>
            <w:r w:rsidRPr="008F36EA">
              <w:rPr>
                <w:b/>
                <w:bCs/>
                <w:sz w:val="16"/>
                <w:szCs w:val="16"/>
                <w:vertAlign w:val="superscript"/>
                <w:lang w:val="en-GB"/>
              </w:rPr>
              <w:t>b</w:t>
            </w:r>
          </w:p>
          <w:p w14:paraId="0F87A4C0"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w:t>
            </w:r>
            <w:proofErr w:type="gramStart"/>
            <w:r w:rsidRPr="008F36EA">
              <w:rPr>
                <w:b/>
                <w:bCs/>
                <w:sz w:val="16"/>
                <w:szCs w:val="16"/>
                <w:lang w:val="en-GB"/>
              </w:rPr>
              <w:t>see</w:t>
            </w:r>
            <w:proofErr w:type="gramEnd"/>
            <w:r w:rsidRPr="008F36EA">
              <w:rPr>
                <w:b/>
                <w:bCs/>
                <w:sz w:val="16"/>
                <w:szCs w:val="16"/>
                <w:lang w:val="en-GB"/>
              </w:rPr>
              <w:t xml:space="preserve"> 6.7.3.7)</w:t>
            </w:r>
          </w:p>
        </w:tc>
        <w:tc>
          <w:tcPr>
            <w:tcW w:w="1132" w:type="dxa"/>
            <w:vAlign w:val="center"/>
          </w:tcPr>
          <w:p w14:paraId="61C81C6F" w14:textId="77777777" w:rsidR="004A188C" w:rsidRPr="008F36EA" w:rsidRDefault="004A188C" w:rsidP="008624E7">
            <w:pPr>
              <w:pStyle w:val="Default"/>
              <w:ind w:left="69" w:right="131" w:hanging="69"/>
              <w:jc w:val="center"/>
              <w:rPr>
                <w:b/>
                <w:bCs/>
                <w:sz w:val="16"/>
                <w:szCs w:val="16"/>
                <w:lang w:val="en-GB"/>
              </w:rPr>
            </w:pPr>
            <w:r w:rsidRPr="008F36EA">
              <w:rPr>
                <w:b/>
                <w:bCs/>
                <w:sz w:val="16"/>
                <w:szCs w:val="16"/>
                <w:lang w:val="en-GB"/>
              </w:rPr>
              <w:t>Maximum filling ratio</w:t>
            </w:r>
          </w:p>
        </w:tc>
      </w:tr>
      <w:tr w:rsidR="004A188C" w:rsidRPr="008F36EA" w14:paraId="28D83EF0" w14:textId="77777777" w:rsidTr="008624E7">
        <w:tc>
          <w:tcPr>
            <w:tcW w:w="709" w:type="dxa"/>
          </w:tcPr>
          <w:p w14:paraId="3FC6B938" w14:textId="77777777" w:rsidR="004A188C" w:rsidRPr="008F36EA" w:rsidRDefault="004A188C" w:rsidP="008624E7">
            <w:pPr>
              <w:pStyle w:val="Default"/>
              <w:jc w:val="center"/>
              <w:rPr>
                <w:sz w:val="16"/>
                <w:szCs w:val="16"/>
                <w:lang w:val="en-GB"/>
              </w:rPr>
            </w:pPr>
            <w:r w:rsidRPr="008F36EA">
              <w:rPr>
                <w:sz w:val="16"/>
                <w:szCs w:val="16"/>
                <w:lang w:val="en-GB"/>
              </w:rPr>
              <w:t>XXXX</w:t>
            </w:r>
          </w:p>
        </w:tc>
        <w:tc>
          <w:tcPr>
            <w:tcW w:w="3402" w:type="dxa"/>
          </w:tcPr>
          <w:p w14:paraId="45BC66E5" w14:textId="1789A0A4" w:rsidR="004A188C" w:rsidRPr="008F36EA" w:rsidRDefault="004A188C" w:rsidP="008624E7">
            <w:pPr>
              <w:pStyle w:val="Default"/>
              <w:rPr>
                <w:sz w:val="16"/>
                <w:szCs w:val="16"/>
                <w:lang w:val="en-GB"/>
              </w:rPr>
            </w:pPr>
            <w:r w:rsidRPr="008F36EA">
              <w:rPr>
                <w:sz w:val="16"/>
                <w:szCs w:val="16"/>
                <w:lang w:val="en-GB"/>
              </w:rPr>
              <w:t xml:space="preserve">Hydrocarbon gases, UN </w:t>
            </w:r>
            <w:r w:rsidR="006A148E">
              <w:rPr>
                <w:sz w:val="16"/>
                <w:szCs w:val="16"/>
                <w:lang w:val="en-GB"/>
              </w:rPr>
              <w:t>Nos.</w:t>
            </w:r>
            <w:r w:rsidRPr="008F36EA">
              <w:rPr>
                <w:sz w:val="16"/>
                <w:szCs w:val="16"/>
                <w:lang w:val="en-GB"/>
              </w:rPr>
              <w:t xml:space="preserve"> 1075 1965, 1011, 1012, 1055, 1969, or 1978</w:t>
            </w:r>
            <w:r>
              <w:rPr>
                <w:sz w:val="16"/>
                <w:szCs w:val="16"/>
                <w:lang w:val="en-GB"/>
              </w:rPr>
              <w:t>,</w:t>
            </w:r>
            <w:r w:rsidRPr="008F36EA">
              <w:rPr>
                <w:sz w:val="16"/>
                <w:szCs w:val="16"/>
                <w:lang w:val="en-GB"/>
              </w:rPr>
              <w:t xml:space="preserve"> and dimethyl ether UN</w:t>
            </w:r>
            <w:r w:rsidR="00BF2870">
              <w:rPr>
                <w:sz w:val="16"/>
                <w:szCs w:val="16"/>
                <w:lang w:val="en-GB"/>
              </w:rPr>
              <w:t xml:space="preserve"> </w:t>
            </w:r>
            <w:r w:rsidRPr="008F36EA">
              <w:rPr>
                <w:sz w:val="16"/>
                <w:szCs w:val="16"/>
                <w:lang w:val="en-GB"/>
              </w:rPr>
              <w:t>1033, mixtures, liquefied</w:t>
            </w:r>
          </w:p>
        </w:tc>
        <w:tc>
          <w:tcPr>
            <w:tcW w:w="1985" w:type="dxa"/>
          </w:tcPr>
          <w:p w14:paraId="67C438F4" w14:textId="77777777" w:rsidR="004A188C" w:rsidRPr="008F36EA" w:rsidRDefault="004A188C" w:rsidP="008624E7">
            <w:pPr>
              <w:pStyle w:val="Default"/>
              <w:jc w:val="center"/>
              <w:rPr>
                <w:sz w:val="16"/>
                <w:szCs w:val="16"/>
                <w:lang w:val="en-GB"/>
              </w:rPr>
            </w:pPr>
            <w:r w:rsidRPr="008F36EA">
              <w:rPr>
                <w:sz w:val="16"/>
                <w:szCs w:val="16"/>
                <w:lang w:val="en-GB"/>
              </w:rPr>
              <w:t>See MAWP definition in 6.7.3.1</w:t>
            </w:r>
          </w:p>
        </w:tc>
        <w:tc>
          <w:tcPr>
            <w:tcW w:w="992" w:type="dxa"/>
          </w:tcPr>
          <w:p w14:paraId="6DC9D9B4" w14:textId="77777777" w:rsidR="004A188C" w:rsidRPr="008F36EA" w:rsidRDefault="004A188C" w:rsidP="008624E7">
            <w:pPr>
              <w:pStyle w:val="Default"/>
              <w:jc w:val="center"/>
              <w:rPr>
                <w:sz w:val="16"/>
                <w:szCs w:val="16"/>
                <w:lang w:val="en-GB"/>
              </w:rPr>
            </w:pPr>
            <w:r w:rsidRPr="008F36EA">
              <w:rPr>
                <w:sz w:val="16"/>
                <w:szCs w:val="16"/>
                <w:lang w:val="en-GB"/>
              </w:rPr>
              <w:t>Allowed</w:t>
            </w:r>
          </w:p>
        </w:tc>
        <w:tc>
          <w:tcPr>
            <w:tcW w:w="1278" w:type="dxa"/>
          </w:tcPr>
          <w:p w14:paraId="73B1D243" w14:textId="77777777" w:rsidR="004A188C" w:rsidRPr="008F36EA" w:rsidRDefault="004A188C" w:rsidP="008624E7">
            <w:pPr>
              <w:pStyle w:val="Default"/>
              <w:jc w:val="center"/>
              <w:rPr>
                <w:sz w:val="16"/>
                <w:szCs w:val="16"/>
                <w:lang w:val="en-GB"/>
              </w:rPr>
            </w:pPr>
            <w:r w:rsidRPr="008F36EA">
              <w:rPr>
                <w:sz w:val="16"/>
                <w:szCs w:val="16"/>
                <w:lang w:val="en-GB"/>
              </w:rPr>
              <w:t>Normal</w:t>
            </w:r>
          </w:p>
        </w:tc>
        <w:tc>
          <w:tcPr>
            <w:tcW w:w="1132" w:type="dxa"/>
          </w:tcPr>
          <w:p w14:paraId="07DC488F" w14:textId="77777777" w:rsidR="004A188C" w:rsidRPr="008F36EA" w:rsidRDefault="004A188C" w:rsidP="008624E7">
            <w:pPr>
              <w:pStyle w:val="Default"/>
              <w:jc w:val="center"/>
              <w:rPr>
                <w:sz w:val="16"/>
                <w:szCs w:val="16"/>
                <w:lang w:val="en-GB"/>
              </w:rPr>
            </w:pPr>
            <w:r w:rsidRPr="008F36EA">
              <w:rPr>
                <w:sz w:val="16"/>
                <w:szCs w:val="16"/>
                <w:lang w:val="en-GB"/>
              </w:rPr>
              <w:t>See 4.2.2.7</w:t>
            </w:r>
          </w:p>
        </w:tc>
      </w:tr>
    </w:tbl>
    <w:p w14:paraId="6EDEF657" w14:textId="746F9A81" w:rsidR="004A188C" w:rsidRPr="00DF7CC1" w:rsidRDefault="002004AE" w:rsidP="002004AE">
      <w:pPr>
        <w:pStyle w:val="HChG"/>
      </w:pPr>
      <w:r>
        <w:tab/>
      </w:r>
      <w:r w:rsidR="004A188C" w:rsidRPr="00DF7CC1">
        <w:t>III.</w:t>
      </w:r>
      <w:r w:rsidR="004A188C" w:rsidRPr="00DF7CC1">
        <w:tab/>
      </w:r>
      <w:r w:rsidR="004A188C" w:rsidRPr="002004AE">
        <w:t>Safety</w:t>
      </w:r>
      <w:r w:rsidR="004A188C" w:rsidRPr="00DF7CC1">
        <w:t xml:space="preserve"> implications</w:t>
      </w:r>
    </w:p>
    <w:p w14:paraId="7A9D5406" w14:textId="6DE5E37B" w:rsidR="004A188C" w:rsidRDefault="004A188C" w:rsidP="004A188C">
      <w:pPr>
        <w:pStyle w:val="SingleTxtG"/>
      </w:pPr>
      <w:r w:rsidRPr="00DF7CC1">
        <w:t>1</w:t>
      </w:r>
      <w:r w:rsidR="00346E54">
        <w:t>2</w:t>
      </w:r>
      <w:r w:rsidRPr="00DF7CC1">
        <w:t>.</w:t>
      </w:r>
      <w:r w:rsidRPr="00DF7CC1">
        <w:tab/>
        <w:t>No negative safety implications are foreseen from the proposal. Having a dedicated UN number for this product, will enable easy identification by the emergency services without the need of checking the transport documentation and this can only have a positive impact</w:t>
      </w:r>
      <w:r>
        <w:t xml:space="preserve"> on safety</w:t>
      </w:r>
      <w:r w:rsidRPr="00DF7CC1">
        <w:t>.</w:t>
      </w:r>
    </w:p>
    <w:p w14:paraId="7C1EDC79" w14:textId="5B04ED46" w:rsidR="00AF5DE1" w:rsidRPr="007243B1" w:rsidRDefault="007243B1" w:rsidP="007243B1">
      <w:pPr>
        <w:spacing w:before="240"/>
        <w:jc w:val="center"/>
        <w:rPr>
          <w:u w:val="single"/>
        </w:rPr>
      </w:pPr>
      <w:r>
        <w:rPr>
          <w:u w:val="single"/>
        </w:rPr>
        <w:tab/>
      </w:r>
      <w:r>
        <w:rPr>
          <w:u w:val="single"/>
        </w:rPr>
        <w:tab/>
      </w:r>
      <w:r>
        <w:rPr>
          <w:u w:val="single"/>
        </w:rPr>
        <w:tab/>
      </w:r>
    </w:p>
    <w:sectPr w:rsidR="00AF5DE1" w:rsidRPr="007243B1" w:rsidSect="006B495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DAF5" w14:textId="77777777" w:rsidR="00E638CE" w:rsidRPr="00C47B2E" w:rsidRDefault="00E638CE" w:rsidP="00C47B2E">
      <w:pPr>
        <w:pStyle w:val="Footer"/>
      </w:pPr>
    </w:p>
  </w:endnote>
  <w:endnote w:type="continuationSeparator" w:id="0">
    <w:p w14:paraId="0BDD2560" w14:textId="77777777" w:rsidR="00E638CE" w:rsidRPr="00C47B2E" w:rsidRDefault="00E638CE" w:rsidP="00C47B2E">
      <w:pPr>
        <w:pStyle w:val="Footer"/>
      </w:pPr>
    </w:p>
  </w:endnote>
  <w:endnote w:type="continuationNotice" w:id="1">
    <w:p w14:paraId="2A3C4CF4" w14:textId="77777777" w:rsidR="00E638CE" w:rsidRPr="00C47B2E" w:rsidRDefault="00E638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09A" w14:textId="731856FB" w:rsidR="00D94B05" w:rsidRPr="006B4952" w:rsidRDefault="006B4952" w:rsidP="00D85308">
    <w:pPr>
      <w:pStyle w:val="Footer"/>
      <w:tabs>
        <w:tab w:val="right" w:pos="9639"/>
      </w:tabs>
      <w:rPr>
        <w:sz w:val="18"/>
      </w:rPr>
    </w:pPr>
    <w:r w:rsidRPr="006B4952">
      <w:rPr>
        <w:b/>
        <w:sz w:val="18"/>
      </w:rPr>
      <w:fldChar w:fldCharType="begin"/>
    </w:r>
    <w:r w:rsidRPr="006B4952">
      <w:rPr>
        <w:b/>
        <w:sz w:val="18"/>
      </w:rPr>
      <w:instrText xml:space="preserve"> PAGE  \* MERGEFORMAT </w:instrText>
    </w:r>
    <w:r w:rsidRPr="006B4952">
      <w:rPr>
        <w:b/>
        <w:sz w:val="18"/>
      </w:rPr>
      <w:fldChar w:fldCharType="separate"/>
    </w:r>
    <w:r w:rsidRPr="006B4952">
      <w:rPr>
        <w:b/>
        <w:noProof/>
        <w:sz w:val="18"/>
      </w:rPr>
      <w:t>2</w:t>
    </w:r>
    <w:r w:rsidRPr="006B49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EEDD" w14:textId="7E694833" w:rsidR="00D94B05" w:rsidRPr="006B4952" w:rsidRDefault="006B4952" w:rsidP="00D85308">
    <w:pPr>
      <w:pStyle w:val="Footer"/>
      <w:tabs>
        <w:tab w:val="right" w:pos="9639"/>
      </w:tabs>
      <w:rPr>
        <w:b/>
        <w:bCs/>
        <w:sz w:val="18"/>
      </w:rPr>
    </w:pPr>
    <w:r>
      <w:rPr>
        <w:bCs/>
        <w:sz w:val="18"/>
      </w:rPr>
      <w:tab/>
    </w:r>
    <w:r w:rsidRPr="006B4952">
      <w:rPr>
        <w:b/>
        <w:bCs/>
        <w:sz w:val="18"/>
      </w:rPr>
      <w:fldChar w:fldCharType="begin"/>
    </w:r>
    <w:r w:rsidRPr="006B4952">
      <w:rPr>
        <w:b/>
        <w:bCs/>
        <w:sz w:val="18"/>
      </w:rPr>
      <w:instrText xml:space="preserve"> PAGE  \* MERGEFORMAT </w:instrText>
    </w:r>
    <w:r w:rsidRPr="006B4952">
      <w:rPr>
        <w:b/>
        <w:bCs/>
        <w:sz w:val="18"/>
      </w:rPr>
      <w:fldChar w:fldCharType="separate"/>
    </w:r>
    <w:r w:rsidRPr="006B4952">
      <w:rPr>
        <w:b/>
        <w:bCs/>
        <w:noProof/>
        <w:sz w:val="18"/>
      </w:rPr>
      <w:t>3</w:t>
    </w:r>
    <w:r w:rsidRPr="006B49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B02" w14:textId="0D814038" w:rsidR="00A40BEE" w:rsidRDefault="00A40BEE" w:rsidP="00A40BEE">
    <w:pPr>
      <w:pStyle w:val="Footer"/>
    </w:pPr>
    <w:r w:rsidRPr="0027112F">
      <w:rPr>
        <w:noProof/>
        <w:lang w:val="en-US"/>
      </w:rPr>
      <w:drawing>
        <wp:anchor distT="0" distB="0" distL="114300" distR="114300" simplePos="0" relativeHeight="251659264" behindDoc="0" locked="1" layoutInCell="1" allowOverlap="1" wp14:anchorId="32894B4F" wp14:editId="581ADA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C5B0D7" w14:textId="0EAB31FB" w:rsidR="00A40BEE" w:rsidRPr="00A40BEE" w:rsidRDefault="00A40BEE" w:rsidP="00A40BEE">
    <w:pPr>
      <w:pStyle w:val="Footer"/>
      <w:ind w:right="1134"/>
      <w:rPr>
        <w:sz w:val="20"/>
      </w:rPr>
    </w:pPr>
    <w:r>
      <w:rPr>
        <w:sz w:val="20"/>
      </w:rPr>
      <w:t>GE.24-</w:t>
    </w:r>
    <w:proofErr w:type="gramStart"/>
    <w:r>
      <w:rPr>
        <w:sz w:val="20"/>
      </w:rPr>
      <w:t>06776  (</w:t>
    </w:r>
    <w:proofErr w:type="gramEnd"/>
    <w:r>
      <w:rPr>
        <w:sz w:val="20"/>
      </w:rPr>
      <w:t>E)</w:t>
    </w:r>
    <w:r>
      <w:rPr>
        <w:noProof/>
        <w:sz w:val="20"/>
      </w:rPr>
      <w:drawing>
        <wp:anchor distT="0" distB="0" distL="114300" distR="114300" simplePos="0" relativeHeight="251660288" behindDoc="0" locked="0" layoutInCell="1" allowOverlap="1" wp14:anchorId="687682D2" wp14:editId="634654C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1F1A" w14:textId="77777777" w:rsidR="00E638CE" w:rsidRPr="00C47B2E" w:rsidRDefault="00E638CE" w:rsidP="00C47B2E">
      <w:pPr>
        <w:tabs>
          <w:tab w:val="right" w:pos="2155"/>
        </w:tabs>
        <w:spacing w:after="80" w:line="240" w:lineRule="auto"/>
        <w:ind w:left="680"/>
      </w:pPr>
      <w:r>
        <w:rPr>
          <w:u w:val="single"/>
        </w:rPr>
        <w:tab/>
      </w:r>
    </w:p>
  </w:footnote>
  <w:footnote w:type="continuationSeparator" w:id="0">
    <w:p w14:paraId="2CA25AEB" w14:textId="77777777" w:rsidR="00E638CE" w:rsidRPr="00C47B2E" w:rsidRDefault="00E638CE" w:rsidP="005E716E">
      <w:pPr>
        <w:tabs>
          <w:tab w:val="right" w:pos="2155"/>
        </w:tabs>
        <w:spacing w:after="80" w:line="240" w:lineRule="auto"/>
        <w:ind w:left="680"/>
      </w:pPr>
      <w:r>
        <w:rPr>
          <w:u w:val="single"/>
        </w:rPr>
        <w:tab/>
      </w:r>
    </w:p>
  </w:footnote>
  <w:footnote w:type="continuationNotice" w:id="1">
    <w:p w14:paraId="2A2FD4FC" w14:textId="77777777" w:rsidR="00E638CE" w:rsidRPr="00C47B2E" w:rsidRDefault="00E638CE" w:rsidP="00C47B2E">
      <w:pPr>
        <w:pStyle w:val="Footer"/>
      </w:pPr>
    </w:p>
  </w:footnote>
  <w:footnote w:id="2">
    <w:p w14:paraId="6DA5A7CF" w14:textId="5FEE9CF9" w:rsidR="00356245" w:rsidRPr="00356245" w:rsidRDefault="00356245">
      <w:pPr>
        <w:pStyle w:val="FootnoteText"/>
        <w:rPr>
          <w:lang w:val="fr-CH"/>
        </w:rPr>
      </w:pPr>
      <w:r>
        <w:rPr>
          <w:rStyle w:val="FootnoteReference"/>
        </w:rPr>
        <w:tab/>
      </w:r>
      <w:r w:rsidRPr="00356245">
        <w:rPr>
          <w:rStyle w:val="FootnoteReference"/>
          <w:sz w:val="20"/>
          <w:vertAlign w:val="baseline"/>
        </w:rPr>
        <w:t>*</w:t>
      </w:r>
      <w:r>
        <w:rPr>
          <w:rStyle w:val="FootnoteReference"/>
          <w:sz w:val="20"/>
          <w:vertAlign w:val="baseline"/>
        </w:rPr>
        <w:tab/>
      </w:r>
      <w:r>
        <w:t>A/78/6 (Sect. 20), table 20.5.</w:t>
      </w:r>
    </w:p>
  </w:footnote>
  <w:footnote w:id="3">
    <w:p w14:paraId="0D81B357" w14:textId="26E7E118" w:rsidR="005E281B" w:rsidRPr="005E281B" w:rsidRDefault="005E281B" w:rsidP="005E281B">
      <w:pPr>
        <w:pStyle w:val="FootnoteText"/>
        <w:widowControl w:val="0"/>
        <w:tabs>
          <w:tab w:val="clear" w:pos="1021"/>
          <w:tab w:val="right" w:pos="1020"/>
        </w:tabs>
        <w:suppressAutoHyphens/>
        <w:rPr>
          <w:lang w:val="en-US"/>
        </w:rPr>
      </w:pPr>
      <w:r>
        <w:tab/>
      </w:r>
      <w:r>
        <w:rPr>
          <w:rStyle w:val="FootnoteReference"/>
        </w:rPr>
        <w:footnoteRef/>
      </w:r>
      <w:r>
        <w:tab/>
      </w:r>
      <w:r>
        <w:rPr>
          <w:rStyle w:val="ui-provider"/>
        </w:rPr>
        <w:t>See Column (20) of Table A of Chapter 3.2 of</w:t>
      </w:r>
      <w:r w:rsidR="00805AC6">
        <w:rPr>
          <w:rStyle w:val="ui-provider"/>
        </w:rPr>
        <w:t xml:space="preserve"> the</w:t>
      </w:r>
      <w:r>
        <w:rPr>
          <w:rStyle w:val="ui-provider"/>
        </w:rPr>
        <w:t xml:space="preserve"> </w:t>
      </w:r>
      <w:r w:rsidR="00805AC6" w:rsidRPr="00805AC6">
        <w:rPr>
          <w:rStyle w:val="ui-provider"/>
          <w:i/>
          <w:iCs/>
        </w:rPr>
        <w:t>Agreement concerning the International Carriage of Dangerous Goods by Road (ADR)</w:t>
      </w:r>
      <w:r>
        <w:rPr>
          <w:rStyle w:val="ui-provide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831" w14:textId="18D40794" w:rsidR="006B4952" w:rsidRPr="006B4952" w:rsidRDefault="00A40BEE">
    <w:pPr>
      <w:pStyle w:val="Header"/>
    </w:pPr>
    <w:r>
      <w:fldChar w:fldCharType="begin"/>
    </w:r>
    <w:r>
      <w:instrText xml:space="preserve"> TITLE  \* MERGEFORMAT </w:instrText>
    </w:r>
    <w:r>
      <w:fldChar w:fldCharType="separate"/>
    </w:r>
    <w:r w:rsidR="006B4952">
      <w:t>ST/SG/AC.10/C.3/2024/50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4F9" w14:textId="0195CFAE" w:rsidR="00D94B05" w:rsidRPr="006B4952" w:rsidRDefault="00A40BEE" w:rsidP="006B4952">
    <w:pPr>
      <w:pStyle w:val="Header"/>
      <w:jc w:val="right"/>
    </w:pPr>
    <w:r>
      <w:fldChar w:fldCharType="begin"/>
    </w:r>
    <w:r>
      <w:instrText xml:space="preserve"> TITLE  \* MERGEFORMAT </w:instrText>
    </w:r>
    <w:r>
      <w:fldChar w:fldCharType="separate"/>
    </w:r>
    <w:r w:rsidR="006B4952">
      <w:t>ST/SG/AC.10/C.3/2024/50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52"/>
    <w:rsid w:val="00012625"/>
    <w:rsid w:val="00046E92"/>
    <w:rsid w:val="00063C90"/>
    <w:rsid w:val="00070000"/>
    <w:rsid w:val="00080F87"/>
    <w:rsid w:val="000A2D9E"/>
    <w:rsid w:val="00101B98"/>
    <w:rsid w:val="001154EA"/>
    <w:rsid w:val="0012730A"/>
    <w:rsid w:val="00134FA3"/>
    <w:rsid w:val="001514D1"/>
    <w:rsid w:val="001606F9"/>
    <w:rsid w:val="002004AE"/>
    <w:rsid w:val="002221B6"/>
    <w:rsid w:val="002228F0"/>
    <w:rsid w:val="00247E2C"/>
    <w:rsid w:val="002761CC"/>
    <w:rsid w:val="002A32CB"/>
    <w:rsid w:val="002D5B2C"/>
    <w:rsid w:val="002D6C53"/>
    <w:rsid w:val="002F5595"/>
    <w:rsid w:val="00334F6A"/>
    <w:rsid w:val="00335BBC"/>
    <w:rsid w:val="00342AC8"/>
    <w:rsid w:val="00343302"/>
    <w:rsid w:val="00346E54"/>
    <w:rsid w:val="00351135"/>
    <w:rsid w:val="00356245"/>
    <w:rsid w:val="003979DE"/>
    <w:rsid w:val="003B1248"/>
    <w:rsid w:val="003B4550"/>
    <w:rsid w:val="003D2A18"/>
    <w:rsid w:val="003F55C8"/>
    <w:rsid w:val="00413386"/>
    <w:rsid w:val="00461253"/>
    <w:rsid w:val="004858F5"/>
    <w:rsid w:val="004A188C"/>
    <w:rsid w:val="004A2814"/>
    <w:rsid w:val="004C0622"/>
    <w:rsid w:val="004F73D0"/>
    <w:rsid w:val="005042C2"/>
    <w:rsid w:val="00544437"/>
    <w:rsid w:val="00585951"/>
    <w:rsid w:val="005C72C9"/>
    <w:rsid w:val="005E281B"/>
    <w:rsid w:val="005E716E"/>
    <w:rsid w:val="0061780C"/>
    <w:rsid w:val="00623EAD"/>
    <w:rsid w:val="006476E1"/>
    <w:rsid w:val="006604DF"/>
    <w:rsid w:val="00671529"/>
    <w:rsid w:val="00687AB0"/>
    <w:rsid w:val="006A148E"/>
    <w:rsid w:val="006B4952"/>
    <w:rsid w:val="006B4AC4"/>
    <w:rsid w:val="006F1EF5"/>
    <w:rsid w:val="0070489D"/>
    <w:rsid w:val="00717EF6"/>
    <w:rsid w:val="007200A1"/>
    <w:rsid w:val="007243B1"/>
    <w:rsid w:val="007268F9"/>
    <w:rsid w:val="00750282"/>
    <w:rsid w:val="00761E02"/>
    <w:rsid w:val="00764440"/>
    <w:rsid w:val="0077101B"/>
    <w:rsid w:val="007C52B0"/>
    <w:rsid w:val="007C6033"/>
    <w:rsid w:val="00805AC6"/>
    <w:rsid w:val="008147C8"/>
    <w:rsid w:val="00815C89"/>
    <w:rsid w:val="0081753A"/>
    <w:rsid w:val="00857D23"/>
    <w:rsid w:val="008624E7"/>
    <w:rsid w:val="008A404F"/>
    <w:rsid w:val="008E3942"/>
    <w:rsid w:val="00906358"/>
    <w:rsid w:val="00910A43"/>
    <w:rsid w:val="009411B4"/>
    <w:rsid w:val="00946F1D"/>
    <w:rsid w:val="009A0A7F"/>
    <w:rsid w:val="009A6F18"/>
    <w:rsid w:val="009D0139"/>
    <w:rsid w:val="009D1CAB"/>
    <w:rsid w:val="009D717D"/>
    <w:rsid w:val="009F5CDC"/>
    <w:rsid w:val="00A072D7"/>
    <w:rsid w:val="00A25168"/>
    <w:rsid w:val="00A25C0E"/>
    <w:rsid w:val="00A40BEE"/>
    <w:rsid w:val="00A775CF"/>
    <w:rsid w:val="00A9647F"/>
    <w:rsid w:val="00AA1D5B"/>
    <w:rsid w:val="00AB1632"/>
    <w:rsid w:val="00AD1A9C"/>
    <w:rsid w:val="00AF5DE1"/>
    <w:rsid w:val="00B06045"/>
    <w:rsid w:val="00B206DD"/>
    <w:rsid w:val="00B3343B"/>
    <w:rsid w:val="00B47E50"/>
    <w:rsid w:val="00B52EF4"/>
    <w:rsid w:val="00B72342"/>
    <w:rsid w:val="00B777AD"/>
    <w:rsid w:val="00BA3B74"/>
    <w:rsid w:val="00BD2391"/>
    <w:rsid w:val="00BF2870"/>
    <w:rsid w:val="00C02C72"/>
    <w:rsid w:val="00C03015"/>
    <w:rsid w:val="00C0358D"/>
    <w:rsid w:val="00C15B28"/>
    <w:rsid w:val="00C213A6"/>
    <w:rsid w:val="00C35A27"/>
    <w:rsid w:val="00C4757B"/>
    <w:rsid w:val="00C47B2E"/>
    <w:rsid w:val="00C96641"/>
    <w:rsid w:val="00CE3EE5"/>
    <w:rsid w:val="00CF6C48"/>
    <w:rsid w:val="00D137F0"/>
    <w:rsid w:val="00D167F6"/>
    <w:rsid w:val="00D25686"/>
    <w:rsid w:val="00D25AD8"/>
    <w:rsid w:val="00D63CD2"/>
    <w:rsid w:val="00D83B70"/>
    <w:rsid w:val="00D85308"/>
    <w:rsid w:val="00D87DC2"/>
    <w:rsid w:val="00D93887"/>
    <w:rsid w:val="00D94B05"/>
    <w:rsid w:val="00DC4700"/>
    <w:rsid w:val="00DC7379"/>
    <w:rsid w:val="00E02C2B"/>
    <w:rsid w:val="00E21C27"/>
    <w:rsid w:val="00E26BCF"/>
    <w:rsid w:val="00E52109"/>
    <w:rsid w:val="00E638CE"/>
    <w:rsid w:val="00E659BD"/>
    <w:rsid w:val="00E75317"/>
    <w:rsid w:val="00EA13B1"/>
    <w:rsid w:val="00EC0CE6"/>
    <w:rsid w:val="00EC7C1D"/>
    <w:rsid w:val="00ED6C48"/>
    <w:rsid w:val="00EE3045"/>
    <w:rsid w:val="00EE3600"/>
    <w:rsid w:val="00F07565"/>
    <w:rsid w:val="00F26186"/>
    <w:rsid w:val="00F522B1"/>
    <w:rsid w:val="00F5347A"/>
    <w:rsid w:val="00F65F5D"/>
    <w:rsid w:val="00F86A3A"/>
    <w:rsid w:val="00FA1D1E"/>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74F5"/>
  <w15:docId w15:val="{94628902-71CC-40F2-AFDB-4ADA21E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qFormat/>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C4757B"/>
    <w:rPr>
      <w:b/>
      <w:sz w:val="28"/>
    </w:rPr>
  </w:style>
  <w:style w:type="character" w:customStyle="1" w:styleId="H1GChar">
    <w:name w:val="_ H_1_G Char"/>
    <w:link w:val="H1G"/>
    <w:locked/>
    <w:rsid w:val="00C4757B"/>
    <w:rPr>
      <w:b/>
      <w:sz w:val="24"/>
    </w:rPr>
  </w:style>
  <w:style w:type="character" w:customStyle="1" w:styleId="SingleTxtGCar">
    <w:name w:val="_ Single Txt_G Car"/>
    <w:link w:val="SingleTxtG"/>
    <w:locked/>
    <w:rsid w:val="004A188C"/>
  </w:style>
  <w:style w:type="paragraph" w:customStyle="1" w:styleId="Default">
    <w:name w:val="Default"/>
    <w:rsid w:val="004A188C"/>
    <w:pPr>
      <w:autoSpaceDE w:val="0"/>
      <w:autoSpaceDN w:val="0"/>
      <w:adjustRightInd w:val="0"/>
      <w:spacing w:line="240" w:lineRule="auto"/>
    </w:pPr>
    <w:rPr>
      <w:rFonts w:eastAsia="Times New Roman"/>
      <w:color w:val="000000"/>
      <w:sz w:val="24"/>
      <w:szCs w:val="24"/>
      <w:lang w:val="fr-CH" w:eastAsia="en-US"/>
    </w:rPr>
  </w:style>
  <w:style w:type="paragraph" w:styleId="ListParagraph">
    <w:name w:val="List Paragraph"/>
    <w:basedOn w:val="Normal"/>
    <w:uiPriority w:val="34"/>
    <w:qFormat/>
    <w:rsid w:val="004A188C"/>
    <w:pPr>
      <w:suppressAutoHyphens/>
      <w:ind w:left="720"/>
    </w:pPr>
    <w:rPr>
      <w:rFonts w:eastAsia="Times New Roman"/>
      <w:lang w:eastAsia="en-US"/>
    </w:rPr>
  </w:style>
  <w:style w:type="character" w:customStyle="1" w:styleId="ui-provider">
    <w:name w:val="ui-provider"/>
    <w:basedOn w:val="DefaultParagraphFont"/>
    <w:rsid w:val="005E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819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03D5EB94-759E-4F48-8FDB-1523C53E7F3B}"/>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1297</Words>
  <Characters>6474</Characters>
  <Application>Microsoft Office Word</Application>
  <DocSecurity>0</DocSecurity>
  <Lines>189</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ST/SG/AC.10/C.3/2024/50</dc:title>
  <dc:subject>2406776</dc:subject>
  <dc:creator>Editorial</dc:creator>
  <cp:keywords/>
  <dc:description/>
  <cp:lastModifiedBy>Pauline Anne Escalante</cp:lastModifiedBy>
  <cp:revision>2</cp:revision>
  <dcterms:created xsi:type="dcterms:W3CDTF">2024-04-15T09:54:00Z</dcterms:created>
  <dcterms:modified xsi:type="dcterms:W3CDTF">2024-04-15T09:54:00Z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