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FFE1262" w14:textId="77777777" w:rsidTr="00F01738">
        <w:trPr>
          <w:trHeight w:hRule="exact" w:val="851"/>
        </w:trPr>
        <w:tc>
          <w:tcPr>
            <w:tcW w:w="1276" w:type="dxa"/>
            <w:tcBorders>
              <w:bottom w:val="single" w:sz="4" w:space="0" w:color="auto"/>
            </w:tcBorders>
          </w:tcPr>
          <w:p w14:paraId="332F2454" w14:textId="77777777" w:rsidR="00132EA9" w:rsidRPr="00DB58B5" w:rsidRDefault="00132EA9" w:rsidP="009B0880"/>
        </w:tc>
        <w:tc>
          <w:tcPr>
            <w:tcW w:w="2268" w:type="dxa"/>
            <w:tcBorders>
              <w:bottom w:val="single" w:sz="4" w:space="0" w:color="auto"/>
            </w:tcBorders>
            <w:vAlign w:val="bottom"/>
          </w:tcPr>
          <w:p w14:paraId="3291824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3EEC5B" w14:textId="26FB3340" w:rsidR="00132EA9" w:rsidRPr="00DB58B5" w:rsidRDefault="009B0880" w:rsidP="009B0880">
            <w:pPr>
              <w:jc w:val="right"/>
            </w:pPr>
            <w:r w:rsidRPr="009B0880">
              <w:rPr>
                <w:sz w:val="40"/>
              </w:rPr>
              <w:t>ST</w:t>
            </w:r>
            <w:r>
              <w:t>/SG/AC</w:t>
            </w:r>
            <w:r w:rsidR="00565DAD" w:rsidRPr="00565DAD">
              <w:t>.</w:t>
            </w:r>
            <w:r>
              <w:t>10/C</w:t>
            </w:r>
            <w:r w:rsidR="00565DAD" w:rsidRPr="00565DAD">
              <w:t>.</w:t>
            </w:r>
            <w:r>
              <w:t>3/2024/46</w:t>
            </w:r>
          </w:p>
        </w:tc>
      </w:tr>
      <w:tr w:rsidR="00132EA9" w:rsidRPr="00DB58B5" w14:paraId="2894EC59" w14:textId="77777777" w:rsidTr="00F01738">
        <w:trPr>
          <w:trHeight w:hRule="exact" w:val="2835"/>
        </w:trPr>
        <w:tc>
          <w:tcPr>
            <w:tcW w:w="1276" w:type="dxa"/>
            <w:tcBorders>
              <w:top w:val="single" w:sz="4" w:space="0" w:color="auto"/>
              <w:bottom w:val="single" w:sz="12" w:space="0" w:color="auto"/>
            </w:tcBorders>
          </w:tcPr>
          <w:p w14:paraId="011423B4" w14:textId="77777777" w:rsidR="00132EA9" w:rsidRPr="00DB58B5" w:rsidRDefault="00132EA9" w:rsidP="00F01738">
            <w:pPr>
              <w:spacing w:before="120"/>
              <w:jc w:val="center"/>
            </w:pPr>
            <w:r>
              <w:rPr>
                <w:noProof/>
                <w:lang w:eastAsia="fr-CH"/>
              </w:rPr>
              <w:drawing>
                <wp:inline distT="0" distB="0" distL="0" distR="0" wp14:anchorId="38115A7A" wp14:editId="0CC8DF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AA6BA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1650CEC" w14:textId="620DB0FA" w:rsidR="00132EA9" w:rsidRDefault="009B0880" w:rsidP="00F01738">
            <w:pPr>
              <w:spacing w:before="240"/>
            </w:pPr>
            <w:proofErr w:type="spellStart"/>
            <w:r>
              <w:t>Distr</w:t>
            </w:r>
            <w:proofErr w:type="spellEnd"/>
            <w:r w:rsidR="00565DAD" w:rsidRPr="00565DAD">
              <w:t>.</w:t>
            </w:r>
            <w:r>
              <w:t xml:space="preserve"> générale</w:t>
            </w:r>
          </w:p>
          <w:p w14:paraId="5740F384" w14:textId="77777777" w:rsidR="009B0880" w:rsidRDefault="009B0880" w:rsidP="009B0880">
            <w:pPr>
              <w:spacing w:line="240" w:lineRule="exact"/>
            </w:pPr>
            <w:r>
              <w:t>12 avril 2024</w:t>
            </w:r>
          </w:p>
          <w:p w14:paraId="37E0748B" w14:textId="77777777" w:rsidR="009B0880" w:rsidRDefault="009B0880" w:rsidP="009B0880">
            <w:pPr>
              <w:spacing w:line="240" w:lineRule="exact"/>
            </w:pPr>
            <w:r>
              <w:t>Français</w:t>
            </w:r>
          </w:p>
          <w:p w14:paraId="30F0FFDF" w14:textId="13854765" w:rsidR="009B0880" w:rsidRPr="00DB58B5" w:rsidRDefault="009B0880" w:rsidP="009B0880">
            <w:pPr>
              <w:spacing w:line="240" w:lineRule="exact"/>
            </w:pPr>
            <w:r>
              <w:t>Original : anglais</w:t>
            </w:r>
          </w:p>
        </w:tc>
      </w:tr>
    </w:tbl>
    <w:p w14:paraId="68491AD6" w14:textId="13CA43AC" w:rsidR="009B0880" w:rsidRPr="00D04A8C" w:rsidRDefault="009B0880" w:rsidP="009B0880">
      <w:pPr>
        <w:spacing w:before="120"/>
        <w:rPr>
          <w:b/>
          <w:sz w:val="32"/>
          <w:szCs w:val="32"/>
          <w:lang w:val="fr-FR"/>
        </w:rPr>
      </w:pPr>
      <w:r w:rsidRPr="00D04A8C">
        <w:rPr>
          <w:b/>
          <w:bCs/>
          <w:sz w:val="24"/>
          <w:szCs w:val="24"/>
          <w:lang w:val="fr-FR"/>
        </w:rPr>
        <w:t xml:space="preserve">Comité d’experts du transport des marchandises </w:t>
      </w:r>
      <w:r w:rsidR="00D04A8C">
        <w:rPr>
          <w:b/>
          <w:bCs/>
          <w:sz w:val="24"/>
          <w:szCs w:val="24"/>
          <w:lang w:val="fr-FR"/>
        </w:rPr>
        <w:br/>
      </w:r>
      <w:r w:rsidRPr="00D04A8C">
        <w:rPr>
          <w:b/>
          <w:bCs/>
          <w:sz w:val="24"/>
          <w:szCs w:val="24"/>
          <w:lang w:val="fr-FR"/>
        </w:rPr>
        <w:t xml:space="preserve">dangereuses et du Système général harmonisé </w:t>
      </w:r>
      <w:r w:rsidR="00D04A8C">
        <w:rPr>
          <w:b/>
          <w:bCs/>
          <w:sz w:val="24"/>
          <w:szCs w:val="24"/>
          <w:lang w:val="fr-FR"/>
        </w:rPr>
        <w:br/>
      </w:r>
      <w:r w:rsidRPr="00D04A8C">
        <w:rPr>
          <w:b/>
          <w:bCs/>
          <w:sz w:val="24"/>
          <w:szCs w:val="24"/>
          <w:lang w:val="fr-FR"/>
        </w:rPr>
        <w:t>de classification et d’étiquetage des produits chimiques</w:t>
      </w:r>
    </w:p>
    <w:p w14:paraId="57978238" w14:textId="77777777" w:rsidR="009B0880" w:rsidRPr="00FE2049" w:rsidRDefault="009B0880" w:rsidP="009B0880">
      <w:pPr>
        <w:spacing w:before="120"/>
        <w:rPr>
          <w:rFonts w:ascii="Helv" w:hAnsi="Helv" w:cs="Helv"/>
          <w:b/>
          <w:color w:val="000000"/>
          <w:lang w:val="fr-FR"/>
        </w:rPr>
      </w:pPr>
      <w:r>
        <w:rPr>
          <w:b/>
          <w:bCs/>
          <w:lang w:val="fr-FR"/>
        </w:rPr>
        <w:t>Sous-Comité d’experts du transport des marchandises dangereuses</w:t>
      </w:r>
    </w:p>
    <w:p w14:paraId="6A6B8F8F" w14:textId="77777777" w:rsidR="009B0880" w:rsidRPr="00FE2049" w:rsidRDefault="009B0880" w:rsidP="009B0880">
      <w:pPr>
        <w:spacing w:before="120"/>
        <w:rPr>
          <w:b/>
          <w:lang w:val="fr-FR"/>
        </w:rPr>
      </w:pPr>
      <w:r>
        <w:rPr>
          <w:b/>
          <w:bCs/>
          <w:lang w:val="fr-FR"/>
        </w:rPr>
        <w:t>Soixante-quatrième session</w:t>
      </w:r>
    </w:p>
    <w:p w14:paraId="3B6F4C66" w14:textId="77777777" w:rsidR="009B0880" w:rsidRPr="00FE2049" w:rsidRDefault="009B0880" w:rsidP="009B0880">
      <w:pPr>
        <w:rPr>
          <w:lang w:val="fr-FR"/>
        </w:rPr>
      </w:pPr>
      <w:r>
        <w:rPr>
          <w:lang w:val="fr-FR"/>
        </w:rPr>
        <w:t>Genève, 24 juin-3 juillet 2024</w:t>
      </w:r>
    </w:p>
    <w:p w14:paraId="37D2AAAA" w14:textId="77777777" w:rsidR="009B0880" w:rsidRPr="00FE2049" w:rsidRDefault="009B0880" w:rsidP="009B0880">
      <w:pPr>
        <w:rPr>
          <w:lang w:val="fr-FR"/>
        </w:rPr>
      </w:pPr>
      <w:r>
        <w:rPr>
          <w:lang w:val="fr-FR"/>
        </w:rPr>
        <w:t>Point 3 de l’ordre du jour provisoire</w:t>
      </w:r>
    </w:p>
    <w:p w14:paraId="27EA0BC8" w14:textId="77777777" w:rsidR="009B0880" w:rsidRPr="00FE2049" w:rsidRDefault="009B0880" w:rsidP="009B0880">
      <w:pPr>
        <w:rPr>
          <w:b/>
          <w:bCs/>
          <w:lang w:val="fr-FR"/>
        </w:rPr>
      </w:pPr>
      <w:r>
        <w:rPr>
          <w:b/>
          <w:bCs/>
          <w:lang w:val="fr-FR"/>
        </w:rPr>
        <w:t>Inscription, classement et emballage</w:t>
      </w:r>
    </w:p>
    <w:p w14:paraId="58D2D132" w14:textId="77777777" w:rsidR="009B0880" w:rsidRPr="00FE2049" w:rsidRDefault="009B0880" w:rsidP="00D04A8C">
      <w:pPr>
        <w:pStyle w:val="HChG"/>
        <w:rPr>
          <w:lang w:val="fr-FR"/>
        </w:rPr>
      </w:pPr>
      <w:r>
        <w:rPr>
          <w:lang w:val="fr-FR"/>
        </w:rPr>
        <w:tab/>
      </w:r>
      <w:r>
        <w:rPr>
          <w:lang w:val="fr-FR"/>
        </w:rPr>
        <w:tab/>
        <w:t>Classement du No ONU 2372 BIS (DIMÉTHYLAMINO)-1,2 ÉTHANE</w:t>
      </w:r>
    </w:p>
    <w:p w14:paraId="2AB04754" w14:textId="77777777" w:rsidR="009B0880" w:rsidRPr="00FE2049" w:rsidRDefault="009B0880" w:rsidP="00D04A8C">
      <w:pPr>
        <w:pStyle w:val="H1G"/>
        <w:rPr>
          <w:lang w:val="fr-FR"/>
        </w:rPr>
      </w:pPr>
      <w:bookmarkStart w:id="0" w:name="_Hlk531350542"/>
      <w:r>
        <w:rPr>
          <w:lang w:val="fr-FR"/>
        </w:rPr>
        <w:tab/>
      </w:r>
      <w:r>
        <w:rPr>
          <w:lang w:val="fr-FR"/>
        </w:rPr>
        <w:tab/>
        <w:t>Communication de l’expert de la Belgique</w:t>
      </w:r>
      <w:r w:rsidRPr="00D04A8C">
        <w:rPr>
          <w:rStyle w:val="Appelnotedebasdep"/>
          <w:b w:val="0"/>
          <w:bCs/>
          <w:sz w:val="20"/>
          <w:szCs w:val="24"/>
          <w:vertAlign w:val="baseline"/>
          <w:lang w:val="fr-FR"/>
        </w:rPr>
        <w:footnoteReference w:customMarkFollows="1" w:id="2"/>
        <w:t>*</w:t>
      </w:r>
      <w:bookmarkEnd w:id="0"/>
    </w:p>
    <w:p w14:paraId="47AD2507" w14:textId="5E3B4B33" w:rsidR="009B0880" w:rsidRPr="00FE2049" w:rsidRDefault="00D04A8C" w:rsidP="00D04A8C">
      <w:pPr>
        <w:pStyle w:val="HChG"/>
        <w:rPr>
          <w:lang w:val="fr-FR"/>
        </w:rPr>
      </w:pPr>
      <w:r>
        <w:rPr>
          <w:lang w:val="fr-FR"/>
        </w:rPr>
        <w:tab/>
      </w:r>
      <w:r w:rsidR="009B0880">
        <w:rPr>
          <w:lang w:val="fr-FR"/>
        </w:rPr>
        <w:t>I</w:t>
      </w:r>
      <w:r w:rsidR="00565DAD" w:rsidRPr="00565DAD">
        <w:rPr>
          <w:lang w:val="fr-FR"/>
        </w:rPr>
        <w:t>.</w:t>
      </w:r>
      <w:r w:rsidR="009B0880">
        <w:rPr>
          <w:lang w:val="fr-FR"/>
        </w:rPr>
        <w:tab/>
        <w:t>Introduction</w:t>
      </w:r>
    </w:p>
    <w:p w14:paraId="58724A45" w14:textId="0CD57AB6" w:rsidR="009B0880" w:rsidRPr="00FE2049" w:rsidRDefault="009B0880" w:rsidP="00D04A8C">
      <w:pPr>
        <w:pStyle w:val="SingleTxtG"/>
        <w:rPr>
          <w:lang w:val="fr-FR"/>
        </w:rPr>
      </w:pPr>
      <w:r>
        <w:rPr>
          <w:lang w:val="fr-FR"/>
        </w:rPr>
        <w:t>1</w:t>
      </w:r>
      <w:r w:rsidR="00565DAD" w:rsidRPr="00565DAD">
        <w:rPr>
          <w:lang w:val="fr-FR"/>
        </w:rPr>
        <w:t>.</w:t>
      </w:r>
      <w:r>
        <w:rPr>
          <w:lang w:val="fr-FR"/>
        </w:rPr>
        <w:tab/>
        <w:t>À la soixante-deuxième session du Sous-Comité d’experts du transport des marchandises dangereuses, la Belgique avait présenté le document informel INF</w:t>
      </w:r>
      <w:r w:rsidR="00565DAD" w:rsidRPr="00565DAD">
        <w:rPr>
          <w:lang w:val="fr-FR"/>
        </w:rPr>
        <w:t>.</w:t>
      </w:r>
      <w:r>
        <w:rPr>
          <w:lang w:val="fr-FR"/>
        </w:rPr>
        <w:t>18, dans lequel il était expliqué qu’il existait des données scientifiques indiquant un risque de corrosivité supplémentaire pour le No ONU 2372 BIS (DIMÉTHYLAMINO)-1,2 ÉTHANE, auquel n’est actuellement attribué qu’un danger d’inflammabilité</w:t>
      </w:r>
      <w:r w:rsidR="00565DAD" w:rsidRPr="00565DAD">
        <w:rPr>
          <w:lang w:val="fr-FR"/>
        </w:rPr>
        <w:t>.</w:t>
      </w:r>
    </w:p>
    <w:p w14:paraId="339812E8" w14:textId="1EEF68B4" w:rsidR="009B0880" w:rsidRPr="00FE2049" w:rsidRDefault="009B0880" w:rsidP="00D04A8C">
      <w:pPr>
        <w:pStyle w:val="SingleTxtG"/>
        <w:rPr>
          <w:lang w:val="fr-FR"/>
        </w:rPr>
      </w:pPr>
      <w:r>
        <w:rPr>
          <w:lang w:val="fr-FR"/>
        </w:rPr>
        <w:t>2</w:t>
      </w:r>
      <w:r w:rsidR="00565DAD" w:rsidRPr="00565DAD">
        <w:rPr>
          <w:lang w:val="fr-FR"/>
        </w:rPr>
        <w:t>.</w:t>
      </w:r>
      <w:r>
        <w:rPr>
          <w:lang w:val="fr-FR"/>
        </w:rPr>
        <w:tab/>
        <w:t>Après la discussion qui avait eu lieu à la soixante-deuxième session, il avait été noté dans le rapport que la proposition d’ajouter le danger subsidiaire de corrosivité au No</w:t>
      </w:r>
      <w:r w:rsidR="00D04A8C">
        <w:rPr>
          <w:lang w:val="fr-FR"/>
        </w:rPr>
        <w:t> </w:t>
      </w:r>
      <w:r>
        <w:rPr>
          <w:lang w:val="fr-FR"/>
        </w:rPr>
        <w:t>ONU</w:t>
      </w:r>
      <w:r w:rsidR="00D04A8C">
        <w:rPr>
          <w:lang w:val="fr-FR"/>
        </w:rPr>
        <w:t> </w:t>
      </w:r>
      <w:r>
        <w:rPr>
          <w:lang w:val="fr-FR"/>
        </w:rPr>
        <w:t>2372 avait recueilli des appuis</w:t>
      </w:r>
      <w:r w:rsidR="00565DAD" w:rsidRPr="00565DAD">
        <w:rPr>
          <w:lang w:val="fr-FR"/>
        </w:rPr>
        <w:t>.</w:t>
      </w:r>
      <w:r>
        <w:rPr>
          <w:lang w:val="fr-FR"/>
        </w:rPr>
        <w:t xml:space="preserve"> En outre, la Belgique avait également indiqué qu’une période de transition pourrait être nécessaire, étant donné que l’ajout du danger de corrosivité entraînerait la nécessité de remplacer par le code T7 le code T4 attribué aux citernes mobiles, et que certaines entreprises ne seraient pas en mesure de continuer à utiliser les citernes mobiles comme cela est actuellement prévu</w:t>
      </w:r>
      <w:r w:rsidR="00565DAD" w:rsidRPr="00565DAD">
        <w:rPr>
          <w:lang w:val="fr-FR"/>
        </w:rPr>
        <w:t>.</w:t>
      </w:r>
      <w:r>
        <w:rPr>
          <w:lang w:val="fr-FR"/>
        </w:rPr>
        <w:t xml:space="preserve"> Le Sous-Comité était convenu qu’il serait nécessaire d’ajouter des mesures transitoires</w:t>
      </w:r>
      <w:r w:rsidR="00565DAD" w:rsidRPr="00565DAD">
        <w:rPr>
          <w:lang w:val="fr-FR"/>
        </w:rPr>
        <w:t>.</w:t>
      </w:r>
    </w:p>
    <w:p w14:paraId="6C1A1FF3" w14:textId="77C7C598" w:rsidR="009B0880" w:rsidRPr="00FE2049" w:rsidRDefault="009B0880" w:rsidP="009B0880">
      <w:pPr>
        <w:pStyle w:val="SingleTxtG"/>
        <w:rPr>
          <w:lang w:val="fr-FR"/>
        </w:rPr>
      </w:pPr>
      <w:r>
        <w:rPr>
          <w:lang w:val="fr-FR"/>
        </w:rPr>
        <w:t>3</w:t>
      </w:r>
      <w:r w:rsidR="00565DAD" w:rsidRPr="00565DAD">
        <w:rPr>
          <w:lang w:val="fr-FR"/>
        </w:rPr>
        <w:t>.</w:t>
      </w:r>
      <w:r>
        <w:rPr>
          <w:lang w:val="fr-FR"/>
        </w:rPr>
        <w:tab/>
        <w:t>Plusieurs délégations ont également envoyé des observations par écrit</w:t>
      </w:r>
      <w:r w:rsidR="00565DAD" w:rsidRPr="00565DAD">
        <w:rPr>
          <w:lang w:val="fr-FR"/>
        </w:rPr>
        <w:t>.</w:t>
      </w:r>
      <w:r>
        <w:rPr>
          <w:lang w:val="fr-FR"/>
        </w:rPr>
        <w:t xml:space="preserve"> Un représentant a notamment transmis un tableau récapitulatif et une comparaison des épreuves réalisées et mentionnées dans le dossier</w:t>
      </w:r>
      <w:r w:rsidRPr="00F92173">
        <w:rPr>
          <w:rStyle w:val="Appelnotedebasdep"/>
        </w:rPr>
        <w:footnoteReference w:id="3"/>
      </w:r>
      <w:r>
        <w:rPr>
          <w:lang w:val="fr-FR"/>
        </w:rPr>
        <w:t xml:space="preserve"> de l’ECHA</w:t>
      </w:r>
      <w:r w:rsidRPr="00F92173">
        <w:rPr>
          <w:rStyle w:val="Appelnotedebasdep"/>
        </w:rPr>
        <w:footnoteReference w:id="4"/>
      </w:r>
      <w:r w:rsidR="00565DAD" w:rsidRPr="00565DAD">
        <w:rPr>
          <w:lang w:val="fr-FR"/>
        </w:rPr>
        <w:t>.</w:t>
      </w:r>
      <w:r>
        <w:rPr>
          <w:lang w:val="fr-FR"/>
        </w:rPr>
        <w:t xml:space="preserve"> Ce tableau figure à l’annexe du présent document</w:t>
      </w:r>
      <w:r w:rsidR="00565DAD" w:rsidRPr="00565DAD">
        <w:rPr>
          <w:lang w:val="fr-FR"/>
        </w:rPr>
        <w:t>.</w:t>
      </w:r>
      <w:r>
        <w:rPr>
          <w:lang w:val="fr-FR"/>
        </w:rPr>
        <w:t xml:space="preserve"> Il ressort clairement de la comparaison que l’épreuve effectuée en 2000 qui est mentionnée dans le document informel INF</w:t>
      </w:r>
      <w:r w:rsidR="00565DAD" w:rsidRPr="00565DAD">
        <w:rPr>
          <w:lang w:val="fr-FR"/>
        </w:rPr>
        <w:t>.</w:t>
      </w:r>
      <w:r>
        <w:rPr>
          <w:lang w:val="fr-FR"/>
        </w:rPr>
        <w:t xml:space="preserve">18 de la soixante-deuxième session est conforme aux critères d’évaluation des résultats de la Ligne directrice </w:t>
      </w:r>
      <w:r w:rsidR="0091077E" w:rsidRPr="0091077E">
        <w:rPr>
          <w:rFonts w:eastAsia="MS Mincho"/>
          <w:lang w:val="fr-FR"/>
        </w:rPr>
        <w:t>n</w:t>
      </w:r>
      <w:r w:rsidR="0091077E" w:rsidRPr="0091077E">
        <w:rPr>
          <w:rFonts w:eastAsia="MS Mincho"/>
          <w:vertAlign w:val="superscript"/>
          <w:lang w:val="fr-FR"/>
        </w:rPr>
        <w:t>o</w:t>
      </w:r>
      <w:r w:rsidR="0091077E">
        <w:rPr>
          <w:lang w:val="fr-FR"/>
        </w:rPr>
        <w:t> </w:t>
      </w:r>
      <w:r>
        <w:rPr>
          <w:lang w:val="fr-FR"/>
        </w:rPr>
        <w:t>404 de l’OCDE</w:t>
      </w:r>
      <w:r w:rsidRPr="00F92173">
        <w:rPr>
          <w:rStyle w:val="Appelnotedebasdep"/>
        </w:rPr>
        <w:footnoteReference w:id="5"/>
      </w:r>
      <w:r>
        <w:rPr>
          <w:lang w:val="fr-FR"/>
        </w:rPr>
        <w:t>, comme le prescrit le 2</w:t>
      </w:r>
      <w:r w:rsidR="00565DAD" w:rsidRPr="00565DAD">
        <w:rPr>
          <w:lang w:val="fr-FR"/>
        </w:rPr>
        <w:t>.</w:t>
      </w:r>
      <w:r>
        <w:rPr>
          <w:lang w:val="fr-FR"/>
        </w:rPr>
        <w:t>8</w:t>
      </w:r>
      <w:r w:rsidR="00565DAD" w:rsidRPr="00565DAD">
        <w:rPr>
          <w:lang w:val="fr-FR"/>
        </w:rPr>
        <w:t>.</w:t>
      </w:r>
      <w:r>
        <w:rPr>
          <w:lang w:val="fr-FR"/>
        </w:rPr>
        <w:t>3</w:t>
      </w:r>
      <w:r w:rsidR="00565DAD" w:rsidRPr="00565DAD">
        <w:rPr>
          <w:lang w:val="fr-FR"/>
        </w:rPr>
        <w:t>.</w:t>
      </w:r>
      <w:r>
        <w:rPr>
          <w:lang w:val="fr-FR"/>
        </w:rPr>
        <w:t xml:space="preserve">2 du Règlement type, ce qui constitue une preuve supplémentaire que, </w:t>
      </w:r>
      <w:r>
        <w:rPr>
          <w:lang w:val="fr-FR"/>
        </w:rPr>
        <w:lastRenderedPageBreak/>
        <w:t>d’après les données scientifiques actuellement disponibles, le No ONU 2372 possède des propriétés corrosives</w:t>
      </w:r>
      <w:r w:rsidR="00565DAD" w:rsidRPr="00565DAD">
        <w:rPr>
          <w:lang w:val="fr-FR"/>
        </w:rPr>
        <w:t>.</w:t>
      </w:r>
    </w:p>
    <w:p w14:paraId="4148AD08" w14:textId="7B37EA04" w:rsidR="009B0880" w:rsidRPr="00FE2049" w:rsidRDefault="009B0880" w:rsidP="009B0880">
      <w:pPr>
        <w:pStyle w:val="SingleTxtG"/>
        <w:rPr>
          <w:lang w:val="fr-FR"/>
        </w:rPr>
      </w:pPr>
      <w:r>
        <w:rPr>
          <w:lang w:val="fr-FR"/>
        </w:rPr>
        <w:t>4</w:t>
      </w:r>
      <w:r w:rsidR="00565DAD" w:rsidRPr="00565DAD">
        <w:rPr>
          <w:lang w:val="fr-FR"/>
        </w:rPr>
        <w:t>.</w:t>
      </w:r>
      <w:r>
        <w:rPr>
          <w:lang w:val="fr-FR"/>
        </w:rPr>
        <w:tab/>
        <w:t>Un autre représentant a fait remarquer qu’il existait des résultats d’expérience indiquant que cette matière possédait également des propriétés toxiques</w:t>
      </w:r>
      <w:r w:rsidR="00565DAD" w:rsidRPr="00565DAD">
        <w:rPr>
          <w:lang w:val="fr-FR"/>
        </w:rPr>
        <w:t>.</w:t>
      </w:r>
      <w:r>
        <w:rPr>
          <w:lang w:val="fr-FR"/>
        </w:rPr>
        <w:t xml:space="preserve"> Plus précisément, il a été fait référence à la base de données</w:t>
      </w:r>
      <w:r w:rsidRPr="00F92173">
        <w:rPr>
          <w:rStyle w:val="Appelnotedebasdep"/>
        </w:rPr>
        <w:footnoteReference w:id="6"/>
      </w:r>
      <w:r>
        <w:rPr>
          <w:lang w:val="fr-FR"/>
        </w:rPr>
        <w:t xml:space="preserve"> du NCBI</w:t>
      </w:r>
      <w:r w:rsidRPr="00F92173">
        <w:rPr>
          <w:rStyle w:val="Appelnotedebasdep"/>
        </w:rPr>
        <w:footnoteReference w:id="7"/>
      </w:r>
      <w:r>
        <w:rPr>
          <w:lang w:val="fr-FR"/>
        </w:rPr>
        <w:t>, dans lequel on trouve une DL</w:t>
      </w:r>
      <w:r w:rsidRPr="00177D63">
        <w:rPr>
          <w:vertAlign w:val="subscript"/>
          <w:lang w:val="fr-FR"/>
        </w:rPr>
        <w:t>50</w:t>
      </w:r>
      <w:r>
        <w:rPr>
          <w:lang w:val="fr-FR"/>
        </w:rPr>
        <w:t xml:space="preserve"> à l’ingestion de 268 mg/kg et une CL50 à l’inhalation de 1 318 ppm/4h</w:t>
      </w:r>
      <w:r w:rsidR="00565DAD" w:rsidRPr="00565DAD">
        <w:rPr>
          <w:lang w:val="fr-FR"/>
        </w:rPr>
        <w:t>.</w:t>
      </w:r>
    </w:p>
    <w:p w14:paraId="1C22DA35" w14:textId="3DD85552" w:rsidR="009B0880" w:rsidRPr="00FE2049" w:rsidRDefault="009B0880" w:rsidP="009B0880">
      <w:pPr>
        <w:pStyle w:val="SingleTxtG"/>
        <w:rPr>
          <w:lang w:val="fr-FR"/>
        </w:rPr>
      </w:pPr>
      <w:r>
        <w:rPr>
          <w:lang w:val="fr-FR"/>
        </w:rPr>
        <w:t>5</w:t>
      </w:r>
      <w:r w:rsidR="00565DAD" w:rsidRPr="00565DAD">
        <w:rPr>
          <w:lang w:val="fr-FR"/>
        </w:rPr>
        <w:t>.</w:t>
      </w:r>
      <w:r>
        <w:rPr>
          <w:lang w:val="fr-FR"/>
        </w:rPr>
        <w:tab/>
        <w:t>En ce qui concerne la toxicité à l’ingestion, après consultation des spécialistes belges du classement, il semble que les valeurs référencées ne soient pas acceptées de manière générale</w:t>
      </w:r>
      <w:r w:rsidR="00565DAD" w:rsidRPr="00565DAD">
        <w:rPr>
          <w:lang w:val="fr-FR"/>
        </w:rPr>
        <w:t>.</w:t>
      </w:r>
      <w:r>
        <w:rPr>
          <w:lang w:val="fr-FR"/>
        </w:rPr>
        <w:t xml:space="preserve"> Par exemple, la base de données de l’ECHA contient des données issues d’expériences plus récentes (2011) réalisées conformément à la Ligne directrice 425 de l’OCDE, lors desquelles une D</w:t>
      </w:r>
      <w:r w:rsidR="00177D63">
        <w:rPr>
          <w:lang w:val="fr-FR"/>
        </w:rPr>
        <w:t>L</w:t>
      </w:r>
      <w:r w:rsidRPr="00177D63">
        <w:rPr>
          <w:vertAlign w:val="subscript"/>
          <w:lang w:val="fr-FR"/>
        </w:rPr>
        <w:t>50</w:t>
      </w:r>
      <w:r>
        <w:rPr>
          <w:lang w:val="fr-FR"/>
        </w:rPr>
        <w:t xml:space="preserve"> de 550 mg/kg a été obtenue, ce qui ne permet pas de les classer comme toxiques à l’ingestion selon les critères du 2</w:t>
      </w:r>
      <w:r w:rsidR="00565DAD" w:rsidRPr="00565DAD">
        <w:rPr>
          <w:lang w:val="fr-FR"/>
        </w:rPr>
        <w:t>.</w:t>
      </w:r>
      <w:r>
        <w:rPr>
          <w:lang w:val="fr-FR"/>
        </w:rPr>
        <w:t>6</w:t>
      </w:r>
      <w:r w:rsidR="00565DAD" w:rsidRPr="00565DAD">
        <w:rPr>
          <w:lang w:val="fr-FR"/>
        </w:rPr>
        <w:t>.</w:t>
      </w:r>
      <w:r>
        <w:rPr>
          <w:lang w:val="fr-FR"/>
        </w:rPr>
        <w:t>2</w:t>
      </w:r>
      <w:r w:rsidR="00565DAD" w:rsidRPr="00565DAD">
        <w:rPr>
          <w:lang w:val="fr-FR"/>
        </w:rPr>
        <w:t>.</w:t>
      </w:r>
      <w:r>
        <w:rPr>
          <w:lang w:val="fr-FR"/>
        </w:rPr>
        <w:t>2</w:t>
      </w:r>
      <w:r w:rsidR="00565DAD" w:rsidRPr="00565DAD">
        <w:rPr>
          <w:lang w:val="fr-FR"/>
        </w:rPr>
        <w:t>.</w:t>
      </w:r>
      <w:r>
        <w:rPr>
          <w:lang w:val="fr-FR"/>
        </w:rPr>
        <w:t>4</w:t>
      </w:r>
      <w:r w:rsidR="00565DAD" w:rsidRPr="00565DAD">
        <w:rPr>
          <w:lang w:val="fr-FR"/>
        </w:rPr>
        <w:t>.</w:t>
      </w:r>
      <w:r>
        <w:rPr>
          <w:lang w:val="fr-FR"/>
        </w:rPr>
        <w:t>1 du Règlement type</w:t>
      </w:r>
      <w:r w:rsidR="00565DAD" w:rsidRPr="00565DAD">
        <w:rPr>
          <w:lang w:val="fr-FR"/>
        </w:rPr>
        <w:t>.</w:t>
      </w:r>
    </w:p>
    <w:p w14:paraId="0019F5FB" w14:textId="0640938B" w:rsidR="009B0880" w:rsidRPr="00FE2049" w:rsidRDefault="009B0880" w:rsidP="009B0880">
      <w:pPr>
        <w:pStyle w:val="SingleTxtG"/>
        <w:rPr>
          <w:lang w:val="fr-FR"/>
        </w:rPr>
      </w:pPr>
      <w:r>
        <w:rPr>
          <w:lang w:val="fr-FR"/>
        </w:rPr>
        <w:t>6</w:t>
      </w:r>
      <w:r w:rsidR="00565DAD" w:rsidRPr="00565DAD">
        <w:rPr>
          <w:lang w:val="fr-FR"/>
        </w:rPr>
        <w:t>.</w:t>
      </w:r>
      <w:r>
        <w:rPr>
          <w:lang w:val="fr-FR"/>
        </w:rPr>
        <w:tab/>
        <w:t>En ce qui concerne la toxicité à l’inhalation, le dossier de l’ECHA contient également des résultats d’expériences réalisées à une concentration de 4649 ppm, où aucun des animaux testés n’est mort pendant la période d’observation, ce qui indique que le No ONU 2372 n’est pas toxique à l’inhalation selon les critères du 2</w:t>
      </w:r>
      <w:r w:rsidR="00565DAD" w:rsidRPr="00565DAD">
        <w:rPr>
          <w:lang w:val="fr-FR"/>
        </w:rPr>
        <w:t>.</w:t>
      </w:r>
      <w:r>
        <w:rPr>
          <w:lang w:val="fr-FR"/>
        </w:rPr>
        <w:t>6</w:t>
      </w:r>
      <w:r w:rsidR="00565DAD" w:rsidRPr="00565DAD">
        <w:rPr>
          <w:lang w:val="fr-FR"/>
        </w:rPr>
        <w:t>.</w:t>
      </w:r>
      <w:r>
        <w:rPr>
          <w:lang w:val="fr-FR"/>
        </w:rPr>
        <w:t>2</w:t>
      </w:r>
      <w:r w:rsidR="00565DAD" w:rsidRPr="00565DAD">
        <w:rPr>
          <w:lang w:val="fr-FR"/>
        </w:rPr>
        <w:t>.</w:t>
      </w:r>
      <w:r>
        <w:rPr>
          <w:lang w:val="fr-FR"/>
        </w:rPr>
        <w:t>2</w:t>
      </w:r>
      <w:r w:rsidR="00565DAD" w:rsidRPr="00565DAD">
        <w:rPr>
          <w:lang w:val="fr-FR"/>
        </w:rPr>
        <w:t>.</w:t>
      </w:r>
      <w:r>
        <w:rPr>
          <w:lang w:val="fr-FR"/>
        </w:rPr>
        <w:t>4</w:t>
      </w:r>
      <w:r w:rsidR="00565DAD" w:rsidRPr="00565DAD">
        <w:rPr>
          <w:lang w:val="fr-FR"/>
        </w:rPr>
        <w:t>.</w:t>
      </w:r>
      <w:r>
        <w:rPr>
          <w:lang w:val="fr-FR"/>
        </w:rPr>
        <w:t>3</w:t>
      </w:r>
      <w:r w:rsidR="00565DAD" w:rsidRPr="00565DAD">
        <w:rPr>
          <w:lang w:val="fr-FR"/>
        </w:rPr>
        <w:t>.</w:t>
      </w:r>
    </w:p>
    <w:p w14:paraId="7EFE3FAC" w14:textId="1A7E71BE" w:rsidR="009B0880" w:rsidRPr="00FE2049" w:rsidRDefault="009B0880" w:rsidP="009B0880">
      <w:pPr>
        <w:pStyle w:val="SingleTxtG"/>
        <w:rPr>
          <w:lang w:val="fr-FR"/>
        </w:rPr>
      </w:pPr>
      <w:r>
        <w:rPr>
          <w:lang w:val="fr-FR"/>
        </w:rPr>
        <w:t>7</w:t>
      </w:r>
      <w:r w:rsidR="00565DAD" w:rsidRPr="00565DAD">
        <w:rPr>
          <w:lang w:val="fr-FR"/>
        </w:rPr>
        <w:t>.</w:t>
      </w:r>
      <w:r>
        <w:rPr>
          <w:lang w:val="fr-FR"/>
        </w:rPr>
        <w:tab/>
        <w:t>En outre, pour classer une matière en fonction de sa toxicité à l’inhalation de vapeurs conformément au 2</w:t>
      </w:r>
      <w:r w:rsidR="00565DAD" w:rsidRPr="00565DAD">
        <w:rPr>
          <w:lang w:val="fr-FR"/>
        </w:rPr>
        <w:t>.</w:t>
      </w:r>
      <w:r>
        <w:rPr>
          <w:lang w:val="fr-FR"/>
        </w:rPr>
        <w:t>6</w:t>
      </w:r>
      <w:r w:rsidR="00565DAD" w:rsidRPr="00565DAD">
        <w:rPr>
          <w:lang w:val="fr-FR"/>
        </w:rPr>
        <w:t>.</w:t>
      </w:r>
      <w:r>
        <w:rPr>
          <w:lang w:val="fr-FR"/>
        </w:rPr>
        <w:t>2</w:t>
      </w:r>
      <w:r w:rsidR="00565DAD" w:rsidRPr="00565DAD">
        <w:rPr>
          <w:lang w:val="fr-FR"/>
        </w:rPr>
        <w:t>.</w:t>
      </w:r>
      <w:r>
        <w:rPr>
          <w:lang w:val="fr-FR"/>
        </w:rPr>
        <w:t>2</w:t>
      </w:r>
      <w:r w:rsidR="00565DAD" w:rsidRPr="00565DAD">
        <w:rPr>
          <w:lang w:val="fr-FR"/>
        </w:rPr>
        <w:t>.</w:t>
      </w:r>
      <w:r>
        <w:rPr>
          <w:lang w:val="fr-FR"/>
        </w:rPr>
        <w:t>4</w:t>
      </w:r>
      <w:r w:rsidR="00565DAD" w:rsidRPr="00565DAD">
        <w:rPr>
          <w:lang w:val="fr-FR"/>
        </w:rPr>
        <w:t>.</w:t>
      </w:r>
      <w:r>
        <w:rPr>
          <w:lang w:val="fr-FR"/>
        </w:rPr>
        <w:t>3, la concentration de vapeur (ou volatilité) saturée doit également être prise en compte</w:t>
      </w:r>
      <w:r w:rsidR="00565DAD" w:rsidRPr="00565DAD">
        <w:rPr>
          <w:lang w:val="fr-FR"/>
        </w:rPr>
        <w:t>.</w:t>
      </w:r>
      <w:r>
        <w:rPr>
          <w:lang w:val="fr-FR"/>
        </w:rPr>
        <w:t xml:space="preserve"> Cependant, aucune des bases de données consultées ne contient de données sur la volatilité du No ONU 2372</w:t>
      </w:r>
      <w:r w:rsidR="00565DAD" w:rsidRPr="00565DAD">
        <w:rPr>
          <w:lang w:val="fr-FR"/>
        </w:rPr>
        <w:t>.</w:t>
      </w:r>
      <w:r>
        <w:rPr>
          <w:lang w:val="fr-FR"/>
        </w:rPr>
        <w:t xml:space="preserve"> Ainsi, compte tenu des données disponibles, il n’est pas possible de déterminer si le No ONU 2372 est classé comme matière toxique sur la base de la toxicité à l’inhalation de ses vapeurs</w:t>
      </w:r>
      <w:r w:rsidR="00565DAD" w:rsidRPr="00565DAD">
        <w:rPr>
          <w:lang w:val="fr-FR"/>
        </w:rPr>
        <w:t>.</w:t>
      </w:r>
    </w:p>
    <w:p w14:paraId="7ADDB11A" w14:textId="6DB065E8" w:rsidR="009B0880" w:rsidRPr="00FE2049" w:rsidRDefault="009B0880" w:rsidP="009B0880">
      <w:pPr>
        <w:pStyle w:val="SingleTxtG"/>
        <w:rPr>
          <w:lang w:val="fr-FR"/>
        </w:rPr>
      </w:pPr>
      <w:r>
        <w:rPr>
          <w:lang w:val="fr-FR"/>
        </w:rPr>
        <w:t>8</w:t>
      </w:r>
      <w:r w:rsidR="00565DAD" w:rsidRPr="00565DAD">
        <w:rPr>
          <w:lang w:val="fr-FR"/>
        </w:rPr>
        <w:t>.</w:t>
      </w:r>
      <w:r>
        <w:rPr>
          <w:lang w:val="fr-FR"/>
        </w:rPr>
        <w:tab/>
        <w:t>En outre, l’attribution de la toxicité en tant que danger subsidiaire supplémentaire n’entraînerait pas de modification supplémentaire des conditions de transport, outre le remplacement de l’instruction de transport en citernes mobiles T4 par T7, comme il est proposé dans le document informel INF</w:t>
      </w:r>
      <w:r w:rsidR="00565DAD" w:rsidRPr="00565DAD">
        <w:rPr>
          <w:lang w:val="fr-FR"/>
        </w:rPr>
        <w:t>.</w:t>
      </w:r>
      <w:r>
        <w:rPr>
          <w:lang w:val="fr-FR"/>
        </w:rPr>
        <w:t>18 de la soixante-deuxième session</w:t>
      </w:r>
      <w:r w:rsidR="00565DAD" w:rsidRPr="00565DAD">
        <w:rPr>
          <w:lang w:val="fr-FR"/>
        </w:rPr>
        <w:t>.</w:t>
      </w:r>
    </w:p>
    <w:p w14:paraId="25E03798" w14:textId="04A799C4" w:rsidR="009B0880" w:rsidRPr="00FE2049" w:rsidRDefault="009B0880" w:rsidP="009B0880">
      <w:pPr>
        <w:pStyle w:val="SingleTxtG"/>
        <w:rPr>
          <w:lang w:val="fr-FR"/>
        </w:rPr>
      </w:pPr>
      <w:r>
        <w:rPr>
          <w:lang w:val="fr-FR"/>
        </w:rPr>
        <w:t>9</w:t>
      </w:r>
      <w:r w:rsidR="00565DAD" w:rsidRPr="00565DAD">
        <w:rPr>
          <w:lang w:val="fr-FR"/>
        </w:rPr>
        <w:t>.</w:t>
      </w:r>
      <w:r>
        <w:rPr>
          <w:lang w:val="fr-FR"/>
        </w:rPr>
        <w:tab/>
        <w:t>Ainsi, dans le présent document, les mêmes amendements que ceux qui figurent dans le document informel INF</w:t>
      </w:r>
      <w:r w:rsidR="00565DAD" w:rsidRPr="00565DAD">
        <w:rPr>
          <w:lang w:val="fr-FR"/>
        </w:rPr>
        <w:t>.</w:t>
      </w:r>
      <w:r>
        <w:rPr>
          <w:lang w:val="fr-FR"/>
        </w:rPr>
        <w:t>18 de la soixante-deuxième session</w:t>
      </w:r>
      <w:r w:rsidR="00177D63">
        <w:rPr>
          <w:lang w:val="fr-FR"/>
        </w:rPr>
        <w:t xml:space="preserve"> </w:t>
      </w:r>
      <w:r>
        <w:rPr>
          <w:lang w:val="fr-FR"/>
        </w:rPr>
        <w:t>sont proposés :</w:t>
      </w:r>
    </w:p>
    <w:p w14:paraId="25C19385" w14:textId="53A43C2F" w:rsidR="009B0880" w:rsidRPr="00FE2049" w:rsidRDefault="0091077E" w:rsidP="0091077E">
      <w:pPr>
        <w:pStyle w:val="SingleTxtG"/>
        <w:rPr>
          <w:lang w:val="fr-FR"/>
        </w:rPr>
      </w:pPr>
      <w:r>
        <w:rPr>
          <w:lang w:val="fr-FR"/>
        </w:rPr>
        <w:tab/>
      </w:r>
      <w:r w:rsidR="009B0880">
        <w:rPr>
          <w:lang w:val="fr-FR"/>
        </w:rPr>
        <w:t>a)</w:t>
      </w:r>
      <w:r w:rsidR="009B0880">
        <w:rPr>
          <w:lang w:val="fr-FR"/>
        </w:rPr>
        <w:tab/>
        <w:t>Affectation de la corrosivité en tant que danger secondaire dans la colonne 4 de la Liste des marchandises dangereuses ;</w:t>
      </w:r>
    </w:p>
    <w:p w14:paraId="0E450BDE" w14:textId="406E697D" w:rsidR="009B0880" w:rsidRPr="00FE2049" w:rsidRDefault="0091077E" w:rsidP="0091077E">
      <w:pPr>
        <w:pStyle w:val="SingleTxtG"/>
        <w:rPr>
          <w:lang w:val="fr-FR"/>
        </w:rPr>
      </w:pPr>
      <w:r>
        <w:rPr>
          <w:lang w:val="fr-FR"/>
        </w:rPr>
        <w:tab/>
      </w:r>
      <w:r w:rsidR="009B0880">
        <w:rPr>
          <w:lang w:val="fr-FR"/>
        </w:rPr>
        <w:t>b)</w:t>
      </w:r>
      <w:r w:rsidR="009B0880">
        <w:rPr>
          <w:lang w:val="fr-FR"/>
        </w:rPr>
        <w:tab/>
        <w:t>Modification du code T de transport en citernes mobiles, T4 étant remplacé par</w:t>
      </w:r>
      <w:r>
        <w:rPr>
          <w:lang w:val="fr-FR"/>
        </w:rPr>
        <w:t> </w:t>
      </w:r>
      <w:r w:rsidR="009B0880">
        <w:rPr>
          <w:lang w:val="fr-FR"/>
        </w:rPr>
        <w:t>T7</w:t>
      </w:r>
      <w:r w:rsidR="00565DAD" w:rsidRPr="00565DAD">
        <w:rPr>
          <w:lang w:val="fr-FR"/>
        </w:rPr>
        <w:t>.</w:t>
      </w:r>
    </w:p>
    <w:p w14:paraId="09E5001F" w14:textId="67E1399D" w:rsidR="009B0880" w:rsidRPr="00FE2049" w:rsidRDefault="009B0880" w:rsidP="009B0880">
      <w:pPr>
        <w:pStyle w:val="SingleTxtG"/>
        <w:rPr>
          <w:lang w:val="fr-FR"/>
        </w:rPr>
      </w:pPr>
      <w:r>
        <w:rPr>
          <w:lang w:val="fr-FR"/>
        </w:rPr>
        <w:t>10</w:t>
      </w:r>
      <w:r w:rsidR="00565DAD" w:rsidRPr="00565DAD">
        <w:rPr>
          <w:lang w:val="fr-FR"/>
        </w:rPr>
        <w:t>.</w:t>
      </w:r>
      <w:r>
        <w:rPr>
          <w:lang w:val="fr-FR"/>
        </w:rPr>
        <w:tab/>
        <w:t>Compte tenu du fait que la Belgique n’a pas connaissance d’incidents qui nécessiteraient un passage rapide à des conditions de transport plus strictes, il semble raisonnable de prévoir une période de transition</w:t>
      </w:r>
      <w:r w:rsidR="00565DAD" w:rsidRPr="00565DAD">
        <w:rPr>
          <w:lang w:val="fr-FR"/>
        </w:rPr>
        <w:t>.</w:t>
      </w:r>
    </w:p>
    <w:p w14:paraId="314248C7" w14:textId="3E86E1E8" w:rsidR="009B0880" w:rsidRPr="00FE2049" w:rsidRDefault="00D04A8C" w:rsidP="00D04A8C">
      <w:pPr>
        <w:pStyle w:val="HChG"/>
        <w:rPr>
          <w:lang w:val="fr-FR"/>
        </w:rPr>
      </w:pPr>
      <w:r>
        <w:rPr>
          <w:lang w:val="fr-FR"/>
        </w:rPr>
        <w:tab/>
      </w:r>
      <w:r w:rsidR="009B0880">
        <w:rPr>
          <w:lang w:val="fr-FR"/>
        </w:rPr>
        <w:t>II</w:t>
      </w:r>
      <w:r w:rsidR="00565DAD" w:rsidRPr="00565DAD">
        <w:rPr>
          <w:lang w:val="fr-FR"/>
        </w:rPr>
        <w:t>.</w:t>
      </w:r>
      <w:r w:rsidR="009B0880">
        <w:rPr>
          <w:lang w:val="fr-FR"/>
        </w:rPr>
        <w:tab/>
        <w:t>Propositions</w:t>
      </w:r>
    </w:p>
    <w:p w14:paraId="56EED7E1" w14:textId="15B35E82" w:rsidR="009B0880" w:rsidRPr="00FE2049" w:rsidRDefault="00D04A8C" w:rsidP="00D04A8C">
      <w:pPr>
        <w:pStyle w:val="H1G"/>
        <w:rPr>
          <w:lang w:val="fr-FR"/>
        </w:rPr>
      </w:pPr>
      <w:r>
        <w:rPr>
          <w:lang w:val="fr-FR"/>
        </w:rPr>
        <w:tab/>
      </w:r>
      <w:r w:rsidR="009B0880">
        <w:rPr>
          <w:lang w:val="fr-FR"/>
        </w:rPr>
        <w:t>A</w:t>
      </w:r>
      <w:r w:rsidR="00565DAD" w:rsidRPr="00565DAD">
        <w:rPr>
          <w:lang w:val="fr-FR"/>
        </w:rPr>
        <w:t>.</w:t>
      </w:r>
      <w:r w:rsidR="009B0880">
        <w:rPr>
          <w:lang w:val="fr-FR"/>
        </w:rPr>
        <w:tab/>
        <w:t>Proposition 1</w:t>
      </w:r>
    </w:p>
    <w:p w14:paraId="23DCA78F" w14:textId="5731B4AE" w:rsidR="009B0880" w:rsidRPr="00FE2049" w:rsidRDefault="009B0880" w:rsidP="009B0880">
      <w:pPr>
        <w:pStyle w:val="SingleTxtG"/>
        <w:rPr>
          <w:lang w:val="fr-FR"/>
        </w:rPr>
      </w:pPr>
      <w:r>
        <w:rPr>
          <w:lang w:val="fr-FR"/>
        </w:rPr>
        <w:t>11</w:t>
      </w:r>
      <w:r w:rsidR="00565DAD" w:rsidRPr="00565DAD">
        <w:rPr>
          <w:lang w:val="fr-FR"/>
        </w:rPr>
        <w:t>.</w:t>
      </w:r>
      <w:r>
        <w:rPr>
          <w:lang w:val="fr-FR"/>
        </w:rPr>
        <w:tab/>
        <w:t xml:space="preserve">Modifier le No ONU 2372 comme suit (les suppressions sont en caractères </w:t>
      </w:r>
      <w:r w:rsidRPr="00CD6332">
        <w:rPr>
          <w:strike/>
          <w:lang w:val="fr-FR"/>
        </w:rPr>
        <w:t>biffés</w:t>
      </w:r>
      <w:r>
        <w:rPr>
          <w:lang w:val="fr-FR"/>
        </w:rPr>
        <w:t xml:space="preserve">, les ajouts, en caractères </w:t>
      </w:r>
      <w:r w:rsidRPr="00CD6332">
        <w:rPr>
          <w:b/>
          <w:bCs/>
          <w:u w:val="single"/>
          <w:lang w:val="fr-FR"/>
        </w:rPr>
        <w:t>gras soulignés</w:t>
      </w:r>
      <w:r>
        <w:rPr>
          <w:lang w:val="fr-FR"/>
        </w:rPr>
        <w:t>)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3403"/>
        <w:gridCol w:w="566"/>
        <w:gridCol w:w="566"/>
        <w:gridCol w:w="568"/>
        <w:gridCol w:w="566"/>
        <w:gridCol w:w="566"/>
        <w:gridCol w:w="568"/>
        <w:gridCol w:w="711"/>
        <w:gridCol w:w="566"/>
        <w:gridCol w:w="426"/>
        <w:gridCol w:w="412"/>
      </w:tblGrid>
      <w:tr w:rsidR="009B0880" w:rsidRPr="0091077E" w14:paraId="649FE50A" w14:textId="77777777" w:rsidTr="00D04A8C">
        <w:trPr>
          <w:trHeight w:val="360"/>
        </w:trPr>
        <w:tc>
          <w:tcPr>
            <w:tcW w:w="369" w:type="pct"/>
            <w:shd w:val="clear" w:color="auto" w:fill="auto"/>
            <w:vAlign w:val="center"/>
          </w:tcPr>
          <w:p w14:paraId="6314E41A" w14:textId="77777777" w:rsidR="009B0880" w:rsidRPr="0091077E" w:rsidRDefault="009B0880" w:rsidP="00D04A8C">
            <w:pPr>
              <w:pStyle w:val="SingleTxtG"/>
              <w:tabs>
                <w:tab w:val="left" w:pos="1269"/>
              </w:tabs>
              <w:spacing w:before="60" w:after="60" w:line="220" w:lineRule="atLeast"/>
              <w:ind w:left="57" w:right="57"/>
              <w:jc w:val="center"/>
              <w:rPr>
                <w:rFonts w:asciiTheme="majorBidi" w:hAnsiTheme="majorBidi" w:cstheme="majorBidi"/>
                <w:sz w:val="16"/>
                <w:szCs w:val="16"/>
              </w:rPr>
            </w:pPr>
            <w:r w:rsidRPr="0091077E">
              <w:rPr>
                <w:b/>
                <w:bCs/>
                <w:sz w:val="16"/>
                <w:szCs w:val="16"/>
                <w:lang w:val="fr-FR"/>
              </w:rPr>
              <w:t>(1)</w:t>
            </w:r>
          </w:p>
        </w:tc>
        <w:tc>
          <w:tcPr>
            <w:tcW w:w="1767" w:type="pct"/>
            <w:shd w:val="clear" w:color="auto" w:fill="auto"/>
            <w:vAlign w:val="center"/>
          </w:tcPr>
          <w:p w14:paraId="337F9A67"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(2)</w:t>
            </w:r>
          </w:p>
        </w:tc>
        <w:tc>
          <w:tcPr>
            <w:tcW w:w="294" w:type="pct"/>
            <w:vAlign w:val="center"/>
          </w:tcPr>
          <w:p w14:paraId="41533CE8"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(3)</w:t>
            </w:r>
          </w:p>
        </w:tc>
        <w:tc>
          <w:tcPr>
            <w:tcW w:w="294" w:type="pct"/>
            <w:shd w:val="clear" w:color="auto" w:fill="auto"/>
            <w:vAlign w:val="center"/>
          </w:tcPr>
          <w:p w14:paraId="315461CE"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(4)</w:t>
            </w:r>
          </w:p>
        </w:tc>
        <w:tc>
          <w:tcPr>
            <w:tcW w:w="295" w:type="pct"/>
            <w:shd w:val="clear" w:color="auto" w:fill="auto"/>
            <w:vAlign w:val="center"/>
          </w:tcPr>
          <w:p w14:paraId="0D38E74B"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(5)</w:t>
            </w:r>
          </w:p>
        </w:tc>
        <w:tc>
          <w:tcPr>
            <w:tcW w:w="294" w:type="pct"/>
            <w:shd w:val="clear" w:color="auto" w:fill="auto"/>
            <w:vAlign w:val="center"/>
          </w:tcPr>
          <w:p w14:paraId="5B0DD859"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(6)</w:t>
            </w:r>
          </w:p>
        </w:tc>
        <w:tc>
          <w:tcPr>
            <w:tcW w:w="294" w:type="pct"/>
            <w:shd w:val="clear" w:color="auto" w:fill="auto"/>
            <w:vAlign w:val="center"/>
          </w:tcPr>
          <w:p w14:paraId="3D31BFB3"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(7a)</w:t>
            </w:r>
          </w:p>
        </w:tc>
        <w:tc>
          <w:tcPr>
            <w:tcW w:w="295" w:type="pct"/>
            <w:vAlign w:val="center"/>
          </w:tcPr>
          <w:p w14:paraId="3894090C"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(7b)</w:t>
            </w:r>
          </w:p>
        </w:tc>
        <w:tc>
          <w:tcPr>
            <w:tcW w:w="369" w:type="pct"/>
            <w:vAlign w:val="center"/>
          </w:tcPr>
          <w:p w14:paraId="222BF517" w14:textId="77777777" w:rsidR="009B0880" w:rsidRPr="0091077E" w:rsidRDefault="009B0880" w:rsidP="00D04A8C">
            <w:pPr>
              <w:pStyle w:val="SingleTxtG"/>
              <w:spacing w:before="60" w:after="60" w:line="220" w:lineRule="atLeast"/>
              <w:ind w:left="57" w:right="57"/>
              <w:jc w:val="center"/>
              <w:rPr>
                <w:rFonts w:eastAsia="Times New Roman"/>
                <w:b/>
                <w:bCs/>
                <w:sz w:val="16"/>
                <w:szCs w:val="16"/>
              </w:rPr>
            </w:pPr>
            <w:r w:rsidRPr="0091077E">
              <w:rPr>
                <w:b/>
                <w:bCs/>
                <w:sz w:val="16"/>
                <w:szCs w:val="16"/>
                <w:lang w:val="fr-FR"/>
              </w:rPr>
              <w:t>(8)</w:t>
            </w:r>
          </w:p>
        </w:tc>
        <w:tc>
          <w:tcPr>
            <w:tcW w:w="294" w:type="pct"/>
            <w:vAlign w:val="center"/>
          </w:tcPr>
          <w:p w14:paraId="0B664422"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(9)</w:t>
            </w:r>
          </w:p>
        </w:tc>
        <w:tc>
          <w:tcPr>
            <w:tcW w:w="221" w:type="pct"/>
            <w:vAlign w:val="center"/>
          </w:tcPr>
          <w:p w14:paraId="6D50787B"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(10)</w:t>
            </w:r>
          </w:p>
        </w:tc>
        <w:tc>
          <w:tcPr>
            <w:tcW w:w="214" w:type="pct"/>
            <w:shd w:val="clear" w:color="auto" w:fill="auto"/>
            <w:vAlign w:val="center"/>
          </w:tcPr>
          <w:p w14:paraId="432B065D"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6"/>
                <w:szCs w:val="16"/>
              </w:rPr>
            </w:pPr>
            <w:r w:rsidRPr="0091077E">
              <w:rPr>
                <w:b/>
                <w:bCs/>
                <w:sz w:val="16"/>
                <w:szCs w:val="16"/>
                <w:lang w:val="fr-FR"/>
              </w:rPr>
              <w:t>(11)</w:t>
            </w:r>
          </w:p>
        </w:tc>
      </w:tr>
      <w:tr w:rsidR="009B0880" w:rsidRPr="0091077E" w14:paraId="7A97DA3D" w14:textId="77777777" w:rsidTr="00D04A8C">
        <w:trPr>
          <w:trHeight w:val="360"/>
        </w:trPr>
        <w:tc>
          <w:tcPr>
            <w:tcW w:w="369" w:type="pct"/>
            <w:shd w:val="clear" w:color="auto" w:fill="auto"/>
          </w:tcPr>
          <w:p w14:paraId="6522A6DE" w14:textId="77777777" w:rsidR="009B0880" w:rsidRPr="0091077E" w:rsidRDefault="009B0880" w:rsidP="00D04A8C">
            <w:pPr>
              <w:pStyle w:val="SingleTxtG"/>
              <w:tabs>
                <w:tab w:val="left" w:pos="1269"/>
              </w:tabs>
              <w:spacing w:before="60" w:after="60" w:line="220" w:lineRule="atLeast"/>
              <w:ind w:left="57" w:right="57"/>
              <w:jc w:val="center"/>
              <w:rPr>
                <w:rFonts w:asciiTheme="majorBidi" w:hAnsiTheme="majorBidi" w:cstheme="majorBidi"/>
                <w:sz w:val="18"/>
                <w:szCs w:val="18"/>
              </w:rPr>
            </w:pPr>
            <w:r w:rsidRPr="0091077E">
              <w:rPr>
                <w:sz w:val="18"/>
                <w:szCs w:val="18"/>
                <w:lang w:val="fr-FR"/>
              </w:rPr>
              <w:t>2372</w:t>
            </w:r>
          </w:p>
        </w:tc>
        <w:tc>
          <w:tcPr>
            <w:tcW w:w="1767" w:type="pct"/>
            <w:shd w:val="clear" w:color="auto" w:fill="auto"/>
          </w:tcPr>
          <w:p w14:paraId="7D68849C" w14:textId="77777777" w:rsidR="009B0880" w:rsidRPr="0091077E" w:rsidRDefault="009B0880" w:rsidP="00D04A8C">
            <w:pPr>
              <w:pStyle w:val="SingleTxtG"/>
              <w:spacing w:before="60" w:after="60" w:line="220" w:lineRule="atLeast"/>
              <w:ind w:left="57" w:right="57"/>
              <w:jc w:val="left"/>
              <w:rPr>
                <w:rFonts w:asciiTheme="majorBidi" w:hAnsiTheme="majorBidi" w:cstheme="majorBidi"/>
                <w:sz w:val="18"/>
                <w:szCs w:val="18"/>
              </w:rPr>
            </w:pPr>
            <w:r w:rsidRPr="0091077E">
              <w:rPr>
                <w:sz w:val="18"/>
                <w:szCs w:val="18"/>
                <w:lang w:val="fr-FR"/>
              </w:rPr>
              <w:t>BIS (DIMÉTHYLAMINO)-1,2 ÉTHANE</w:t>
            </w:r>
          </w:p>
        </w:tc>
        <w:tc>
          <w:tcPr>
            <w:tcW w:w="294" w:type="pct"/>
          </w:tcPr>
          <w:p w14:paraId="2DB45F71"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r w:rsidRPr="0091077E">
              <w:rPr>
                <w:sz w:val="18"/>
                <w:szCs w:val="18"/>
                <w:lang w:val="fr-FR"/>
              </w:rPr>
              <w:t>3</w:t>
            </w:r>
          </w:p>
        </w:tc>
        <w:tc>
          <w:tcPr>
            <w:tcW w:w="294" w:type="pct"/>
            <w:shd w:val="clear" w:color="auto" w:fill="auto"/>
          </w:tcPr>
          <w:p w14:paraId="7BBE34CF"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b/>
                <w:bCs/>
                <w:sz w:val="18"/>
                <w:szCs w:val="18"/>
                <w:u w:val="single"/>
              </w:rPr>
            </w:pPr>
            <w:r w:rsidRPr="0091077E">
              <w:rPr>
                <w:b/>
                <w:bCs/>
                <w:sz w:val="18"/>
                <w:szCs w:val="18"/>
                <w:u w:val="single"/>
                <w:lang w:val="fr-FR"/>
              </w:rPr>
              <w:t>8</w:t>
            </w:r>
          </w:p>
        </w:tc>
        <w:tc>
          <w:tcPr>
            <w:tcW w:w="295" w:type="pct"/>
            <w:shd w:val="clear" w:color="auto" w:fill="auto"/>
          </w:tcPr>
          <w:p w14:paraId="4AFCE355"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r w:rsidRPr="0091077E">
              <w:rPr>
                <w:sz w:val="18"/>
                <w:szCs w:val="18"/>
                <w:lang w:val="fr-FR"/>
              </w:rPr>
              <w:t>II</w:t>
            </w:r>
          </w:p>
        </w:tc>
        <w:tc>
          <w:tcPr>
            <w:tcW w:w="294" w:type="pct"/>
            <w:shd w:val="clear" w:color="auto" w:fill="auto"/>
          </w:tcPr>
          <w:p w14:paraId="62AA10B7" w14:textId="77777777" w:rsidR="009B0880" w:rsidRPr="0091077E" w:rsidRDefault="009B0880" w:rsidP="00D04A8C">
            <w:pPr>
              <w:keepNext/>
              <w:spacing w:before="60" w:after="60" w:line="220" w:lineRule="atLeast"/>
              <w:ind w:left="57" w:right="57"/>
              <w:jc w:val="center"/>
              <w:rPr>
                <w:rFonts w:asciiTheme="majorBidi" w:hAnsiTheme="majorBidi" w:cstheme="majorBidi"/>
                <w:sz w:val="18"/>
                <w:szCs w:val="18"/>
              </w:rPr>
            </w:pPr>
          </w:p>
        </w:tc>
        <w:tc>
          <w:tcPr>
            <w:tcW w:w="294" w:type="pct"/>
            <w:shd w:val="clear" w:color="auto" w:fill="auto"/>
          </w:tcPr>
          <w:p w14:paraId="31501858"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r w:rsidRPr="0091077E">
              <w:rPr>
                <w:sz w:val="18"/>
                <w:szCs w:val="18"/>
                <w:lang w:val="fr-FR"/>
              </w:rPr>
              <w:t>1L</w:t>
            </w:r>
          </w:p>
        </w:tc>
        <w:tc>
          <w:tcPr>
            <w:tcW w:w="295" w:type="pct"/>
          </w:tcPr>
          <w:p w14:paraId="68C2B5F8"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r w:rsidRPr="0091077E">
              <w:rPr>
                <w:sz w:val="18"/>
                <w:szCs w:val="18"/>
                <w:lang w:val="fr-FR"/>
              </w:rPr>
              <w:t>E2</w:t>
            </w:r>
          </w:p>
        </w:tc>
        <w:tc>
          <w:tcPr>
            <w:tcW w:w="369" w:type="pct"/>
          </w:tcPr>
          <w:p w14:paraId="10CBC84F" w14:textId="77777777" w:rsidR="009B0880" w:rsidRPr="0091077E" w:rsidRDefault="009B0880" w:rsidP="00D04A8C">
            <w:pPr>
              <w:spacing w:before="60" w:after="60" w:line="220" w:lineRule="atLeast"/>
              <w:ind w:left="57" w:right="57"/>
              <w:jc w:val="center"/>
              <w:rPr>
                <w:rFonts w:asciiTheme="majorBidi" w:hAnsiTheme="majorBidi" w:cstheme="majorBidi"/>
                <w:sz w:val="18"/>
                <w:szCs w:val="18"/>
              </w:rPr>
            </w:pPr>
            <w:r w:rsidRPr="0091077E">
              <w:rPr>
                <w:sz w:val="18"/>
                <w:szCs w:val="18"/>
                <w:lang w:val="fr-FR"/>
              </w:rPr>
              <w:t>P001 IBC02</w:t>
            </w:r>
          </w:p>
        </w:tc>
        <w:tc>
          <w:tcPr>
            <w:tcW w:w="294" w:type="pct"/>
          </w:tcPr>
          <w:p w14:paraId="74D030AC"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p>
        </w:tc>
        <w:tc>
          <w:tcPr>
            <w:tcW w:w="221" w:type="pct"/>
          </w:tcPr>
          <w:p w14:paraId="71E83C9A"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b/>
                <w:bCs/>
                <w:sz w:val="18"/>
                <w:szCs w:val="18"/>
              </w:rPr>
            </w:pPr>
            <w:r w:rsidRPr="0091077E">
              <w:rPr>
                <w:strike/>
                <w:sz w:val="18"/>
                <w:szCs w:val="18"/>
                <w:lang w:val="fr-FR"/>
              </w:rPr>
              <w:t>T4</w:t>
            </w:r>
            <w:r w:rsidRPr="0091077E">
              <w:rPr>
                <w:b/>
                <w:bCs/>
                <w:sz w:val="18"/>
                <w:szCs w:val="18"/>
                <w:lang w:val="fr-FR"/>
              </w:rPr>
              <w:t xml:space="preserve"> T7</w:t>
            </w:r>
          </w:p>
        </w:tc>
        <w:tc>
          <w:tcPr>
            <w:tcW w:w="214" w:type="pct"/>
            <w:shd w:val="clear" w:color="auto" w:fill="auto"/>
          </w:tcPr>
          <w:p w14:paraId="7569E58A" w14:textId="77777777" w:rsidR="009B0880" w:rsidRPr="0091077E" w:rsidRDefault="009B0880" w:rsidP="00D04A8C">
            <w:pPr>
              <w:pStyle w:val="SingleTxtG"/>
              <w:spacing w:before="60" w:after="60" w:line="220" w:lineRule="atLeast"/>
              <w:ind w:left="57" w:right="57"/>
              <w:jc w:val="center"/>
              <w:rPr>
                <w:rFonts w:asciiTheme="majorBidi" w:hAnsiTheme="majorBidi" w:cstheme="majorBidi"/>
                <w:sz w:val="18"/>
                <w:szCs w:val="18"/>
              </w:rPr>
            </w:pPr>
            <w:r w:rsidRPr="0091077E">
              <w:rPr>
                <w:sz w:val="18"/>
                <w:szCs w:val="18"/>
                <w:lang w:val="fr-FR"/>
              </w:rPr>
              <w:t>TP1</w:t>
            </w:r>
          </w:p>
        </w:tc>
      </w:tr>
    </w:tbl>
    <w:p w14:paraId="2E9C40C9" w14:textId="33B86C7B" w:rsidR="009B0880" w:rsidRPr="008B4DAD" w:rsidRDefault="00D04A8C" w:rsidP="00D04A8C">
      <w:pPr>
        <w:pStyle w:val="H1G"/>
        <w:rPr>
          <w:lang w:val="fr-FR"/>
        </w:rPr>
      </w:pPr>
      <w:r>
        <w:rPr>
          <w:lang w:val="fr-FR"/>
        </w:rPr>
        <w:lastRenderedPageBreak/>
        <w:tab/>
      </w:r>
      <w:r w:rsidR="009B0880">
        <w:rPr>
          <w:lang w:val="fr-FR"/>
        </w:rPr>
        <w:t>B</w:t>
      </w:r>
      <w:r w:rsidR="00565DAD" w:rsidRPr="00565DAD">
        <w:rPr>
          <w:lang w:val="fr-FR"/>
        </w:rPr>
        <w:t>.</w:t>
      </w:r>
      <w:r w:rsidR="009B0880">
        <w:rPr>
          <w:lang w:val="fr-FR"/>
        </w:rPr>
        <w:tab/>
        <w:t>Proposition 2</w:t>
      </w:r>
    </w:p>
    <w:p w14:paraId="3B6E24C7" w14:textId="1F84EB71" w:rsidR="009B0880" w:rsidRPr="00FE2049" w:rsidRDefault="009B0880" w:rsidP="009B0880">
      <w:pPr>
        <w:pStyle w:val="SingleTxtG"/>
        <w:rPr>
          <w:lang w:val="fr-FR"/>
        </w:rPr>
      </w:pPr>
      <w:r>
        <w:rPr>
          <w:lang w:val="fr-FR"/>
        </w:rPr>
        <w:t>12</w:t>
      </w:r>
      <w:r w:rsidR="00565DAD" w:rsidRPr="00565DAD">
        <w:rPr>
          <w:lang w:val="fr-FR"/>
        </w:rPr>
        <w:t>.</w:t>
      </w:r>
      <w:r>
        <w:rPr>
          <w:lang w:val="fr-FR"/>
        </w:rPr>
        <w:tab/>
        <w:t>Ajouter la mesure transitoire suivante</w:t>
      </w:r>
      <w:r w:rsidR="00177D63">
        <w:rPr>
          <w:lang w:val="fr-FR"/>
        </w:rPr>
        <w:t xml:space="preserve"> </w:t>
      </w:r>
      <w:r>
        <w:rPr>
          <w:lang w:val="fr-FR"/>
        </w:rPr>
        <w:t>au 4</w:t>
      </w:r>
      <w:r w:rsidR="00565DAD" w:rsidRPr="00565DAD">
        <w:rPr>
          <w:lang w:val="fr-FR"/>
        </w:rPr>
        <w:t>.</w:t>
      </w:r>
      <w:r>
        <w:rPr>
          <w:lang w:val="fr-FR"/>
        </w:rPr>
        <w:t>2</w:t>
      </w:r>
      <w:r w:rsidR="00565DAD" w:rsidRPr="00565DAD">
        <w:rPr>
          <w:lang w:val="fr-FR"/>
        </w:rPr>
        <w:t>.</w:t>
      </w:r>
      <w:r>
        <w:rPr>
          <w:lang w:val="fr-FR"/>
        </w:rPr>
        <w:t>6 du Règlement type :</w:t>
      </w:r>
    </w:p>
    <w:p w14:paraId="0B85C442" w14:textId="15AED176" w:rsidR="009B0880" w:rsidRPr="00FE2049" w:rsidRDefault="009B0880" w:rsidP="009B0880">
      <w:pPr>
        <w:pStyle w:val="SingleTxtG"/>
        <w:rPr>
          <w:lang w:val="fr-FR"/>
        </w:rPr>
      </w:pPr>
      <w:r>
        <w:rPr>
          <w:lang w:val="fr-FR"/>
        </w:rPr>
        <w:t>« Jusqu’au 31</w:t>
      </w:r>
      <w:r w:rsidR="0091077E">
        <w:rPr>
          <w:lang w:val="fr-FR"/>
        </w:rPr>
        <w:t> </w:t>
      </w:r>
      <w:r>
        <w:rPr>
          <w:lang w:val="fr-FR"/>
        </w:rPr>
        <w:t>décembre 2028, les citernes mobiles auxquelles le code-citerne T4 a été affectés peuvent être utilisées pour le transport du No</w:t>
      </w:r>
      <w:r>
        <w:rPr>
          <w:lang w:val="fr-FR"/>
        </w:rPr>
        <w:t> </w:t>
      </w:r>
      <w:r>
        <w:rPr>
          <w:lang w:val="fr-FR"/>
        </w:rPr>
        <w:t>ONU</w:t>
      </w:r>
      <w:r>
        <w:rPr>
          <w:lang w:val="fr-FR"/>
        </w:rPr>
        <w:t> </w:t>
      </w:r>
      <w:r>
        <w:rPr>
          <w:lang w:val="fr-FR"/>
        </w:rPr>
        <w:t>2372</w:t>
      </w:r>
      <w:r>
        <w:rPr>
          <w:lang w:val="fr-FR"/>
        </w:rPr>
        <w:t> </w:t>
      </w:r>
      <w:r>
        <w:rPr>
          <w:lang w:val="fr-FR"/>
        </w:rPr>
        <w:t>BIS (DIMÉTHYLAMINO)-1,2 ÉTHANE</w:t>
      </w:r>
      <w:r w:rsidR="00565DAD" w:rsidRPr="00565DAD">
        <w:rPr>
          <w:lang w:val="fr-FR"/>
        </w:rPr>
        <w:t>.</w:t>
      </w:r>
      <w:r>
        <w:rPr>
          <w:lang w:val="fr-FR"/>
        </w:rPr>
        <w:t> »</w:t>
      </w:r>
      <w:r w:rsidR="00D04A8C">
        <w:rPr>
          <w:lang w:val="fr-FR"/>
        </w:rPr>
        <w:t>.</w:t>
      </w:r>
    </w:p>
    <w:p w14:paraId="25C6C2EA" w14:textId="7EBD0370" w:rsidR="009B0880" w:rsidRPr="00FE2049" w:rsidRDefault="009B0880" w:rsidP="009B0880">
      <w:pPr>
        <w:pStyle w:val="HChG"/>
        <w:rPr>
          <w:lang w:val="fr-FR"/>
        </w:rPr>
      </w:pPr>
      <w:r>
        <w:rPr>
          <w:lang w:val="fr-FR"/>
        </w:rPr>
        <w:tab/>
      </w:r>
      <w:r>
        <w:rPr>
          <w:lang w:val="fr-FR"/>
        </w:rPr>
        <w:t>III</w:t>
      </w:r>
      <w:r w:rsidR="00565DAD" w:rsidRPr="00565DAD">
        <w:rPr>
          <w:lang w:val="fr-FR"/>
        </w:rPr>
        <w:t>.</w:t>
      </w:r>
      <w:r>
        <w:rPr>
          <w:lang w:val="fr-FR"/>
        </w:rPr>
        <w:tab/>
        <w:t>Objectifs de développement durable</w:t>
      </w:r>
    </w:p>
    <w:p w14:paraId="332D24F6" w14:textId="523CC8AC" w:rsidR="00D04A8C" w:rsidRDefault="009B0880" w:rsidP="009B0880">
      <w:pPr>
        <w:pStyle w:val="SingleTxtG"/>
        <w:rPr>
          <w:lang w:val="fr-FR"/>
        </w:rPr>
        <w:sectPr w:rsidR="00D04A8C" w:rsidSect="009B08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Pr>
          <w:lang w:val="fr-FR"/>
        </w:rPr>
        <w:t>13</w:t>
      </w:r>
      <w:r w:rsidR="00565DAD" w:rsidRPr="00565DAD">
        <w:rPr>
          <w:lang w:val="fr-FR"/>
        </w:rPr>
        <w:t>.</w:t>
      </w:r>
      <w:r>
        <w:rPr>
          <w:lang w:val="fr-FR"/>
        </w:rPr>
        <w:tab/>
        <w:t xml:space="preserve">La présente proposition contribue à la réalisation de l’objectif de développement durable </w:t>
      </w:r>
      <w:r w:rsidRPr="009B0880">
        <w:rPr>
          <w:rFonts w:eastAsia="MS Mincho"/>
          <w:lang w:val="fr-FR"/>
        </w:rPr>
        <w:t>n</w:t>
      </w:r>
      <w:r w:rsidRPr="009B0880">
        <w:rPr>
          <w:rFonts w:eastAsia="MS Mincho"/>
          <w:vertAlign w:val="superscript"/>
          <w:lang w:val="fr-FR"/>
        </w:rPr>
        <w:t>o</w:t>
      </w:r>
      <w:r>
        <w:rPr>
          <w:lang w:val="fr-FR"/>
        </w:rPr>
        <w:t> </w:t>
      </w:r>
      <w:r>
        <w:rPr>
          <w:lang w:val="fr-FR"/>
        </w:rPr>
        <w:t>12 (Établir des modes de consommation et de production durables), et plus particulièrement de sa cible 12</w:t>
      </w:r>
      <w:r w:rsidR="00565DAD" w:rsidRPr="00565DAD">
        <w:rPr>
          <w:lang w:val="fr-FR"/>
        </w:rPr>
        <w:t>.</w:t>
      </w:r>
      <w:r>
        <w:rPr>
          <w:lang w:val="fr-FR"/>
        </w:rPr>
        <w:t>4</w:t>
      </w:r>
      <w:r w:rsidR="00565DAD" w:rsidRPr="00565DAD">
        <w:rPr>
          <w:lang w:val="fr-FR"/>
        </w:rPr>
        <w:t>.</w:t>
      </w:r>
      <w:r>
        <w:rPr>
          <w:lang w:val="fr-FR"/>
        </w:rPr>
        <w:t xml:space="preserve"> </w:t>
      </w:r>
    </w:p>
    <w:p w14:paraId="7467B043" w14:textId="047C9FC6" w:rsidR="00D04A8C" w:rsidRDefault="00D04A8C" w:rsidP="0091077E">
      <w:pPr>
        <w:pStyle w:val="HChG"/>
      </w:pPr>
      <w:r>
        <w:rPr>
          <w:lang w:val="fr-FR"/>
        </w:rPr>
        <w:lastRenderedPageBreak/>
        <w:t>Annexe</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2661"/>
        <w:gridCol w:w="2728"/>
        <w:gridCol w:w="2728"/>
        <w:gridCol w:w="4339"/>
      </w:tblGrid>
      <w:tr w:rsidR="008816B3" w:rsidRPr="0091077E" w14:paraId="5C417BE5" w14:textId="77777777" w:rsidTr="0091077E">
        <w:trPr>
          <w:tblHeader/>
        </w:trPr>
        <w:tc>
          <w:tcPr>
            <w:tcW w:w="1320" w:type="dxa"/>
            <w:tcBorders>
              <w:top w:val="single" w:sz="4" w:space="0" w:color="auto"/>
              <w:bottom w:val="single" w:sz="12" w:space="0" w:color="auto"/>
            </w:tcBorders>
            <w:shd w:val="clear" w:color="auto" w:fill="auto"/>
            <w:vAlign w:val="bottom"/>
          </w:tcPr>
          <w:p w14:paraId="48E1FB97" w14:textId="77777777" w:rsidR="00D04A8C" w:rsidRPr="0091077E" w:rsidRDefault="00D04A8C" w:rsidP="0091077E">
            <w:pPr>
              <w:suppressAutoHyphens w:val="0"/>
              <w:spacing w:before="80" w:after="80" w:line="200" w:lineRule="exact"/>
              <w:ind w:right="113"/>
              <w:rPr>
                <w:i/>
                <w:sz w:val="16"/>
              </w:rPr>
            </w:pPr>
          </w:p>
        </w:tc>
        <w:tc>
          <w:tcPr>
            <w:tcW w:w="2661" w:type="dxa"/>
            <w:tcBorders>
              <w:top w:val="single" w:sz="4" w:space="0" w:color="auto"/>
              <w:bottom w:val="single" w:sz="12" w:space="0" w:color="auto"/>
            </w:tcBorders>
            <w:shd w:val="clear" w:color="auto" w:fill="auto"/>
            <w:vAlign w:val="bottom"/>
          </w:tcPr>
          <w:p w14:paraId="207DB66F" w14:textId="77777777" w:rsidR="00D04A8C" w:rsidRPr="0091077E" w:rsidRDefault="00D04A8C" w:rsidP="0091077E">
            <w:pPr>
              <w:suppressAutoHyphens w:val="0"/>
              <w:spacing w:before="80" w:after="80" w:line="200" w:lineRule="exact"/>
              <w:ind w:right="113"/>
              <w:rPr>
                <w:i/>
                <w:sz w:val="16"/>
              </w:rPr>
            </w:pPr>
            <w:r w:rsidRPr="0091077E">
              <w:rPr>
                <w:i/>
                <w:iCs/>
                <w:sz w:val="16"/>
                <w:lang w:val="fr-FR"/>
              </w:rPr>
              <w:t>Rapport d’étude 2000</w:t>
            </w:r>
          </w:p>
        </w:tc>
        <w:tc>
          <w:tcPr>
            <w:tcW w:w="2728" w:type="dxa"/>
            <w:tcBorders>
              <w:top w:val="single" w:sz="4" w:space="0" w:color="auto"/>
              <w:bottom w:val="single" w:sz="12" w:space="0" w:color="auto"/>
            </w:tcBorders>
            <w:shd w:val="clear" w:color="auto" w:fill="auto"/>
            <w:vAlign w:val="bottom"/>
          </w:tcPr>
          <w:p w14:paraId="11CC8D5B" w14:textId="77777777" w:rsidR="00D04A8C" w:rsidRPr="0091077E" w:rsidRDefault="00D04A8C" w:rsidP="0091077E">
            <w:pPr>
              <w:suppressAutoHyphens w:val="0"/>
              <w:spacing w:before="80" w:after="80" w:line="200" w:lineRule="exact"/>
              <w:ind w:right="113"/>
              <w:rPr>
                <w:i/>
                <w:sz w:val="16"/>
              </w:rPr>
            </w:pPr>
            <w:r w:rsidRPr="0091077E">
              <w:rPr>
                <w:i/>
                <w:iCs/>
                <w:sz w:val="16"/>
                <w:lang w:val="fr-FR"/>
              </w:rPr>
              <w:t>Rapport d’étude 1989</w:t>
            </w:r>
          </w:p>
        </w:tc>
        <w:tc>
          <w:tcPr>
            <w:tcW w:w="2728" w:type="dxa"/>
            <w:tcBorders>
              <w:top w:val="single" w:sz="4" w:space="0" w:color="auto"/>
              <w:bottom w:val="single" w:sz="12" w:space="0" w:color="auto"/>
            </w:tcBorders>
            <w:shd w:val="clear" w:color="auto" w:fill="auto"/>
            <w:vAlign w:val="bottom"/>
          </w:tcPr>
          <w:p w14:paraId="6F57850B" w14:textId="77777777" w:rsidR="00D04A8C" w:rsidRPr="0091077E" w:rsidRDefault="00D04A8C" w:rsidP="0091077E">
            <w:pPr>
              <w:suppressAutoHyphens w:val="0"/>
              <w:spacing w:before="80" w:after="80" w:line="200" w:lineRule="exact"/>
              <w:ind w:right="113"/>
              <w:rPr>
                <w:i/>
                <w:sz w:val="16"/>
              </w:rPr>
            </w:pPr>
            <w:r w:rsidRPr="0091077E">
              <w:rPr>
                <w:i/>
                <w:iCs/>
                <w:sz w:val="16"/>
                <w:lang w:val="fr-FR"/>
              </w:rPr>
              <w:t>Rapport d’étude 1988</w:t>
            </w:r>
          </w:p>
        </w:tc>
        <w:tc>
          <w:tcPr>
            <w:tcW w:w="4339" w:type="dxa"/>
            <w:tcBorders>
              <w:top w:val="single" w:sz="4" w:space="0" w:color="auto"/>
              <w:bottom w:val="single" w:sz="12" w:space="0" w:color="auto"/>
            </w:tcBorders>
            <w:shd w:val="clear" w:color="auto" w:fill="auto"/>
            <w:vAlign w:val="bottom"/>
          </w:tcPr>
          <w:p w14:paraId="0B97DE8D" w14:textId="73E8C32F" w:rsidR="00D04A8C" w:rsidRPr="0091077E" w:rsidRDefault="00D04A8C" w:rsidP="0091077E">
            <w:pPr>
              <w:suppressAutoHyphens w:val="0"/>
              <w:spacing w:before="80" w:after="80" w:line="200" w:lineRule="exact"/>
              <w:ind w:right="113"/>
              <w:rPr>
                <w:i/>
                <w:sz w:val="16"/>
                <w:lang w:val="fr-FR"/>
              </w:rPr>
            </w:pPr>
            <w:r w:rsidRPr="0091077E">
              <w:rPr>
                <w:i/>
                <w:iCs/>
                <w:sz w:val="16"/>
                <w:lang w:val="fr-FR"/>
              </w:rPr>
              <w:t xml:space="preserve">Ligne directrice </w:t>
            </w:r>
            <w:r w:rsidR="00177D63" w:rsidRPr="00177D63">
              <w:rPr>
                <w:rFonts w:eastAsia="MS Mincho"/>
                <w:i/>
                <w:iCs/>
                <w:sz w:val="16"/>
                <w:lang w:val="fr-FR"/>
              </w:rPr>
              <w:t>n</w:t>
            </w:r>
            <w:r w:rsidR="00177D63" w:rsidRPr="00177D63">
              <w:rPr>
                <w:rFonts w:eastAsia="MS Mincho"/>
                <w:i/>
                <w:iCs/>
                <w:sz w:val="16"/>
                <w:vertAlign w:val="superscript"/>
                <w:lang w:val="fr-FR"/>
              </w:rPr>
              <w:t>o</w:t>
            </w:r>
            <w:r w:rsidR="00177D63">
              <w:rPr>
                <w:i/>
                <w:iCs/>
                <w:sz w:val="16"/>
                <w:lang w:val="fr-FR"/>
              </w:rPr>
              <w:t> </w:t>
            </w:r>
            <w:r w:rsidRPr="0091077E">
              <w:rPr>
                <w:i/>
                <w:iCs/>
                <w:sz w:val="16"/>
                <w:lang w:val="fr-FR"/>
              </w:rPr>
              <w:t>404 de l’OCDE, dernière mise à jour : 2015</w:t>
            </w:r>
          </w:p>
        </w:tc>
      </w:tr>
      <w:tr w:rsidR="0091077E" w:rsidRPr="0091077E" w14:paraId="35D5B819" w14:textId="77777777" w:rsidTr="0091077E">
        <w:trPr>
          <w:trHeight w:hRule="exact" w:val="113"/>
          <w:tblHeader/>
        </w:trPr>
        <w:tc>
          <w:tcPr>
            <w:tcW w:w="1320" w:type="dxa"/>
            <w:tcBorders>
              <w:top w:val="single" w:sz="12" w:space="0" w:color="auto"/>
            </w:tcBorders>
            <w:shd w:val="clear" w:color="auto" w:fill="auto"/>
          </w:tcPr>
          <w:p w14:paraId="6833020A" w14:textId="77777777" w:rsidR="0091077E" w:rsidRPr="0091077E" w:rsidRDefault="0091077E" w:rsidP="0091077E">
            <w:pPr>
              <w:suppressAutoHyphens w:val="0"/>
              <w:spacing w:before="40" w:after="120"/>
              <w:ind w:right="113"/>
            </w:pPr>
          </w:p>
        </w:tc>
        <w:tc>
          <w:tcPr>
            <w:tcW w:w="2661" w:type="dxa"/>
            <w:tcBorders>
              <w:top w:val="single" w:sz="12" w:space="0" w:color="auto"/>
            </w:tcBorders>
            <w:shd w:val="clear" w:color="auto" w:fill="auto"/>
          </w:tcPr>
          <w:p w14:paraId="07E22C94" w14:textId="77777777" w:rsidR="0091077E" w:rsidRPr="0091077E" w:rsidRDefault="0091077E" w:rsidP="0091077E">
            <w:pPr>
              <w:suppressAutoHyphens w:val="0"/>
              <w:spacing w:before="40" w:after="120"/>
              <w:ind w:right="113"/>
              <w:rPr>
                <w:iCs/>
                <w:lang w:val="fr-FR"/>
              </w:rPr>
            </w:pPr>
          </w:p>
        </w:tc>
        <w:tc>
          <w:tcPr>
            <w:tcW w:w="2728" w:type="dxa"/>
            <w:tcBorders>
              <w:top w:val="single" w:sz="12" w:space="0" w:color="auto"/>
            </w:tcBorders>
            <w:shd w:val="clear" w:color="auto" w:fill="auto"/>
          </w:tcPr>
          <w:p w14:paraId="0AD4CF4F" w14:textId="77777777" w:rsidR="0091077E" w:rsidRPr="0091077E" w:rsidRDefault="0091077E" w:rsidP="0091077E">
            <w:pPr>
              <w:suppressAutoHyphens w:val="0"/>
              <w:spacing w:before="40" w:after="120"/>
              <w:ind w:right="113"/>
              <w:rPr>
                <w:iCs/>
                <w:lang w:val="fr-FR"/>
              </w:rPr>
            </w:pPr>
          </w:p>
        </w:tc>
        <w:tc>
          <w:tcPr>
            <w:tcW w:w="2728" w:type="dxa"/>
            <w:tcBorders>
              <w:top w:val="single" w:sz="12" w:space="0" w:color="auto"/>
            </w:tcBorders>
            <w:shd w:val="clear" w:color="auto" w:fill="auto"/>
          </w:tcPr>
          <w:p w14:paraId="2121BD41" w14:textId="77777777" w:rsidR="0091077E" w:rsidRPr="0091077E" w:rsidRDefault="0091077E" w:rsidP="0091077E">
            <w:pPr>
              <w:suppressAutoHyphens w:val="0"/>
              <w:spacing w:before="40" w:after="120"/>
              <w:ind w:right="113"/>
              <w:rPr>
                <w:iCs/>
                <w:lang w:val="fr-FR"/>
              </w:rPr>
            </w:pPr>
          </w:p>
        </w:tc>
        <w:tc>
          <w:tcPr>
            <w:tcW w:w="4339" w:type="dxa"/>
            <w:tcBorders>
              <w:top w:val="single" w:sz="12" w:space="0" w:color="auto"/>
            </w:tcBorders>
            <w:shd w:val="clear" w:color="auto" w:fill="auto"/>
          </w:tcPr>
          <w:p w14:paraId="266618E4" w14:textId="77777777" w:rsidR="0091077E" w:rsidRPr="0091077E" w:rsidRDefault="0091077E" w:rsidP="0091077E">
            <w:pPr>
              <w:suppressAutoHyphens w:val="0"/>
              <w:spacing w:before="40" w:after="120"/>
              <w:ind w:right="113"/>
              <w:rPr>
                <w:iCs/>
                <w:lang w:val="fr-FR"/>
              </w:rPr>
            </w:pPr>
          </w:p>
        </w:tc>
      </w:tr>
      <w:tr w:rsidR="00D04A8C" w:rsidRPr="0091077E" w14:paraId="5C5DD202" w14:textId="77777777" w:rsidTr="0091077E">
        <w:tc>
          <w:tcPr>
            <w:tcW w:w="1320" w:type="dxa"/>
            <w:shd w:val="clear" w:color="auto" w:fill="auto"/>
          </w:tcPr>
          <w:p w14:paraId="55A749DC" w14:textId="77777777" w:rsidR="00D04A8C" w:rsidRPr="00177D63" w:rsidRDefault="00D04A8C" w:rsidP="0091077E">
            <w:pPr>
              <w:suppressAutoHyphens w:val="0"/>
              <w:spacing w:before="40" w:after="120"/>
              <w:ind w:right="113"/>
              <w:rPr>
                <w:b/>
                <w:bCs/>
              </w:rPr>
            </w:pPr>
            <w:r w:rsidRPr="00177D63">
              <w:rPr>
                <w:b/>
                <w:bCs/>
                <w:lang w:val="fr-FR"/>
              </w:rPr>
              <w:t>Essai</w:t>
            </w:r>
          </w:p>
        </w:tc>
        <w:tc>
          <w:tcPr>
            <w:tcW w:w="2661" w:type="dxa"/>
            <w:shd w:val="clear" w:color="auto" w:fill="auto"/>
          </w:tcPr>
          <w:p w14:paraId="0DC953C4" w14:textId="4394D876" w:rsidR="00D04A8C" w:rsidRPr="0091077E" w:rsidRDefault="00D04A8C" w:rsidP="0091077E">
            <w:pPr>
              <w:suppressAutoHyphens w:val="0"/>
              <w:spacing w:before="40" w:after="120"/>
              <w:ind w:right="113"/>
              <w:rPr>
                <w:lang w:val="fr-FR"/>
              </w:rPr>
            </w:pPr>
            <w:r w:rsidRPr="0091077E">
              <w:rPr>
                <w:lang w:val="fr-FR"/>
              </w:rPr>
              <w:t xml:space="preserve">Essai DOT : corrosion </w:t>
            </w:r>
            <w:r w:rsidR="00177D63">
              <w:rPr>
                <w:lang w:val="fr-FR"/>
              </w:rPr>
              <w:br/>
            </w:r>
            <w:r w:rsidRPr="0091077E">
              <w:rPr>
                <w:lang w:val="fr-FR"/>
              </w:rPr>
              <w:t>de la peau</w:t>
            </w:r>
          </w:p>
        </w:tc>
        <w:tc>
          <w:tcPr>
            <w:tcW w:w="2728" w:type="dxa"/>
            <w:shd w:val="clear" w:color="auto" w:fill="auto"/>
          </w:tcPr>
          <w:p w14:paraId="7F9F4DAE" w14:textId="77777777" w:rsidR="00D04A8C" w:rsidRPr="0091077E" w:rsidRDefault="00D04A8C" w:rsidP="0091077E">
            <w:pPr>
              <w:suppressAutoHyphens w:val="0"/>
              <w:spacing w:before="40" w:after="120"/>
              <w:ind w:right="113"/>
              <w:rPr>
                <w:lang w:val="fr-FR"/>
              </w:rPr>
            </w:pPr>
            <w:r w:rsidRPr="0091077E">
              <w:rPr>
                <w:lang w:val="fr-FR"/>
              </w:rPr>
              <w:t>Méthode de dépistage de la corrosion cutanée</w:t>
            </w:r>
          </w:p>
        </w:tc>
        <w:tc>
          <w:tcPr>
            <w:tcW w:w="2728" w:type="dxa"/>
            <w:shd w:val="clear" w:color="auto" w:fill="auto"/>
          </w:tcPr>
          <w:p w14:paraId="1D74175B" w14:textId="77777777" w:rsidR="00D04A8C" w:rsidRPr="0091077E" w:rsidRDefault="00D04A8C" w:rsidP="0091077E">
            <w:pPr>
              <w:suppressAutoHyphens w:val="0"/>
              <w:spacing w:before="40" w:after="120"/>
              <w:ind w:right="113"/>
              <w:rPr>
                <w:lang w:val="fr-FR"/>
              </w:rPr>
            </w:pPr>
            <w:r w:rsidRPr="0091077E">
              <w:rPr>
                <w:lang w:val="fr-FR"/>
              </w:rPr>
              <w:t>Essai DOT : corrosion de la peau</w:t>
            </w:r>
          </w:p>
        </w:tc>
        <w:tc>
          <w:tcPr>
            <w:tcW w:w="4339" w:type="dxa"/>
            <w:shd w:val="clear" w:color="auto" w:fill="auto"/>
          </w:tcPr>
          <w:p w14:paraId="09B0BD60" w14:textId="77777777" w:rsidR="00D04A8C" w:rsidRPr="0091077E" w:rsidRDefault="00D04A8C" w:rsidP="0091077E">
            <w:pPr>
              <w:suppressAutoHyphens w:val="0"/>
              <w:spacing w:before="40" w:after="120"/>
              <w:ind w:right="113"/>
            </w:pPr>
            <w:r w:rsidRPr="0091077E">
              <w:rPr>
                <w:lang w:val="fr-FR"/>
              </w:rPr>
              <w:t xml:space="preserve">Essai DOT </w:t>
            </w:r>
            <w:r w:rsidRPr="0091077E">
              <w:rPr>
                <w:iCs/>
                <w:lang w:val="fr-FR"/>
              </w:rPr>
              <w:t>in vivo</w:t>
            </w:r>
            <w:r w:rsidRPr="0091077E">
              <w:rPr>
                <w:lang w:val="fr-FR"/>
              </w:rPr>
              <w:t xml:space="preserve"> : corrosion de la peau</w:t>
            </w:r>
          </w:p>
        </w:tc>
      </w:tr>
      <w:tr w:rsidR="00D04A8C" w:rsidRPr="0091077E" w14:paraId="3D198FB0" w14:textId="77777777" w:rsidTr="0091077E">
        <w:tc>
          <w:tcPr>
            <w:tcW w:w="1320" w:type="dxa"/>
            <w:shd w:val="clear" w:color="auto" w:fill="auto"/>
          </w:tcPr>
          <w:p w14:paraId="164E712B" w14:textId="77777777" w:rsidR="00D04A8C" w:rsidRPr="00177D63" w:rsidRDefault="00D04A8C" w:rsidP="0091077E">
            <w:pPr>
              <w:suppressAutoHyphens w:val="0"/>
              <w:spacing w:before="40" w:after="120"/>
              <w:ind w:right="113"/>
              <w:rPr>
                <w:b/>
                <w:bCs/>
              </w:rPr>
            </w:pPr>
            <w:r w:rsidRPr="00177D63">
              <w:rPr>
                <w:b/>
                <w:bCs/>
                <w:lang w:val="fr-FR"/>
              </w:rPr>
              <w:t>Durée</w:t>
            </w:r>
          </w:p>
        </w:tc>
        <w:tc>
          <w:tcPr>
            <w:tcW w:w="2661" w:type="dxa"/>
            <w:shd w:val="clear" w:color="auto" w:fill="auto"/>
          </w:tcPr>
          <w:p w14:paraId="5A583B50" w14:textId="77777777" w:rsidR="00D04A8C" w:rsidRPr="0091077E" w:rsidRDefault="00D04A8C" w:rsidP="0091077E">
            <w:pPr>
              <w:suppressAutoHyphens w:val="0"/>
              <w:spacing w:before="40" w:after="120"/>
              <w:ind w:right="113"/>
              <w:rPr>
                <w:lang w:val="fr-FR"/>
              </w:rPr>
            </w:pPr>
            <w:r w:rsidRPr="0091077E">
              <w:rPr>
                <w:lang w:val="fr-FR"/>
              </w:rPr>
              <w:t>3 minutes, 1 heure, 4 heures</w:t>
            </w:r>
          </w:p>
          <w:p w14:paraId="05E84ADA" w14:textId="5FFBA7B0" w:rsidR="00D04A8C" w:rsidRPr="0091077E" w:rsidRDefault="00D04A8C" w:rsidP="0091077E">
            <w:pPr>
              <w:suppressAutoHyphens w:val="0"/>
              <w:spacing w:before="40" w:after="120"/>
              <w:ind w:right="113"/>
              <w:rPr>
                <w:lang w:val="fr-FR"/>
              </w:rPr>
            </w:pPr>
            <w:r w:rsidRPr="0091077E">
              <w:rPr>
                <w:lang w:val="fr-FR"/>
              </w:rPr>
              <w:t>Exposition interrompue après 1</w:t>
            </w:r>
            <w:r w:rsidR="00177D63">
              <w:rPr>
                <w:lang w:val="fr-FR"/>
              </w:rPr>
              <w:t> </w:t>
            </w:r>
            <w:r w:rsidRPr="0091077E">
              <w:rPr>
                <w:lang w:val="fr-FR"/>
              </w:rPr>
              <w:t>heure (en raison de la gravité de l’irritation)</w:t>
            </w:r>
          </w:p>
        </w:tc>
        <w:tc>
          <w:tcPr>
            <w:tcW w:w="2728" w:type="dxa"/>
            <w:shd w:val="clear" w:color="auto" w:fill="auto"/>
          </w:tcPr>
          <w:p w14:paraId="3B8C380E" w14:textId="77777777" w:rsidR="00D04A8C" w:rsidRPr="0091077E" w:rsidRDefault="00D04A8C" w:rsidP="0091077E">
            <w:pPr>
              <w:suppressAutoHyphens w:val="0"/>
              <w:spacing w:before="40" w:after="120"/>
              <w:ind w:right="113"/>
            </w:pPr>
            <w:r w:rsidRPr="0091077E">
              <w:rPr>
                <w:lang w:val="fr-FR"/>
              </w:rPr>
              <w:t>3 minutes</w:t>
            </w:r>
          </w:p>
        </w:tc>
        <w:tc>
          <w:tcPr>
            <w:tcW w:w="2728" w:type="dxa"/>
            <w:shd w:val="clear" w:color="auto" w:fill="auto"/>
          </w:tcPr>
          <w:p w14:paraId="0D4F4708" w14:textId="77777777" w:rsidR="00D04A8C" w:rsidRPr="0091077E" w:rsidRDefault="00D04A8C" w:rsidP="0091077E">
            <w:pPr>
              <w:suppressAutoHyphens w:val="0"/>
              <w:spacing w:before="40" w:after="120"/>
              <w:ind w:right="113"/>
            </w:pPr>
            <w:r w:rsidRPr="0091077E">
              <w:rPr>
                <w:lang w:val="fr-FR"/>
              </w:rPr>
              <w:t>1 heure</w:t>
            </w:r>
          </w:p>
        </w:tc>
        <w:tc>
          <w:tcPr>
            <w:tcW w:w="4339" w:type="dxa"/>
            <w:shd w:val="clear" w:color="auto" w:fill="auto"/>
          </w:tcPr>
          <w:p w14:paraId="3564BE7F" w14:textId="77777777" w:rsidR="00D04A8C" w:rsidRPr="0091077E" w:rsidRDefault="00D04A8C" w:rsidP="0091077E">
            <w:pPr>
              <w:suppressAutoHyphens w:val="0"/>
              <w:spacing w:before="40" w:after="120"/>
              <w:ind w:right="113"/>
            </w:pPr>
            <w:r w:rsidRPr="0091077E">
              <w:rPr>
                <w:lang w:val="fr-FR"/>
              </w:rPr>
              <w:t>3 minutes, 1 heure, 4 heures</w:t>
            </w:r>
          </w:p>
          <w:p w14:paraId="74ECD7A3" w14:textId="710FC1DC" w:rsidR="00D04A8C" w:rsidRPr="0091077E" w:rsidRDefault="00D04A8C" w:rsidP="0091077E">
            <w:pPr>
              <w:suppressAutoHyphens w:val="0"/>
              <w:spacing w:before="40" w:after="120"/>
              <w:ind w:right="113"/>
              <w:rPr>
                <w:lang w:val="fr-FR"/>
              </w:rPr>
            </w:pPr>
            <w:r w:rsidRPr="0091077E">
              <w:rPr>
                <w:lang w:val="fr-FR"/>
              </w:rPr>
              <w:t>Si un effet corrosif est observé après l’une des trois expositions séquentielles, l’essai est immédiatement interrompu</w:t>
            </w:r>
            <w:r w:rsidRPr="0091077E">
              <w:rPr>
                <w:lang w:val="fr-FR"/>
              </w:rPr>
              <w:t>.</w:t>
            </w:r>
          </w:p>
        </w:tc>
      </w:tr>
      <w:tr w:rsidR="00D04A8C" w:rsidRPr="0091077E" w14:paraId="289C19AE" w14:textId="77777777" w:rsidTr="0091077E">
        <w:tc>
          <w:tcPr>
            <w:tcW w:w="1320" w:type="dxa"/>
            <w:shd w:val="clear" w:color="auto" w:fill="auto"/>
          </w:tcPr>
          <w:p w14:paraId="18AA1600" w14:textId="77777777" w:rsidR="00D04A8C" w:rsidRPr="00177D63" w:rsidRDefault="00D04A8C" w:rsidP="0091077E">
            <w:pPr>
              <w:suppressAutoHyphens w:val="0"/>
              <w:spacing w:before="40" w:after="120"/>
              <w:ind w:right="113"/>
              <w:rPr>
                <w:b/>
                <w:bCs/>
              </w:rPr>
            </w:pPr>
            <w:r w:rsidRPr="00177D63">
              <w:rPr>
                <w:b/>
                <w:bCs/>
                <w:lang w:val="fr-FR"/>
              </w:rPr>
              <w:t>Espèces</w:t>
            </w:r>
          </w:p>
        </w:tc>
        <w:tc>
          <w:tcPr>
            <w:tcW w:w="2661" w:type="dxa"/>
            <w:shd w:val="clear" w:color="auto" w:fill="auto"/>
          </w:tcPr>
          <w:p w14:paraId="501AC747" w14:textId="77777777" w:rsidR="00D04A8C" w:rsidRPr="0091077E" w:rsidRDefault="00D04A8C" w:rsidP="0091077E">
            <w:pPr>
              <w:suppressAutoHyphens w:val="0"/>
              <w:spacing w:before="40" w:after="120"/>
              <w:ind w:right="113"/>
              <w:rPr>
                <w:lang w:val="fr-FR"/>
              </w:rPr>
            </w:pPr>
            <w:r w:rsidRPr="0091077E">
              <w:rPr>
                <w:lang w:val="fr-FR"/>
              </w:rPr>
              <w:t>Lapin blanc de Nouvelle-Zélande, 6 cm</w:t>
            </w:r>
            <w:r w:rsidRPr="0091077E">
              <w:rPr>
                <w:vertAlign w:val="superscript"/>
                <w:lang w:val="fr-FR"/>
              </w:rPr>
              <w:t>2</w:t>
            </w:r>
            <w:r w:rsidRPr="0091077E">
              <w:rPr>
                <w:lang w:val="fr-FR"/>
              </w:rPr>
              <w:t>, sans poils</w:t>
            </w:r>
          </w:p>
        </w:tc>
        <w:tc>
          <w:tcPr>
            <w:tcW w:w="2728" w:type="dxa"/>
            <w:shd w:val="clear" w:color="auto" w:fill="auto"/>
          </w:tcPr>
          <w:p w14:paraId="2E5BE15C" w14:textId="6506E833" w:rsidR="00D04A8C" w:rsidRPr="0091077E" w:rsidRDefault="00D04A8C" w:rsidP="0091077E">
            <w:pPr>
              <w:suppressAutoHyphens w:val="0"/>
              <w:spacing w:before="40" w:after="120"/>
              <w:ind w:right="113"/>
              <w:rPr>
                <w:lang w:val="fr-FR"/>
              </w:rPr>
            </w:pPr>
            <w:r w:rsidRPr="0091077E">
              <w:rPr>
                <w:lang w:val="fr-FR"/>
              </w:rPr>
              <w:t>Lapin blanc de Nouvelle-Zélande, 1</w:t>
            </w:r>
            <w:r w:rsidR="00177D63">
              <w:rPr>
                <w:lang w:val="fr-FR"/>
              </w:rPr>
              <w:t xml:space="preserve"> </w:t>
            </w:r>
            <w:r w:rsidRPr="0091077E">
              <w:rPr>
                <w:lang w:val="fr-FR"/>
              </w:rPr>
              <w:t>x</w:t>
            </w:r>
            <w:r w:rsidR="00177D63">
              <w:rPr>
                <w:lang w:val="fr-FR"/>
              </w:rPr>
              <w:t xml:space="preserve"> </w:t>
            </w:r>
            <w:r w:rsidRPr="0091077E">
              <w:rPr>
                <w:lang w:val="fr-FR"/>
              </w:rPr>
              <w:t>1 pouce, sans poils</w:t>
            </w:r>
          </w:p>
        </w:tc>
        <w:tc>
          <w:tcPr>
            <w:tcW w:w="2728" w:type="dxa"/>
            <w:shd w:val="clear" w:color="auto" w:fill="auto"/>
          </w:tcPr>
          <w:p w14:paraId="15E155D9" w14:textId="00C3CC83" w:rsidR="00D04A8C" w:rsidRPr="0091077E" w:rsidRDefault="00D04A8C" w:rsidP="0091077E">
            <w:pPr>
              <w:suppressAutoHyphens w:val="0"/>
              <w:spacing w:before="40" w:after="120"/>
              <w:ind w:right="113"/>
              <w:rPr>
                <w:lang w:val="fr-FR"/>
              </w:rPr>
            </w:pPr>
            <w:r w:rsidRPr="0091077E">
              <w:rPr>
                <w:lang w:val="fr-FR"/>
              </w:rPr>
              <w:t>Lapin blanc de Nouvelle-Zélande, 1</w:t>
            </w:r>
            <w:r w:rsidR="00177D63">
              <w:rPr>
                <w:lang w:val="fr-FR"/>
              </w:rPr>
              <w:t xml:space="preserve"> </w:t>
            </w:r>
            <w:r w:rsidRPr="0091077E">
              <w:rPr>
                <w:lang w:val="fr-FR"/>
              </w:rPr>
              <w:t>x</w:t>
            </w:r>
            <w:r w:rsidR="00177D63">
              <w:rPr>
                <w:lang w:val="fr-FR"/>
              </w:rPr>
              <w:t xml:space="preserve"> </w:t>
            </w:r>
            <w:r w:rsidRPr="0091077E">
              <w:rPr>
                <w:lang w:val="fr-FR"/>
              </w:rPr>
              <w:t>1 pouce, sans poils</w:t>
            </w:r>
          </w:p>
        </w:tc>
        <w:tc>
          <w:tcPr>
            <w:tcW w:w="4339" w:type="dxa"/>
            <w:shd w:val="clear" w:color="auto" w:fill="auto"/>
          </w:tcPr>
          <w:p w14:paraId="00A72DFE" w14:textId="77777777" w:rsidR="00D04A8C" w:rsidRPr="0091077E" w:rsidRDefault="00D04A8C" w:rsidP="0091077E">
            <w:pPr>
              <w:suppressAutoHyphens w:val="0"/>
              <w:spacing w:before="40" w:after="120"/>
              <w:ind w:right="113"/>
              <w:rPr>
                <w:lang w:val="fr-FR"/>
              </w:rPr>
            </w:pPr>
            <w:r w:rsidRPr="0091077E">
              <w:rPr>
                <w:lang w:val="fr-FR"/>
              </w:rPr>
              <w:t>Lapins albinos, 6 cm</w:t>
            </w:r>
            <w:r w:rsidRPr="0091077E">
              <w:rPr>
                <w:vertAlign w:val="superscript"/>
                <w:lang w:val="fr-FR"/>
              </w:rPr>
              <w:t>2</w:t>
            </w:r>
            <w:r w:rsidRPr="0091077E">
              <w:rPr>
                <w:lang w:val="fr-FR"/>
              </w:rPr>
              <w:t>, sans poils</w:t>
            </w:r>
          </w:p>
        </w:tc>
      </w:tr>
      <w:tr w:rsidR="00D04A8C" w:rsidRPr="0091077E" w14:paraId="2D4AC3DF" w14:textId="77777777" w:rsidTr="0091077E">
        <w:tc>
          <w:tcPr>
            <w:tcW w:w="1320" w:type="dxa"/>
            <w:shd w:val="clear" w:color="auto" w:fill="auto"/>
          </w:tcPr>
          <w:p w14:paraId="0791E8BB" w14:textId="77777777" w:rsidR="00D04A8C" w:rsidRPr="00177D63" w:rsidRDefault="00D04A8C" w:rsidP="0091077E">
            <w:pPr>
              <w:suppressAutoHyphens w:val="0"/>
              <w:spacing w:before="40" w:after="120"/>
              <w:ind w:right="113"/>
              <w:rPr>
                <w:b/>
                <w:bCs/>
              </w:rPr>
            </w:pPr>
            <w:r w:rsidRPr="00177D63">
              <w:rPr>
                <w:b/>
                <w:bCs/>
                <w:lang w:val="fr-FR"/>
              </w:rPr>
              <w:t>Nombre d’animaux</w:t>
            </w:r>
          </w:p>
        </w:tc>
        <w:tc>
          <w:tcPr>
            <w:tcW w:w="2661" w:type="dxa"/>
            <w:shd w:val="clear" w:color="auto" w:fill="auto"/>
          </w:tcPr>
          <w:p w14:paraId="0399F59D" w14:textId="77777777" w:rsidR="00D04A8C" w:rsidRPr="0091077E" w:rsidRDefault="00D04A8C" w:rsidP="0091077E">
            <w:pPr>
              <w:suppressAutoHyphens w:val="0"/>
              <w:spacing w:before="40" w:after="120"/>
              <w:ind w:right="113"/>
            </w:pPr>
            <w:r w:rsidRPr="0091077E">
              <w:rPr>
                <w:lang w:val="fr-FR"/>
              </w:rPr>
              <w:t>1 mâle, 2 femelles</w:t>
            </w:r>
          </w:p>
        </w:tc>
        <w:tc>
          <w:tcPr>
            <w:tcW w:w="2728" w:type="dxa"/>
            <w:shd w:val="clear" w:color="auto" w:fill="auto"/>
          </w:tcPr>
          <w:p w14:paraId="44702F2F" w14:textId="77777777" w:rsidR="00D04A8C" w:rsidRPr="0091077E" w:rsidRDefault="00D04A8C" w:rsidP="0091077E">
            <w:pPr>
              <w:suppressAutoHyphens w:val="0"/>
              <w:spacing w:before="40" w:after="120"/>
              <w:ind w:right="113"/>
            </w:pPr>
            <w:r w:rsidRPr="0091077E">
              <w:rPr>
                <w:lang w:val="fr-FR"/>
              </w:rPr>
              <w:t>3</w:t>
            </w:r>
          </w:p>
        </w:tc>
        <w:tc>
          <w:tcPr>
            <w:tcW w:w="2728" w:type="dxa"/>
            <w:shd w:val="clear" w:color="auto" w:fill="auto"/>
          </w:tcPr>
          <w:p w14:paraId="1ECF078A" w14:textId="77777777" w:rsidR="00D04A8C" w:rsidRPr="0091077E" w:rsidRDefault="00D04A8C" w:rsidP="0091077E">
            <w:pPr>
              <w:suppressAutoHyphens w:val="0"/>
              <w:spacing w:before="40" w:after="120"/>
              <w:ind w:right="113"/>
            </w:pPr>
            <w:r w:rsidRPr="0091077E">
              <w:rPr>
                <w:lang w:val="fr-FR"/>
              </w:rPr>
              <w:t>3</w:t>
            </w:r>
          </w:p>
        </w:tc>
        <w:tc>
          <w:tcPr>
            <w:tcW w:w="4339" w:type="dxa"/>
            <w:shd w:val="clear" w:color="auto" w:fill="auto"/>
          </w:tcPr>
          <w:p w14:paraId="0760F2AE" w14:textId="77777777" w:rsidR="00D04A8C" w:rsidRPr="0091077E" w:rsidRDefault="00D04A8C" w:rsidP="0091077E">
            <w:pPr>
              <w:suppressAutoHyphens w:val="0"/>
              <w:spacing w:before="40" w:after="120"/>
              <w:ind w:right="113"/>
            </w:pPr>
            <w:r w:rsidRPr="0091077E">
              <w:rPr>
                <w:lang w:val="fr-FR"/>
              </w:rPr>
              <w:t>2 ou 3</w:t>
            </w:r>
          </w:p>
        </w:tc>
      </w:tr>
      <w:tr w:rsidR="00D04A8C" w:rsidRPr="0091077E" w14:paraId="67DD70F9" w14:textId="77777777" w:rsidTr="0091077E">
        <w:tc>
          <w:tcPr>
            <w:tcW w:w="1320" w:type="dxa"/>
            <w:shd w:val="clear" w:color="auto" w:fill="auto"/>
          </w:tcPr>
          <w:p w14:paraId="28490081" w14:textId="77777777" w:rsidR="00D04A8C" w:rsidRPr="00177D63" w:rsidRDefault="00D04A8C" w:rsidP="0091077E">
            <w:pPr>
              <w:suppressAutoHyphens w:val="0"/>
              <w:spacing w:before="40" w:after="120"/>
              <w:ind w:right="113"/>
              <w:rPr>
                <w:b/>
                <w:bCs/>
              </w:rPr>
            </w:pPr>
            <w:r w:rsidRPr="00177D63">
              <w:rPr>
                <w:b/>
                <w:bCs/>
                <w:lang w:val="fr-FR"/>
              </w:rPr>
              <w:t>Matériau d’essai</w:t>
            </w:r>
          </w:p>
        </w:tc>
        <w:tc>
          <w:tcPr>
            <w:tcW w:w="2661" w:type="dxa"/>
            <w:shd w:val="clear" w:color="auto" w:fill="auto"/>
          </w:tcPr>
          <w:p w14:paraId="13A51B13" w14:textId="77777777" w:rsidR="00D04A8C" w:rsidRPr="0091077E" w:rsidRDefault="00D04A8C" w:rsidP="0091077E">
            <w:pPr>
              <w:suppressAutoHyphens w:val="0"/>
              <w:spacing w:before="40" w:after="120"/>
              <w:ind w:right="113"/>
              <w:rPr>
                <w:lang w:val="fr-FR"/>
              </w:rPr>
            </w:pPr>
            <w:r w:rsidRPr="0091077E">
              <w:rPr>
                <w:lang w:val="fr-FR"/>
              </w:rPr>
              <w:t>TMEDA anhydre, liquide clair et incolore, 0,5 ml</w:t>
            </w:r>
          </w:p>
        </w:tc>
        <w:tc>
          <w:tcPr>
            <w:tcW w:w="2728" w:type="dxa"/>
            <w:shd w:val="clear" w:color="auto" w:fill="auto"/>
          </w:tcPr>
          <w:p w14:paraId="400C62F2" w14:textId="77777777" w:rsidR="00D04A8C" w:rsidRPr="0091077E" w:rsidRDefault="00D04A8C" w:rsidP="0091077E">
            <w:pPr>
              <w:suppressAutoHyphens w:val="0"/>
              <w:spacing w:before="40" w:after="120"/>
              <w:ind w:right="113"/>
              <w:rPr>
                <w:lang w:val="fr-FR"/>
              </w:rPr>
            </w:pPr>
            <w:r w:rsidRPr="0091077E">
              <w:rPr>
                <w:lang w:val="fr-FR"/>
              </w:rPr>
              <w:t>TMEDA anhydre, liquide clair jaune pâle, 0,5 ml</w:t>
            </w:r>
          </w:p>
        </w:tc>
        <w:tc>
          <w:tcPr>
            <w:tcW w:w="2728" w:type="dxa"/>
            <w:shd w:val="clear" w:color="auto" w:fill="auto"/>
          </w:tcPr>
          <w:p w14:paraId="363CBCD9" w14:textId="77777777" w:rsidR="00D04A8C" w:rsidRPr="0091077E" w:rsidRDefault="00D04A8C" w:rsidP="0091077E">
            <w:pPr>
              <w:suppressAutoHyphens w:val="0"/>
              <w:spacing w:before="40" w:after="120"/>
              <w:ind w:right="113"/>
              <w:rPr>
                <w:lang w:val="fr-FR"/>
              </w:rPr>
            </w:pPr>
            <w:r w:rsidRPr="0091077E">
              <w:rPr>
                <w:lang w:val="fr-FR"/>
              </w:rPr>
              <w:t>Liquide clair jaune pâle, 0,5 ml</w:t>
            </w:r>
          </w:p>
        </w:tc>
        <w:tc>
          <w:tcPr>
            <w:tcW w:w="4339" w:type="dxa"/>
            <w:shd w:val="clear" w:color="auto" w:fill="auto"/>
          </w:tcPr>
          <w:p w14:paraId="5325AFFD" w14:textId="77777777" w:rsidR="00D04A8C" w:rsidRPr="0091077E" w:rsidRDefault="00D04A8C" w:rsidP="0091077E">
            <w:pPr>
              <w:suppressAutoHyphens w:val="0"/>
              <w:spacing w:before="40" w:after="120"/>
              <w:ind w:right="113"/>
            </w:pPr>
            <w:r w:rsidRPr="0091077E">
              <w:rPr>
                <w:lang w:val="fr-FR"/>
              </w:rPr>
              <w:t>Liquide non dilué, 0,5 ml</w:t>
            </w:r>
          </w:p>
        </w:tc>
      </w:tr>
      <w:tr w:rsidR="00D04A8C" w:rsidRPr="0091077E" w14:paraId="7F0B370D" w14:textId="77777777" w:rsidTr="0091077E">
        <w:tc>
          <w:tcPr>
            <w:tcW w:w="1320" w:type="dxa"/>
            <w:shd w:val="clear" w:color="auto" w:fill="auto"/>
          </w:tcPr>
          <w:p w14:paraId="3543E829" w14:textId="77777777" w:rsidR="00D04A8C" w:rsidRPr="00177D63" w:rsidRDefault="00D04A8C" w:rsidP="0091077E">
            <w:pPr>
              <w:suppressAutoHyphens w:val="0"/>
              <w:spacing w:before="40" w:after="120"/>
              <w:ind w:right="113"/>
              <w:rPr>
                <w:b/>
                <w:bCs/>
              </w:rPr>
            </w:pPr>
            <w:r w:rsidRPr="00177D63">
              <w:rPr>
                <w:b/>
                <w:bCs/>
                <w:lang w:val="fr-FR"/>
              </w:rPr>
              <w:t>Témoins</w:t>
            </w:r>
          </w:p>
        </w:tc>
        <w:tc>
          <w:tcPr>
            <w:tcW w:w="2661" w:type="dxa"/>
            <w:shd w:val="clear" w:color="auto" w:fill="auto"/>
          </w:tcPr>
          <w:p w14:paraId="092E2F5C" w14:textId="72897ACE" w:rsidR="00D04A8C" w:rsidRPr="0091077E" w:rsidRDefault="00D04A8C" w:rsidP="0091077E">
            <w:pPr>
              <w:suppressAutoHyphens w:val="0"/>
              <w:spacing w:before="40" w:after="120"/>
              <w:ind w:right="113"/>
              <w:rPr>
                <w:lang w:val="fr-FR"/>
              </w:rPr>
            </w:pPr>
            <w:r w:rsidRPr="0091077E">
              <w:rPr>
                <w:lang w:val="fr-FR"/>
              </w:rPr>
              <w:t>Zones cutanées non traitées de l’animal testé</w:t>
            </w:r>
          </w:p>
        </w:tc>
        <w:tc>
          <w:tcPr>
            <w:tcW w:w="2728" w:type="dxa"/>
            <w:shd w:val="clear" w:color="auto" w:fill="auto"/>
          </w:tcPr>
          <w:p w14:paraId="4BDB9451" w14:textId="1F391A0A" w:rsidR="00D04A8C" w:rsidRPr="0091077E" w:rsidRDefault="00D04A8C" w:rsidP="0091077E">
            <w:pPr>
              <w:suppressAutoHyphens w:val="0"/>
              <w:spacing w:before="40" w:after="120"/>
              <w:ind w:right="113"/>
              <w:rPr>
                <w:lang w:val="fr-FR"/>
              </w:rPr>
            </w:pPr>
            <w:r w:rsidRPr="0091077E">
              <w:rPr>
                <w:lang w:val="fr-FR"/>
              </w:rPr>
              <w:t>Zones cutanées non traitées de l’animal testé</w:t>
            </w:r>
          </w:p>
        </w:tc>
        <w:tc>
          <w:tcPr>
            <w:tcW w:w="2728" w:type="dxa"/>
            <w:shd w:val="clear" w:color="auto" w:fill="auto"/>
          </w:tcPr>
          <w:p w14:paraId="41D5D499" w14:textId="6CA8B18B" w:rsidR="00D04A8C" w:rsidRPr="0091077E" w:rsidRDefault="00D04A8C" w:rsidP="0091077E">
            <w:pPr>
              <w:suppressAutoHyphens w:val="0"/>
              <w:spacing w:before="40" w:after="120"/>
              <w:ind w:right="113"/>
              <w:rPr>
                <w:lang w:val="fr-FR"/>
              </w:rPr>
            </w:pPr>
            <w:r w:rsidRPr="0091077E">
              <w:rPr>
                <w:lang w:val="fr-FR"/>
              </w:rPr>
              <w:t>Zones cutanées non traitées de l’animal testé</w:t>
            </w:r>
          </w:p>
        </w:tc>
        <w:tc>
          <w:tcPr>
            <w:tcW w:w="4339" w:type="dxa"/>
            <w:shd w:val="clear" w:color="auto" w:fill="auto"/>
          </w:tcPr>
          <w:p w14:paraId="4349BE02" w14:textId="1EB01F61" w:rsidR="00D04A8C" w:rsidRPr="0091077E" w:rsidRDefault="00D04A8C" w:rsidP="0091077E">
            <w:pPr>
              <w:suppressAutoHyphens w:val="0"/>
              <w:spacing w:before="40" w:after="120"/>
              <w:ind w:right="113"/>
              <w:rPr>
                <w:lang w:val="fr-FR"/>
              </w:rPr>
            </w:pPr>
            <w:r w:rsidRPr="0091077E">
              <w:rPr>
                <w:lang w:val="fr-FR"/>
              </w:rPr>
              <w:t>Zones cutanées non traitées de l’animal testé</w:t>
            </w:r>
          </w:p>
        </w:tc>
      </w:tr>
      <w:tr w:rsidR="00D04A8C" w:rsidRPr="0091077E" w14:paraId="3B5C46F9" w14:textId="77777777" w:rsidTr="008816B3">
        <w:tc>
          <w:tcPr>
            <w:tcW w:w="1320" w:type="dxa"/>
            <w:shd w:val="clear" w:color="auto" w:fill="auto"/>
          </w:tcPr>
          <w:p w14:paraId="6C4BF63D" w14:textId="77777777" w:rsidR="00D04A8C" w:rsidRPr="00177D63" w:rsidRDefault="00D04A8C" w:rsidP="0091077E">
            <w:pPr>
              <w:suppressAutoHyphens w:val="0"/>
              <w:spacing w:before="40" w:after="120"/>
              <w:ind w:right="113"/>
              <w:rPr>
                <w:b/>
                <w:bCs/>
              </w:rPr>
            </w:pPr>
            <w:r w:rsidRPr="00177D63">
              <w:rPr>
                <w:b/>
                <w:bCs/>
                <w:lang w:val="fr-FR"/>
              </w:rPr>
              <w:t>Période d’observation</w:t>
            </w:r>
          </w:p>
        </w:tc>
        <w:tc>
          <w:tcPr>
            <w:tcW w:w="2661" w:type="dxa"/>
            <w:shd w:val="clear" w:color="auto" w:fill="auto"/>
          </w:tcPr>
          <w:p w14:paraId="39328091" w14:textId="77777777" w:rsidR="00D04A8C" w:rsidRPr="0091077E" w:rsidRDefault="00D04A8C" w:rsidP="0091077E">
            <w:pPr>
              <w:suppressAutoHyphens w:val="0"/>
              <w:spacing w:before="40" w:after="120"/>
              <w:ind w:right="113"/>
            </w:pPr>
            <w:r w:rsidRPr="0091077E">
              <w:rPr>
                <w:lang w:val="fr-FR"/>
              </w:rPr>
              <w:t>1 heure, 24 heures</w:t>
            </w:r>
          </w:p>
        </w:tc>
        <w:tc>
          <w:tcPr>
            <w:tcW w:w="2728" w:type="dxa"/>
            <w:shd w:val="clear" w:color="auto" w:fill="auto"/>
          </w:tcPr>
          <w:p w14:paraId="617AFEA2" w14:textId="77777777" w:rsidR="00D04A8C" w:rsidRPr="0091077E" w:rsidRDefault="00D04A8C" w:rsidP="0091077E">
            <w:pPr>
              <w:suppressAutoHyphens w:val="0"/>
              <w:spacing w:before="40" w:after="120"/>
              <w:ind w:right="113"/>
            </w:pPr>
            <w:r w:rsidRPr="0091077E">
              <w:rPr>
                <w:lang w:val="fr-FR"/>
              </w:rPr>
              <w:t>30 minutes, 24 et 48 heures</w:t>
            </w:r>
          </w:p>
        </w:tc>
        <w:tc>
          <w:tcPr>
            <w:tcW w:w="2728" w:type="dxa"/>
            <w:shd w:val="clear" w:color="auto" w:fill="auto"/>
          </w:tcPr>
          <w:p w14:paraId="46878363" w14:textId="77777777" w:rsidR="00D04A8C" w:rsidRPr="0091077E" w:rsidRDefault="00D04A8C" w:rsidP="0091077E">
            <w:pPr>
              <w:suppressAutoHyphens w:val="0"/>
              <w:spacing w:before="40" w:after="120"/>
              <w:ind w:right="113"/>
            </w:pPr>
            <w:r w:rsidRPr="0091077E">
              <w:rPr>
                <w:lang w:val="fr-FR"/>
              </w:rPr>
              <w:t>30 minutes, 24 et 48 heures</w:t>
            </w:r>
          </w:p>
        </w:tc>
        <w:tc>
          <w:tcPr>
            <w:tcW w:w="4339" w:type="dxa"/>
            <w:shd w:val="clear" w:color="auto" w:fill="auto"/>
          </w:tcPr>
          <w:p w14:paraId="57C85471" w14:textId="1FC31A50" w:rsidR="00D04A8C" w:rsidRPr="0091077E" w:rsidRDefault="00D04A8C" w:rsidP="0091077E">
            <w:pPr>
              <w:suppressAutoHyphens w:val="0"/>
              <w:spacing w:before="40" w:after="120"/>
              <w:ind w:right="113"/>
              <w:rPr>
                <w:lang w:val="fr-FR"/>
              </w:rPr>
            </w:pPr>
            <w:r w:rsidRPr="0091077E">
              <w:rPr>
                <w:lang w:val="fr-FR"/>
              </w:rPr>
              <w:t>Observation 14 jours, sauf si la corrosion se développe plus tôt</w:t>
            </w:r>
            <w:r w:rsidRPr="0091077E">
              <w:rPr>
                <w:lang w:val="fr-FR"/>
              </w:rPr>
              <w:t>.</w:t>
            </w:r>
            <w:r w:rsidRPr="0091077E">
              <w:rPr>
                <w:lang w:val="fr-FR"/>
              </w:rPr>
              <w:t xml:space="preserve"> 24, 48, 72 heures</w:t>
            </w:r>
          </w:p>
        </w:tc>
      </w:tr>
      <w:tr w:rsidR="008816B3" w:rsidRPr="0091077E" w14:paraId="00667B30" w14:textId="77777777" w:rsidTr="008816B3">
        <w:tc>
          <w:tcPr>
            <w:tcW w:w="1320" w:type="dxa"/>
            <w:tcBorders>
              <w:bottom w:val="single" w:sz="12" w:space="0" w:color="auto"/>
            </w:tcBorders>
            <w:shd w:val="clear" w:color="auto" w:fill="auto"/>
          </w:tcPr>
          <w:p w14:paraId="5E1B82B7" w14:textId="0243C423" w:rsidR="00D04A8C" w:rsidRPr="00177D63" w:rsidRDefault="00D04A8C" w:rsidP="0091077E">
            <w:pPr>
              <w:suppressAutoHyphens w:val="0"/>
              <w:spacing w:before="40" w:after="120"/>
              <w:ind w:right="113"/>
              <w:rPr>
                <w:b/>
                <w:bCs/>
              </w:rPr>
            </w:pPr>
            <w:r w:rsidRPr="00177D63">
              <w:rPr>
                <w:b/>
                <w:bCs/>
                <w:lang w:val="fr-FR"/>
              </w:rPr>
              <w:t>Déf</w:t>
            </w:r>
            <w:r w:rsidRPr="00177D63">
              <w:rPr>
                <w:b/>
                <w:bCs/>
                <w:lang w:val="fr-FR"/>
              </w:rPr>
              <w:t>.</w:t>
            </w:r>
            <w:r w:rsidRPr="00177D63">
              <w:rPr>
                <w:b/>
                <w:bCs/>
                <w:lang w:val="fr-FR"/>
              </w:rPr>
              <w:t xml:space="preserve"> corrosion</w:t>
            </w:r>
          </w:p>
        </w:tc>
        <w:tc>
          <w:tcPr>
            <w:tcW w:w="2661" w:type="dxa"/>
            <w:tcBorders>
              <w:bottom w:val="single" w:sz="12" w:space="0" w:color="auto"/>
            </w:tcBorders>
            <w:shd w:val="clear" w:color="auto" w:fill="auto"/>
          </w:tcPr>
          <w:p w14:paraId="60729287" w14:textId="77777777" w:rsidR="00D04A8C" w:rsidRPr="0091077E" w:rsidRDefault="00D04A8C" w:rsidP="0091077E">
            <w:pPr>
              <w:suppressAutoHyphens w:val="0"/>
              <w:spacing w:before="40" w:after="120"/>
              <w:ind w:right="113"/>
              <w:rPr>
                <w:lang w:val="fr-FR"/>
              </w:rPr>
            </w:pPr>
            <w:r w:rsidRPr="0091077E">
              <w:rPr>
                <w:lang w:val="fr-FR"/>
              </w:rPr>
              <w:t>Nécrose profonde chez au moins un animal</w:t>
            </w:r>
          </w:p>
        </w:tc>
        <w:tc>
          <w:tcPr>
            <w:tcW w:w="2728" w:type="dxa"/>
            <w:tcBorders>
              <w:bottom w:val="single" w:sz="12" w:space="0" w:color="auto"/>
            </w:tcBorders>
            <w:shd w:val="clear" w:color="auto" w:fill="auto"/>
          </w:tcPr>
          <w:p w14:paraId="266C1C09" w14:textId="77777777" w:rsidR="00D04A8C" w:rsidRPr="0091077E" w:rsidRDefault="00D04A8C" w:rsidP="0091077E">
            <w:pPr>
              <w:suppressAutoHyphens w:val="0"/>
              <w:spacing w:before="40" w:after="120"/>
              <w:ind w:right="113"/>
              <w:rPr>
                <w:lang w:val="fr-FR"/>
              </w:rPr>
            </w:pPr>
            <w:r w:rsidRPr="0091077E">
              <w:rPr>
                <w:lang w:val="fr-FR"/>
              </w:rPr>
              <w:t>Destruction (= ulcération ou nécrose) ou altération irréversible du tissu</w:t>
            </w:r>
          </w:p>
        </w:tc>
        <w:tc>
          <w:tcPr>
            <w:tcW w:w="2728" w:type="dxa"/>
            <w:tcBorders>
              <w:bottom w:val="single" w:sz="12" w:space="0" w:color="auto"/>
            </w:tcBorders>
            <w:shd w:val="clear" w:color="auto" w:fill="auto"/>
          </w:tcPr>
          <w:p w14:paraId="1C7C5AB1" w14:textId="77777777" w:rsidR="00D04A8C" w:rsidRPr="0091077E" w:rsidRDefault="00D04A8C" w:rsidP="0091077E">
            <w:pPr>
              <w:suppressAutoHyphens w:val="0"/>
              <w:spacing w:before="40" w:after="120"/>
              <w:ind w:right="113"/>
              <w:rPr>
                <w:lang w:val="fr-FR"/>
              </w:rPr>
            </w:pPr>
            <w:r w:rsidRPr="0091077E">
              <w:rPr>
                <w:lang w:val="fr-FR"/>
              </w:rPr>
              <w:t>Destruction (= ulcération ou nécrose) ou altération irréversible du tissu</w:t>
            </w:r>
          </w:p>
        </w:tc>
        <w:tc>
          <w:tcPr>
            <w:tcW w:w="4339" w:type="dxa"/>
            <w:tcBorders>
              <w:bottom w:val="single" w:sz="12" w:space="0" w:color="auto"/>
            </w:tcBorders>
            <w:shd w:val="clear" w:color="auto" w:fill="auto"/>
          </w:tcPr>
          <w:p w14:paraId="69AFEE79" w14:textId="27C6BC73" w:rsidR="00D04A8C" w:rsidRPr="0091077E" w:rsidRDefault="00D04A8C" w:rsidP="0091077E">
            <w:pPr>
              <w:suppressAutoHyphens w:val="0"/>
              <w:spacing w:before="40" w:after="120"/>
              <w:ind w:right="113"/>
              <w:rPr>
                <w:lang w:val="fr-FR"/>
              </w:rPr>
            </w:pPr>
            <w:r w:rsidRPr="0091077E">
              <w:rPr>
                <w:lang w:val="fr-FR"/>
              </w:rPr>
              <w:t>La corrosion cutanée est la production de lésions irréversibles de la peau ; à savoir, une nécrose visible à travers l’épiderme et dans le derme, suite à l’application d’un produit chimique lors de l’essai pendant une période pouvant aller jusqu’à quatre heures</w:t>
            </w:r>
            <w:r w:rsidRPr="0091077E">
              <w:rPr>
                <w:lang w:val="fr-FR"/>
              </w:rPr>
              <w:t>.</w:t>
            </w:r>
          </w:p>
          <w:p w14:paraId="1D5C7E50" w14:textId="1F0F353C" w:rsidR="00D04A8C" w:rsidRPr="0091077E" w:rsidRDefault="00D04A8C" w:rsidP="0091077E">
            <w:pPr>
              <w:suppressAutoHyphens w:val="0"/>
              <w:spacing w:before="40" w:after="120"/>
              <w:ind w:right="113"/>
              <w:rPr>
                <w:lang w:val="fr-FR"/>
              </w:rPr>
            </w:pPr>
            <w:r w:rsidRPr="0091077E">
              <w:rPr>
                <w:lang w:val="fr-FR"/>
              </w:rPr>
              <w:t>Les réactions corrosives se caractérisent par des ulcères, des saignements, des croûtes sanglantes et, à la fin de l’observation, au bout de 14 jours, par une décoloration due au blanchiment de la peau, des zones complètes d’alopécie et des cicatrices</w:t>
            </w:r>
            <w:r w:rsidRPr="0091077E">
              <w:rPr>
                <w:lang w:val="fr-FR"/>
              </w:rPr>
              <w:t>.</w:t>
            </w:r>
          </w:p>
        </w:tc>
      </w:tr>
    </w:tbl>
    <w:p w14:paraId="23CF2673" w14:textId="77777777" w:rsidR="00D04A8C" w:rsidRPr="00FE2049" w:rsidRDefault="00D04A8C" w:rsidP="00D04A8C">
      <w:pPr>
        <w:rPr>
          <w:lang w:val="fr-FR"/>
        </w:rPr>
      </w:pP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2672"/>
        <w:gridCol w:w="2729"/>
        <w:gridCol w:w="2732"/>
        <w:gridCol w:w="4342"/>
      </w:tblGrid>
      <w:tr w:rsidR="00D04A8C" w:rsidRPr="008816B3" w14:paraId="0A11D9A0" w14:textId="77777777" w:rsidTr="00CB4A11">
        <w:trPr>
          <w:tblHeader/>
        </w:trPr>
        <w:tc>
          <w:tcPr>
            <w:tcW w:w="1301" w:type="dxa"/>
            <w:tcBorders>
              <w:top w:val="single" w:sz="4" w:space="0" w:color="auto"/>
              <w:bottom w:val="single" w:sz="12" w:space="0" w:color="auto"/>
            </w:tcBorders>
            <w:shd w:val="clear" w:color="auto" w:fill="auto"/>
            <w:vAlign w:val="bottom"/>
          </w:tcPr>
          <w:p w14:paraId="5D02D754" w14:textId="77777777" w:rsidR="00D04A8C" w:rsidRPr="008816B3" w:rsidRDefault="00D04A8C" w:rsidP="00CB4A11">
            <w:pPr>
              <w:suppressAutoHyphens w:val="0"/>
              <w:spacing w:before="80" w:after="80" w:line="200" w:lineRule="exact"/>
              <w:ind w:right="113"/>
              <w:rPr>
                <w:b/>
                <w:bCs/>
                <w:i/>
                <w:sz w:val="16"/>
                <w:szCs w:val="16"/>
                <w:lang w:val="fr-FR"/>
              </w:rPr>
            </w:pPr>
          </w:p>
        </w:tc>
        <w:tc>
          <w:tcPr>
            <w:tcW w:w="2672" w:type="dxa"/>
            <w:tcBorders>
              <w:top w:val="single" w:sz="4" w:space="0" w:color="auto"/>
              <w:bottom w:val="single" w:sz="12" w:space="0" w:color="auto"/>
            </w:tcBorders>
            <w:shd w:val="clear" w:color="auto" w:fill="auto"/>
            <w:vAlign w:val="bottom"/>
          </w:tcPr>
          <w:p w14:paraId="510B8B47" w14:textId="77777777" w:rsidR="00D04A8C" w:rsidRPr="008816B3" w:rsidRDefault="00D04A8C" w:rsidP="00CB4A11">
            <w:pPr>
              <w:suppressAutoHyphens w:val="0"/>
              <w:spacing w:before="80" w:after="80" w:line="200" w:lineRule="exact"/>
              <w:ind w:right="113"/>
              <w:rPr>
                <w:i/>
                <w:sz w:val="16"/>
                <w:szCs w:val="16"/>
              </w:rPr>
            </w:pPr>
            <w:r w:rsidRPr="008816B3">
              <w:rPr>
                <w:i/>
                <w:iCs/>
                <w:sz w:val="16"/>
                <w:szCs w:val="16"/>
                <w:lang w:val="fr-FR"/>
              </w:rPr>
              <w:t>Rapport d’étude 2000</w:t>
            </w:r>
          </w:p>
        </w:tc>
        <w:tc>
          <w:tcPr>
            <w:tcW w:w="2729" w:type="dxa"/>
            <w:tcBorders>
              <w:top w:val="single" w:sz="4" w:space="0" w:color="auto"/>
              <w:bottom w:val="single" w:sz="12" w:space="0" w:color="auto"/>
            </w:tcBorders>
            <w:shd w:val="clear" w:color="auto" w:fill="auto"/>
            <w:vAlign w:val="bottom"/>
          </w:tcPr>
          <w:p w14:paraId="42EB13DC" w14:textId="77777777" w:rsidR="00D04A8C" w:rsidRPr="008816B3" w:rsidRDefault="00D04A8C" w:rsidP="00CB4A11">
            <w:pPr>
              <w:suppressAutoHyphens w:val="0"/>
              <w:spacing w:before="80" w:after="80" w:line="200" w:lineRule="exact"/>
              <w:ind w:right="113"/>
              <w:rPr>
                <w:i/>
                <w:sz w:val="16"/>
                <w:szCs w:val="16"/>
              </w:rPr>
            </w:pPr>
            <w:r w:rsidRPr="008816B3">
              <w:rPr>
                <w:i/>
                <w:iCs/>
                <w:sz w:val="16"/>
                <w:szCs w:val="16"/>
                <w:lang w:val="fr-FR"/>
              </w:rPr>
              <w:t>Rapport d’étude 1989</w:t>
            </w:r>
          </w:p>
        </w:tc>
        <w:tc>
          <w:tcPr>
            <w:tcW w:w="2732" w:type="dxa"/>
            <w:tcBorders>
              <w:top w:val="single" w:sz="4" w:space="0" w:color="auto"/>
              <w:bottom w:val="single" w:sz="12" w:space="0" w:color="auto"/>
            </w:tcBorders>
            <w:shd w:val="clear" w:color="auto" w:fill="auto"/>
            <w:vAlign w:val="bottom"/>
          </w:tcPr>
          <w:p w14:paraId="4F65BC6F" w14:textId="77777777" w:rsidR="00D04A8C" w:rsidRPr="008816B3" w:rsidRDefault="00D04A8C" w:rsidP="00CB4A11">
            <w:pPr>
              <w:suppressAutoHyphens w:val="0"/>
              <w:spacing w:before="80" w:after="80" w:line="200" w:lineRule="exact"/>
              <w:ind w:right="113"/>
              <w:rPr>
                <w:i/>
                <w:sz w:val="16"/>
                <w:szCs w:val="16"/>
              </w:rPr>
            </w:pPr>
            <w:r w:rsidRPr="008816B3">
              <w:rPr>
                <w:i/>
                <w:iCs/>
                <w:sz w:val="16"/>
                <w:szCs w:val="16"/>
                <w:lang w:val="fr-FR"/>
              </w:rPr>
              <w:t>Rapport d’étude 1988</w:t>
            </w:r>
          </w:p>
        </w:tc>
        <w:tc>
          <w:tcPr>
            <w:tcW w:w="4342" w:type="dxa"/>
            <w:tcBorders>
              <w:top w:val="single" w:sz="4" w:space="0" w:color="auto"/>
              <w:bottom w:val="single" w:sz="12" w:space="0" w:color="auto"/>
            </w:tcBorders>
            <w:shd w:val="clear" w:color="auto" w:fill="auto"/>
            <w:vAlign w:val="bottom"/>
          </w:tcPr>
          <w:p w14:paraId="0CFABC2E" w14:textId="77777777" w:rsidR="00D04A8C" w:rsidRPr="008816B3" w:rsidRDefault="00D04A8C" w:rsidP="00CB4A11">
            <w:pPr>
              <w:suppressAutoHyphens w:val="0"/>
              <w:spacing w:before="80" w:after="80" w:line="200" w:lineRule="exact"/>
              <w:ind w:right="113"/>
              <w:rPr>
                <w:i/>
                <w:sz w:val="16"/>
                <w:szCs w:val="16"/>
                <w:lang w:val="fr-FR"/>
              </w:rPr>
            </w:pPr>
            <w:r w:rsidRPr="008816B3">
              <w:rPr>
                <w:i/>
                <w:iCs/>
                <w:sz w:val="16"/>
                <w:szCs w:val="16"/>
                <w:lang w:val="fr-FR"/>
              </w:rPr>
              <w:t>Ligne directrice n° 404 de l’OCDE, dernière mise à jour : 2015</w:t>
            </w:r>
          </w:p>
        </w:tc>
      </w:tr>
      <w:tr w:rsidR="00D04A8C" w:rsidRPr="00F92173" w14:paraId="337B7B28" w14:textId="77777777" w:rsidTr="00CB4A11">
        <w:trPr>
          <w:trHeight w:hRule="exact" w:val="113"/>
        </w:trPr>
        <w:tc>
          <w:tcPr>
            <w:tcW w:w="1301" w:type="dxa"/>
            <w:tcBorders>
              <w:top w:val="single" w:sz="12" w:space="0" w:color="auto"/>
            </w:tcBorders>
            <w:shd w:val="clear" w:color="auto" w:fill="auto"/>
          </w:tcPr>
          <w:p w14:paraId="69D68958" w14:textId="77777777" w:rsidR="00D04A8C" w:rsidRPr="00FE2049" w:rsidRDefault="00D04A8C" w:rsidP="00CB4A11">
            <w:pPr>
              <w:suppressAutoHyphens w:val="0"/>
              <w:spacing w:before="40" w:after="120"/>
              <w:ind w:right="113"/>
              <w:rPr>
                <w:b/>
                <w:bCs/>
                <w:lang w:val="fr-FR"/>
              </w:rPr>
            </w:pPr>
          </w:p>
        </w:tc>
        <w:tc>
          <w:tcPr>
            <w:tcW w:w="2672" w:type="dxa"/>
            <w:tcBorders>
              <w:top w:val="single" w:sz="12" w:space="0" w:color="auto"/>
            </w:tcBorders>
            <w:shd w:val="clear" w:color="auto" w:fill="auto"/>
          </w:tcPr>
          <w:p w14:paraId="665FD3FA" w14:textId="77777777" w:rsidR="00D04A8C" w:rsidRPr="00FE2049" w:rsidRDefault="00D04A8C" w:rsidP="00CB4A11">
            <w:pPr>
              <w:suppressAutoHyphens w:val="0"/>
              <w:spacing w:before="40" w:after="120"/>
              <w:ind w:right="113"/>
              <w:rPr>
                <w:lang w:val="fr-FR"/>
              </w:rPr>
            </w:pPr>
          </w:p>
        </w:tc>
        <w:tc>
          <w:tcPr>
            <w:tcW w:w="2729" w:type="dxa"/>
            <w:tcBorders>
              <w:top w:val="single" w:sz="12" w:space="0" w:color="auto"/>
            </w:tcBorders>
            <w:shd w:val="clear" w:color="auto" w:fill="auto"/>
          </w:tcPr>
          <w:p w14:paraId="055403F4" w14:textId="77777777" w:rsidR="00D04A8C" w:rsidRPr="00FE2049" w:rsidRDefault="00D04A8C" w:rsidP="00CB4A11">
            <w:pPr>
              <w:suppressAutoHyphens w:val="0"/>
              <w:spacing w:before="40" w:after="120"/>
              <w:ind w:right="113"/>
              <w:rPr>
                <w:lang w:val="fr-FR"/>
              </w:rPr>
            </w:pPr>
          </w:p>
        </w:tc>
        <w:tc>
          <w:tcPr>
            <w:tcW w:w="2732" w:type="dxa"/>
            <w:tcBorders>
              <w:top w:val="single" w:sz="12" w:space="0" w:color="auto"/>
            </w:tcBorders>
            <w:shd w:val="clear" w:color="auto" w:fill="auto"/>
          </w:tcPr>
          <w:p w14:paraId="03284ADC" w14:textId="77777777" w:rsidR="00D04A8C" w:rsidRPr="00FE2049" w:rsidRDefault="00D04A8C" w:rsidP="00CB4A11">
            <w:pPr>
              <w:suppressAutoHyphens w:val="0"/>
              <w:spacing w:before="40" w:after="120"/>
              <w:ind w:right="113"/>
              <w:rPr>
                <w:lang w:val="fr-FR"/>
              </w:rPr>
            </w:pPr>
          </w:p>
        </w:tc>
        <w:tc>
          <w:tcPr>
            <w:tcW w:w="4342" w:type="dxa"/>
            <w:tcBorders>
              <w:top w:val="single" w:sz="12" w:space="0" w:color="auto"/>
            </w:tcBorders>
            <w:shd w:val="clear" w:color="auto" w:fill="auto"/>
          </w:tcPr>
          <w:p w14:paraId="3BCC9BA2" w14:textId="77777777" w:rsidR="00D04A8C" w:rsidRPr="00FE2049" w:rsidRDefault="00D04A8C" w:rsidP="00CB4A11">
            <w:pPr>
              <w:suppressAutoHyphens w:val="0"/>
              <w:spacing w:before="40" w:after="120"/>
              <w:ind w:right="113"/>
              <w:rPr>
                <w:lang w:val="fr-FR"/>
              </w:rPr>
            </w:pPr>
          </w:p>
        </w:tc>
      </w:tr>
      <w:tr w:rsidR="00D04A8C" w:rsidRPr="00D52133" w14:paraId="6BA78553" w14:textId="77777777" w:rsidTr="00CB4A11">
        <w:tc>
          <w:tcPr>
            <w:tcW w:w="1301" w:type="dxa"/>
            <w:tcBorders>
              <w:bottom w:val="single" w:sz="12" w:space="0" w:color="auto"/>
            </w:tcBorders>
            <w:shd w:val="clear" w:color="auto" w:fill="auto"/>
          </w:tcPr>
          <w:p w14:paraId="23308E31" w14:textId="77777777" w:rsidR="00D04A8C" w:rsidRPr="00040621" w:rsidRDefault="00D04A8C" w:rsidP="00CB4A11">
            <w:pPr>
              <w:suppressAutoHyphens w:val="0"/>
              <w:spacing w:before="40" w:after="120"/>
              <w:ind w:right="113"/>
              <w:rPr>
                <w:b/>
                <w:bCs/>
              </w:rPr>
            </w:pPr>
            <w:r>
              <w:rPr>
                <w:b/>
                <w:bCs/>
                <w:lang w:val="fr-FR"/>
              </w:rPr>
              <w:t>Résultats</w:t>
            </w:r>
          </w:p>
        </w:tc>
        <w:tc>
          <w:tcPr>
            <w:tcW w:w="2672" w:type="dxa"/>
            <w:tcBorders>
              <w:bottom w:val="single" w:sz="12" w:space="0" w:color="auto"/>
            </w:tcBorders>
            <w:shd w:val="clear" w:color="auto" w:fill="auto"/>
          </w:tcPr>
          <w:p w14:paraId="18CBAD6B" w14:textId="34B46F8B" w:rsidR="00D04A8C" w:rsidRPr="00FE2049" w:rsidRDefault="00D04A8C" w:rsidP="00CB4A11">
            <w:pPr>
              <w:suppressAutoHyphens w:val="0"/>
              <w:spacing w:before="40" w:after="120"/>
              <w:ind w:right="113"/>
              <w:rPr>
                <w:lang w:val="fr-FR"/>
              </w:rPr>
            </w:pPr>
            <w:r>
              <w:rPr>
                <w:u w:val="single"/>
                <w:lang w:val="fr-FR"/>
              </w:rPr>
              <w:t xml:space="preserve">Exposition de 3 minutes </w:t>
            </w:r>
            <w:r>
              <w:rPr>
                <w:lang w:val="fr-FR"/>
              </w:rPr>
              <w:t>: -</w:t>
            </w:r>
            <w:r w:rsidR="00177D63">
              <w:rPr>
                <w:lang w:val="fr-FR"/>
              </w:rPr>
              <w:t> </w:t>
            </w:r>
            <w:r>
              <w:rPr>
                <w:lang w:val="fr-FR"/>
              </w:rPr>
              <w:t>lecture après 1 heure &gt; pas d’indication de corrosivité -</w:t>
            </w:r>
            <w:r w:rsidR="00177D63">
              <w:rPr>
                <w:lang w:val="fr-FR"/>
              </w:rPr>
              <w:t> </w:t>
            </w:r>
            <w:r>
              <w:rPr>
                <w:lang w:val="fr-FR"/>
              </w:rPr>
              <w:t>lecture après 24 heures &gt; indication positive de corrosivité</w:t>
            </w:r>
          </w:p>
          <w:p w14:paraId="58C89D83" w14:textId="66EF8188" w:rsidR="00D04A8C" w:rsidRPr="00FE2049" w:rsidRDefault="00D04A8C" w:rsidP="00CB4A11">
            <w:pPr>
              <w:suppressAutoHyphens w:val="0"/>
              <w:spacing w:before="40" w:after="120"/>
              <w:ind w:right="113"/>
              <w:rPr>
                <w:lang w:val="fr-FR"/>
              </w:rPr>
            </w:pPr>
            <w:r>
              <w:rPr>
                <w:u w:val="single"/>
                <w:lang w:val="fr-FR"/>
              </w:rPr>
              <w:t xml:space="preserve">Exposition de 1 heure </w:t>
            </w:r>
            <w:r>
              <w:rPr>
                <w:lang w:val="fr-FR"/>
              </w:rPr>
              <w:t>: -</w:t>
            </w:r>
            <w:r w:rsidR="00177D63">
              <w:rPr>
                <w:lang w:val="fr-FR"/>
              </w:rPr>
              <w:t> </w:t>
            </w:r>
            <w:r>
              <w:rPr>
                <w:lang w:val="fr-FR"/>
              </w:rPr>
              <w:t>lecture après 1 heure &gt; pas d’indication de corrosivité -</w:t>
            </w:r>
            <w:r w:rsidR="00177D63">
              <w:rPr>
                <w:lang w:val="fr-FR"/>
              </w:rPr>
              <w:t> </w:t>
            </w:r>
            <w:r>
              <w:rPr>
                <w:lang w:val="fr-FR"/>
              </w:rPr>
              <w:t xml:space="preserve">lecture après 24 heures &gt; indication positive de corrosivité, pas totalement réversible, érythème 4/4, œdème 2/4 </w:t>
            </w:r>
          </w:p>
          <w:p w14:paraId="234F9AE9" w14:textId="77777777" w:rsidR="00D04A8C" w:rsidRPr="001038CA" w:rsidRDefault="00D04A8C" w:rsidP="00CB4A11">
            <w:pPr>
              <w:suppressAutoHyphens w:val="0"/>
              <w:spacing w:before="40" w:after="120"/>
              <w:ind w:right="113"/>
              <w:rPr>
                <w:b/>
                <w:bCs/>
              </w:rPr>
            </w:pPr>
            <w:r>
              <w:rPr>
                <w:b/>
                <w:bCs/>
                <w:lang w:val="fr-FR"/>
              </w:rPr>
              <w:t>&gt; Catégorie 1</w:t>
            </w:r>
          </w:p>
        </w:tc>
        <w:tc>
          <w:tcPr>
            <w:tcW w:w="2729" w:type="dxa"/>
            <w:tcBorders>
              <w:bottom w:val="single" w:sz="12" w:space="0" w:color="auto"/>
            </w:tcBorders>
            <w:shd w:val="clear" w:color="auto" w:fill="auto"/>
          </w:tcPr>
          <w:p w14:paraId="3FF69AD6" w14:textId="0927F98C" w:rsidR="00D04A8C" w:rsidRPr="00FE2049" w:rsidRDefault="00D04A8C" w:rsidP="00CB4A11">
            <w:pPr>
              <w:suppressAutoHyphens w:val="0"/>
              <w:spacing w:before="40" w:after="120"/>
              <w:ind w:right="113"/>
              <w:rPr>
                <w:lang w:val="fr-FR"/>
              </w:rPr>
            </w:pPr>
            <w:r>
              <w:rPr>
                <w:u w:val="single"/>
                <w:lang w:val="fr-FR"/>
              </w:rPr>
              <w:t xml:space="preserve">Exposition de 3 minutes </w:t>
            </w:r>
            <w:r>
              <w:rPr>
                <w:lang w:val="fr-FR"/>
              </w:rPr>
              <w:t xml:space="preserve">: </w:t>
            </w:r>
            <w:r w:rsidR="00177D63">
              <w:rPr>
                <w:lang w:val="fr-FR"/>
              </w:rPr>
              <w:br/>
            </w:r>
            <w:r>
              <w:rPr>
                <w:lang w:val="fr-FR"/>
              </w:rPr>
              <w:t xml:space="preserve">24/48 heures &gt; érythème 4/4, œdème 2/4 </w:t>
            </w:r>
          </w:p>
          <w:p w14:paraId="729ED470" w14:textId="77777777" w:rsidR="00D04A8C" w:rsidRPr="001038CA" w:rsidRDefault="00D04A8C" w:rsidP="00CB4A11">
            <w:pPr>
              <w:suppressAutoHyphens w:val="0"/>
              <w:spacing w:before="40" w:after="120"/>
              <w:ind w:right="113"/>
              <w:rPr>
                <w:b/>
                <w:bCs/>
              </w:rPr>
            </w:pPr>
            <w:r>
              <w:rPr>
                <w:b/>
                <w:bCs/>
                <w:lang w:val="fr-FR"/>
              </w:rPr>
              <w:t>&gt; Catégorie 1A</w:t>
            </w:r>
          </w:p>
        </w:tc>
        <w:tc>
          <w:tcPr>
            <w:tcW w:w="2732" w:type="dxa"/>
            <w:tcBorders>
              <w:bottom w:val="single" w:sz="12" w:space="0" w:color="auto"/>
            </w:tcBorders>
            <w:shd w:val="clear" w:color="auto" w:fill="auto"/>
          </w:tcPr>
          <w:p w14:paraId="5248BE94" w14:textId="0D492B5B" w:rsidR="00D04A8C" w:rsidRPr="00FE2049" w:rsidRDefault="00D04A8C" w:rsidP="00CB4A11">
            <w:pPr>
              <w:suppressAutoHyphens w:val="0"/>
              <w:spacing w:before="40" w:after="120"/>
              <w:ind w:right="113"/>
              <w:rPr>
                <w:lang w:val="fr-FR"/>
              </w:rPr>
            </w:pPr>
            <w:r>
              <w:rPr>
                <w:u w:val="single"/>
                <w:lang w:val="fr-FR"/>
              </w:rPr>
              <w:t xml:space="preserve">Exposition de 1 heure </w:t>
            </w:r>
            <w:r>
              <w:rPr>
                <w:lang w:val="fr-FR"/>
              </w:rPr>
              <w:t xml:space="preserve">: </w:t>
            </w:r>
            <w:r w:rsidR="00177D63">
              <w:rPr>
                <w:lang w:val="fr-FR"/>
              </w:rPr>
              <w:br/>
            </w:r>
            <w:r>
              <w:rPr>
                <w:lang w:val="fr-FR"/>
              </w:rPr>
              <w:t>30 min/24 h/48 h &gt; érythème 4/4 non réversible, œdème 1/4 totalement réversible en 48 heures (chez un lapin 1/4 après 48 heures)</w:t>
            </w:r>
          </w:p>
          <w:p w14:paraId="4BC41133" w14:textId="77777777" w:rsidR="00D04A8C" w:rsidRPr="00D52133" w:rsidRDefault="00D04A8C" w:rsidP="00CB4A11">
            <w:pPr>
              <w:suppressAutoHyphens w:val="0"/>
              <w:spacing w:before="40" w:after="120"/>
              <w:ind w:right="113"/>
            </w:pPr>
            <w:r>
              <w:rPr>
                <w:b/>
                <w:bCs/>
                <w:lang w:val="fr-FR"/>
              </w:rPr>
              <w:t>&gt; Catégorie 1</w:t>
            </w:r>
          </w:p>
        </w:tc>
        <w:tc>
          <w:tcPr>
            <w:tcW w:w="4342" w:type="dxa"/>
            <w:tcBorders>
              <w:bottom w:val="single" w:sz="12" w:space="0" w:color="auto"/>
            </w:tcBorders>
            <w:shd w:val="clear" w:color="auto" w:fill="auto"/>
          </w:tcPr>
          <w:p w14:paraId="3BD4BEC6" w14:textId="77777777" w:rsidR="00D04A8C" w:rsidRPr="00D52133" w:rsidRDefault="00D04A8C" w:rsidP="00CB4A11">
            <w:pPr>
              <w:suppressAutoHyphens w:val="0"/>
              <w:spacing w:before="40" w:after="120"/>
              <w:ind w:right="113"/>
            </w:pPr>
          </w:p>
        </w:tc>
      </w:tr>
    </w:tbl>
    <w:p w14:paraId="5BE4F1AC" w14:textId="07448117" w:rsidR="00446FE5" w:rsidRPr="00D04A8C" w:rsidRDefault="00D04A8C" w:rsidP="00D04A8C">
      <w:pPr>
        <w:pStyle w:val="SingleTxtG"/>
        <w:spacing w:before="240" w:after="0"/>
        <w:jc w:val="center"/>
        <w:rPr>
          <w:u w:val="single"/>
        </w:rPr>
      </w:pPr>
      <w:r>
        <w:rPr>
          <w:u w:val="single"/>
        </w:rPr>
        <w:tab/>
      </w:r>
      <w:r>
        <w:rPr>
          <w:u w:val="single"/>
        </w:rPr>
        <w:tab/>
      </w:r>
      <w:r>
        <w:rPr>
          <w:u w:val="single"/>
        </w:rPr>
        <w:tab/>
      </w:r>
    </w:p>
    <w:sectPr w:rsidR="00446FE5" w:rsidRPr="00D04A8C" w:rsidSect="00D04A8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DA8B" w14:textId="77777777" w:rsidR="00DB6EEF" w:rsidRDefault="00DB6EEF" w:rsidP="00F95C08">
      <w:pPr>
        <w:spacing w:line="240" w:lineRule="auto"/>
      </w:pPr>
    </w:p>
  </w:endnote>
  <w:endnote w:type="continuationSeparator" w:id="0">
    <w:p w14:paraId="7B03E21A" w14:textId="77777777" w:rsidR="00DB6EEF" w:rsidRPr="00AC3823" w:rsidRDefault="00DB6EEF" w:rsidP="00AC3823">
      <w:pPr>
        <w:pStyle w:val="Pieddepage"/>
      </w:pPr>
    </w:p>
  </w:endnote>
  <w:endnote w:type="continuationNotice" w:id="1">
    <w:p w14:paraId="03DCD8AD" w14:textId="77777777" w:rsidR="00DB6EEF" w:rsidRDefault="00DB6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1989" w14:textId="27A59CB5" w:rsidR="009B0880" w:rsidRPr="009B0880" w:rsidRDefault="009B0880" w:rsidP="009B0880">
    <w:pPr>
      <w:pStyle w:val="Pieddepage"/>
      <w:tabs>
        <w:tab w:val="right" w:pos="9638"/>
      </w:tabs>
    </w:pPr>
    <w:r w:rsidRPr="009B0880">
      <w:rPr>
        <w:b/>
        <w:sz w:val="18"/>
      </w:rPr>
      <w:fldChar w:fldCharType="begin"/>
    </w:r>
    <w:r w:rsidRPr="009B0880">
      <w:rPr>
        <w:b/>
        <w:sz w:val="18"/>
      </w:rPr>
      <w:instrText xml:space="preserve"> PAGE  \* MERGEFORMAT </w:instrText>
    </w:r>
    <w:r w:rsidRPr="009B0880">
      <w:rPr>
        <w:b/>
        <w:sz w:val="18"/>
      </w:rPr>
      <w:fldChar w:fldCharType="separate"/>
    </w:r>
    <w:r w:rsidRPr="009B0880">
      <w:rPr>
        <w:b/>
        <w:noProof/>
        <w:sz w:val="18"/>
      </w:rPr>
      <w:t>2</w:t>
    </w:r>
    <w:r w:rsidRPr="009B0880">
      <w:rPr>
        <w:b/>
        <w:sz w:val="18"/>
      </w:rPr>
      <w:fldChar w:fldCharType="end"/>
    </w:r>
    <w:r>
      <w:rPr>
        <w:b/>
        <w:sz w:val="18"/>
      </w:rPr>
      <w:tab/>
    </w:r>
    <w:r>
      <w:t>GE</w:t>
    </w:r>
    <w:r w:rsidR="00565DAD" w:rsidRPr="00565DAD">
      <w:t>.</w:t>
    </w:r>
    <w:r>
      <w:t>24-06721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3B00" w14:textId="2D62F177" w:rsidR="009B0880" w:rsidRPr="009B0880" w:rsidRDefault="009B0880" w:rsidP="009B0880">
    <w:pPr>
      <w:pStyle w:val="Pieddepage"/>
      <w:tabs>
        <w:tab w:val="right" w:pos="9638"/>
      </w:tabs>
      <w:rPr>
        <w:b/>
        <w:sz w:val="18"/>
      </w:rPr>
    </w:pPr>
    <w:r>
      <w:t>GE</w:t>
    </w:r>
    <w:r w:rsidR="00565DAD" w:rsidRPr="00565DAD">
      <w:t>.</w:t>
    </w:r>
    <w:r>
      <w:t>24-06721</w:t>
    </w:r>
    <w:r>
      <w:tab/>
    </w:r>
    <w:r w:rsidRPr="009B0880">
      <w:rPr>
        <w:b/>
        <w:sz w:val="18"/>
      </w:rPr>
      <w:fldChar w:fldCharType="begin"/>
    </w:r>
    <w:r w:rsidRPr="009B0880">
      <w:rPr>
        <w:b/>
        <w:sz w:val="18"/>
      </w:rPr>
      <w:instrText xml:space="preserve"> PAGE  \* MERGEFORMAT </w:instrText>
    </w:r>
    <w:r w:rsidRPr="009B0880">
      <w:rPr>
        <w:b/>
        <w:sz w:val="18"/>
      </w:rPr>
      <w:fldChar w:fldCharType="separate"/>
    </w:r>
    <w:r w:rsidRPr="009B0880">
      <w:rPr>
        <w:b/>
        <w:noProof/>
        <w:sz w:val="18"/>
      </w:rPr>
      <w:t>3</w:t>
    </w:r>
    <w:r w:rsidRPr="009B08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8E0E" w14:textId="7FFC5985" w:rsidR="0068456F" w:rsidRPr="009B0880" w:rsidRDefault="009B0880" w:rsidP="009B0880">
    <w:pPr>
      <w:pStyle w:val="Pieddepage"/>
      <w:spacing w:before="120"/>
      <w:rPr>
        <w:sz w:val="20"/>
      </w:rPr>
    </w:pPr>
    <w:r>
      <w:rPr>
        <w:sz w:val="20"/>
      </w:rPr>
      <w:t>GE</w:t>
    </w:r>
    <w:r w:rsidR="00565DAD" w:rsidRPr="00565DAD">
      <w:rPr>
        <w:sz w:val="20"/>
      </w:rPr>
      <w:t>.</w:t>
    </w:r>
    <w:r w:rsidR="0068456F">
      <w:rPr>
        <w:noProof/>
        <w:lang w:eastAsia="fr-CH"/>
      </w:rPr>
      <w:drawing>
        <wp:anchor distT="0" distB="0" distL="114300" distR="114300" simplePos="0" relativeHeight="251659264" behindDoc="0" locked="0" layoutInCell="1" allowOverlap="0" wp14:anchorId="3E7F1E0A" wp14:editId="5C969B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24-06721  (F)</w:t>
    </w:r>
    <w:r>
      <w:rPr>
        <w:noProof/>
        <w:sz w:val="20"/>
      </w:rPr>
      <w:drawing>
        <wp:anchor distT="0" distB="0" distL="114300" distR="114300" simplePos="0" relativeHeight="251660288" behindDoc="0" locked="0" layoutInCell="1" allowOverlap="1" wp14:anchorId="17169F07" wp14:editId="73E35D07">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300424    010524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0908" w14:textId="229F834D" w:rsidR="00D04A8C" w:rsidRPr="00D04A8C" w:rsidRDefault="00D04A8C" w:rsidP="00D04A8C">
    <w:pPr>
      <w:pStyle w:val="Pieddepage"/>
    </w:pPr>
    <w:r>
      <w:rPr>
        <w:noProof/>
      </w:rPr>
      <mc:AlternateContent>
        <mc:Choice Requires="wps">
          <w:drawing>
            <wp:anchor distT="0" distB="0" distL="114300" distR="114300" simplePos="0" relativeHeight="251664384" behindDoc="0" locked="0" layoutInCell="1" allowOverlap="1" wp14:anchorId="5C7CE9CD" wp14:editId="3A0BF5D7">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B09AED" w14:textId="2614962E" w:rsidR="00D04A8C" w:rsidRPr="009B0880" w:rsidRDefault="00D04A8C" w:rsidP="00D04A8C">
                          <w:pPr>
                            <w:pStyle w:val="Pieddepage"/>
                            <w:tabs>
                              <w:tab w:val="right" w:pos="9638"/>
                            </w:tabs>
                          </w:pPr>
                          <w:r w:rsidRPr="009B0880">
                            <w:rPr>
                              <w:b/>
                              <w:sz w:val="18"/>
                            </w:rPr>
                            <w:fldChar w:fldCharType="begin"/>
                          </w:r>
                          <w:r w:rsidRPr="009B0880">
                            <w:rPr>
                              <w:b/>
                              <w:sz w:val="18"/>
                            </w:rPr>
                            <w:instrText xml:space="preserve"> PAGE  \* MERGEFORMAT </w:instrText>
                          </w:r>
                          <w:r w:rsidRPr="009B0880">
                            <w:rPr>
                              <w:b/>
                              <w:sz w:val="18"/>
                            </w:rPr>
                            <w:fldChar w:fldCharType="separate"/>
                          </w:r>
                          <w:r>
                            <w:rPr>
                              <w:b/>
                              <w:sz w:val="18"/>
                            </w:rPr>
                            <w:t>6</w:t>
                          </w:r>
                          <w:r w:rsidRPr="009B0880">
                            <w:rPr>
                              <w:b/>
                              <w:sz w:val="18"/>
                            </w:rPr>
                            <w:fldChar w:fldCharType="end"/>
                          </w:r>
                          <w:r>
                            <w:rPr>
                              <w:b/>
                              <w:sz w:val="18"/>
                            </w:rPr>
                            <w:tab/>
                          </w:r>
                          <w:r>
                            <w:t>GE</w:t>
                          </w:r>
                          <w:r w:rsidR="00565DAD" w:rsidRPr="00565DAD">
                            <w:t>.</w:t>
                          </w:r>
                          <w:r>
                            <w:t>24-06721</w:t>
                          </w:r>
                        </w:p>
                        <w:p w14:paraId="555583A2" w14:textId="77777777" w:rsidR="00D04A8C" w:rsidRDefault="00D04A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7CE9CD"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AB09AED" w14:textId="2614962E" w:rsidR="00D04A8C" w:rsidRPr="009B0880" w:rsidRDefault="00D04A8C" w:rsidP="00D04A8C">
                    <w:pPr>
                      <w:pStyle w:val="Pieddepage"/>
                      <w:tabs>
                        <w:tab w:val="right" w:pos="9638"/>
                      </w:tabs>
                    </w:pPr>
                    <w:r w:rsidRPr="009B0880">
                      <w:rPr>
                        <w:b/>
                        <w:sz w:val="18"/>
                      </w:rPr>
                      <w:fldChar w:fldCharType="begin"/>
                    </w:r>
                    <w:r w:rsidRPr="009B0880">
                      <w:rPr>
                        <w:b/>
                        <w:sz w:val="18"/>
                      </w:rPr>
                      <w:instrText xml:space="preserve"> PAGE  \* MERGEFORMAT </w:instrText>
                    </w:r>
                    <w:r w:rsidRPr="009B0880">
                      <w:rPr>
                        <w:b/>
                        <w:sz w:val="18"/>
                      </w:rPr>
                      <w:fldChar w:fldCharType="separate"/>
                    </w:r>
                    <w:r>
                      <w:rPr>
                        <w:b/>
                        <w:sz w:val="18"/>
                      </w:rPr>
                      <w:t>6</w:t>
                    </w:r>
                    <w:r w:rsidRPr="009B0880">
                      <w:rPr>
                        <w:b/>
                        <w:sz w:val="18"/>
                      </w:rPr>
                      <w:fldChar w:fldCharType="end"/>
                    </w:r>
                    <w:r>
                      <w:rPr>
                        <w:b/>
                        <w:sz w:val="18"/>
                      </w:rPr>
                      <w:tab/>
                    </w:r>
                    <w:r>
                      <w:t>GE</w:t>
                    </w:r>
                    <w:r w:rsidR="00565DAD" w:rsidRPr="00565DAD">
                      <w:t>.</w:t>
                    </w:r>
                    <w:r>
                      <w:t>24-06721</w:t>
                    </w:r>
                  </w:p>
                  <w:p w14:paraId="555583A2" w14:textId="77777777" w:rsidR="00D04A8C" w:rsidRDefault="00D04A8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B8D" w14:textId="3E6345F2" w:rsidR="00D04A8C" w:rsidRPr="00D04A8C" w:rsidRDefault="00D04A8C" w:rsidP="00D04A8C">
    <w:pPr>
      <w:pStyle w:val="Pieddepage"/>
    </w:pPr>
    <w:r>
      <w:rPr>
        <w:noProof/>
      </w:rPr>
      <mc:AlternateContent>
        <mc:Choice Requires="wps">
          <w:drawing>
            <wp:anchor distT="0" distB="0" distL="114300" distR="114300" simplePos="0" relativeHeight="251662336" behindDoc="0" locked="0" layoutInCell="1" allowOverlap="1" wp14:anchorId="017F3A39" wp14:editId="33F0B705">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0E86EC" w14:textId="3044DDCA" w:rsidR="00D04A8C" w:rsidRPr="009B0880" w:rsidRDefault="00D04A8C" w:rsidP="00D04A8C">
                          <w:pPr>
                            <w:pStyle w:val="Pieddepage"/>
                            <w:tabs>
                              <w:tab w:val="right" w:pos="9638"/>
                            </w:tabs>
                            <w:rPr>
                              <w:b/>
                              <w:sz w:val="18"/>
                            </w:rPr>
                          </w:pPr>
                          <w:r>
                            <w:t>GE</w:t>
                          </w:r>
                          <w:r w:rsidR="00565DAD" w:rsidRPr="00565DAD">
                            <w:t>.</w:t>
                          </w:r>
                          <w:r>
                            <w:t>24-06721</w:t>
                          </w:r>
                          <w:r>
                            <w:tab/>
                          </w:r>
                          <w:r w:rsidRPr="009B0880">
                            <w:rPr>
                              <w:b/>
                              <w:sz w:val="18"/>
                            </w:rPr>
                            <w:fldChar w:fldCharType="begin"/>
                          </w:r>
                          <w:r w:rsidRPr="009B0880">
                            <w:rPr>
                              <w:b/>
                              <w:sz w:val="18"/>
                            </w:rPr>
                            <w:instrText xml:space="preserve"> PAGE  \* MERGEFORMAT </w:instrText>
                          </w:r>
                          <w:r w:rsidRPr="009B0880">
                            <w:rPr>
                              <w:b/>
                              <w:sz w:val="18"/>
                            </w:rPr>
                            <w:fldChar w:fldCharType="separate"/>
                          </w:r>
                          <w:r>
                            <w:rPr>
                              <w:b/>
                              <w:sz w:val="18"/>
                            </w:rPr>
                            <w:t>5</w:t>
                          </w:r>
                          <w:r w:rsidRPr="009B0880">
                            <w:rPr>
                              <w:b/>
                              <w:sz w:val="18"/>
                            </w:rPr>
                            <w:fldChar w:fldCharType="end"/>
                          </w:r>
                        </w:p>
                        <w:p w14:paraId="47DEE7E5" w14:textId="77777777" w:rsidR="00D04A8C" w:rsidRDefault="00D04A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7F3A39"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1D0E86EC" w14:textId="3044DDCA" w:rsidR="00D04A8C" w:rsidRPr="009B0880" w:rsidRDefault="00D04A8C" w:rsidP="00D04A8C">
                    <w:pPr>
                      <w:pStyle w:val="Pieddepage"/>
                      <w:tabs>
                        <w:tab w:val="right" w:pos="9638"/>
                      </w:tabs>
                      <w:rPr>
                        <w:b/>
                        <w:sz w:val="18"/>
                      </w:rPr>
                    </w:pPr>
                    <w:r>
                      <w:t>GE</w:t>
                    </w:r>
                    <w:r w:rsidR="00565DAD" w:rsidRPr="00565DAD">
                      <w:t>.</w:t>
                    </w:r>
                    <w:r>
                      <w:t>24-06721</w:t>
                    </w:r>
                    <w:r>
                      <w:tab/>
                    </w:r>
                    <w:r w:rsidRPr="009B0880">
                      <w:rPr>
                        <w:b/>
                        <w:sz w:val="18"/>
                      </w:rPr>
                      <w:fldChar w:fldCharType="begin"/>
                    </w:r>
                    <w:r w:rsidRPr="009B0880">
                      <w:rPr>
                        <w:b/>
                        <w:sz w:val="18"/>
                      </w:rPr>
                      <w:instrText xml:space="preserve"> PAGE  \* MERGEFORMAT </w:instrText>
                    </w:r>
                    <w:r w:rsidRPr="009B0880">
                      <w:rPr>
                        <w:b/>
                        <w:sz w:val="18"/>
                      </w:rPr>
                      <w:fldChar w:fldCharType="separate"/>
                    </w:r>
                    <w:r>
                      <w:rPr>
                        <w:b/>
                        <w:sz w:val="18"/>
                      </w:rPr>
                      <w:t>5</w:t>
                    </w:r>
                    <w:r w:rsidRPr="009B0880">
                      <w:rPr>
                        <w:b/>
                        <w:sz w:val="18"/>
                      </w:rPr>
                      <w:fldChar w:fldCharType="end"/>
                    </w:r>
                  </w:p>
                  <w:p w14:paraId="47DEE7E5" w14:textId="77777777" w:rsidR="00D04A8C" w:rsidRDefault="00D04A8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A7B0" w14:textId="77777777" w:rsidR="00DB6EEF" w:rsidRPr="00AC3823" w:rsidRDefault="00DB6EEF" w:rsidP="00AC3823">
      <w:pPr>
        <w:pStyle w:val="Pieddepage"/>
        <w:tabs>
          <w:tab w:val="right" w:pos="2155"/>
        </w:tabs>
        <w:spacing w:after="80" w:line="240" w:lineRule="atLeast"/>
        <w:ind w:left="680"/>
        <w:rPr>
          <w:u w:val="single"/>
        </w:rPr>
      </w:pPr>
      <w:r>
        <w:rPr>
          <w:u w:val="single"/>
        </w:rPr>
        <w:tab/>
      </w:r>
    </w:p>
  </w:footnote>
  <w:footnote w:type="continuationSeparator" w:id="0">
    <w:p w14:paraId="272A2602" w14:textId="77777777" w:rsidR="00DB6EEF" w:rsidRPr="00AC3823" w:rsidRDefault="00DB6EEF" w:rsidP="00AC3823">
      <w:pPr>
        <w:pStyle w:val="Pieddepage"/>
        <w:tabs>
          <w:tab w:val="right" w:pos="2155"/>
        </w:tabs>
        <w:spacing w:after="80" w:line="240" w:lineRule="atLeast"/>
        <w:ind w:left="680"/>
        <w:rPr>
          <w:u w:val="single"/>
        </w:rPr>
      </w:pPr>
      <w:r>
        <w:rPr>
          <w:u w:val="single"/>
        </w:rPr>
        <w:tab/>
      </w:r>
    </w:p>
  </w:footnote>
  <w:footnote w:type="continuationNotice" w:id="1">
    <w:p w14:paraId="1646A34E" w14:textId="77777777" w:rsidR="00DB6EEF" w:rsidRPr="00AC3823" w:rsidRDefault="00DB6EEF">
      <w:pPr>
        <w:spacing w:line="240" w:lineRule="auto"/>
        <w:rPr>
          <w:sz w:val="2"/>
          <w:szCs w:val="2"/>
        </w:rPr>
      </w:pPr>
    </w:p>
  </w:footnote>
  <w:footnote w:id="2">
    <w:p w14:paraId="374FC76B" w14:textId="72207843" w:rsidR="009B0880" w:rsidRPr="00D04A8C" w:rsidRDefault="009B0880" w:rsidP="009B0880">
      <w:pPr>
        <w:pStyle w:val="Notedebasdepage"/>
        <w:rPr>
          <w:lang w:val="en-US"/>
        </w:rPr>
      </w:pPr>
      <w:r>
        <w:rPr>
          <w:lang w:val="fr-FR"/>
        </w:rPr>
        <w:tab/>
      </w:r>
      <w:r w:rsidRPr="00D04A8C">
        <w:rPr>
          <w:sz w:val="20"/>
          <w:szCs w:val="22"/>
          <w:lang w:val="en-US"/>
        </w:rPr>
        <w:t>*</w:t>
      </w:r>
      <w:r w:rsidRPr="00D04A8C">
        <w:rPr>
          <w:lang w:val="en-US"/>
        </w:rPr>
        <w:tab/>
        <w:t>A/78/6 (Sect</w:t>
      </w:r>
      <w:r w:rsidR="00565DAD" w:rsidRPr="00565DAD">
        <w:rPr>
          <w:lang w:val="en-US"/>
        </w:rPr>
        <w:t>.</w:t>
      </w:r>
      <w:r w:rsidRPr="00D04A8C">
        <w:rPr>
          <w:lang w:val="en-US"/>
        </w:rPr>
        <w:t xml:space="preserve"> 20), tableau 20</w:t>
      </w:r>
      <w:r w:rsidR="00565DAD" w:rsidRPr="00565DAD">
        <w:rPr>
          <w:lang w:val="en-US"/>
        </w:rPr>
        <w:t>.</w:t>
      </w:r>
      <w:r w:rsidRPr="00D04A8C">
        <w:rPr>
          <w:lang w:val="en-US"/>
        </w:rPr>
        <w:t>5</w:t>
      </w:r>
      <w:r w:rsidR="00565DAD" w:rsidRPr="00565DAD">
        <w:rPr>
          <w:lang w:val="en-US"/>
        </w:rPr>
        <w:t>.</w:t>
      </w:r>
    </w:p>
  </w:footnote>
  <w:footnote w:id="3">
    <w:p w14:paraId="0AA21DC1" w14:textId="4F0BD3A4" w:rsidR="009B0880" w:rsidRPr="00D04A8C" w:rsidRDefault="009B0880" w:rsidP="009B0880">
      <w:pPr>
        <w:pStyle w:val="Notedebasdepage"/>
        <w:rPr>
          <w:lang w:val="en-US"/>
        </w:rPr>
      </w:pPr>
      <w:r w:rsidRPr="00D04A8C">
        <w:rPr>
          <w:lang w:val="en-US"/>
        </w:rPr>
        <w:tab/>
      </w:r>
      <w:r w:rsidRPr="00F92173">
        <w:rPr>
          <w:rStyle w:val="Appelnotedebasdep"/>
        </w:rPr>
        <w:footnoteRef/>
      </w:r>
      <w:r w:rsidRPr="00D04A8C">
        <w:rPr>
          <w:lang w:val="en-US"/>
        </w:rPr>
        <w:tab/>
      </w:r>
      <w:hyperlink r:id="rId1" w:history="1">
        <w:r w:rsidR="00D04A8C" w:rsidRPr="00D04A8C">
          <w:rPr>
            <w:rStyle w:val="Lienhypertexte"/>
            <w:lang w:val="en-US"/>
          </w:rPr>
          <w:t>https://echa</w:t>
        </w:r>
        <w:r w:rsidR="00565DAD" w:rsidRPr="00565DAD">
          <w:rPr>
            <w:rStyle w:val="Lienhypertexte"/>
            <w:lang w:val="en-US"/>
          </w:rPr>
          <w:t>.</w:t>
        </w:r>
        <w:r w:rsidR="00D04A8C" w:rsidRPr="00D04A8C">
          <w:rPr>
            <w:rStyle w:val="Lienhypertexte"/>
            <w:lang w:val="en-US"/>
          </w:rPr>
          <w:t>europa</w:t>
        </w:r>
        <w:r w:rsidR="00565DAD" w:rsidRPr="00565DAD">
          <w:rPr>
            <w:rStyle w:val="Lienhypertexte"/>
            <w:lang w:val="en-US"/>
          </w:rPr>
          <w:t>.</w:t>
        </w:r>
        <w:r w:rsidR="00D04A8C" w:rsidRPr="00D04A8C">
          <w:rPr>
            <w:rStyle w:val="Lienhypertexte"/>
            <w:lang w:val="en-US"/>
          </w:rPr>
          <w:t>eu/en/registration-dossier/-/registered-dossier/27608/7/4/2/?documentUUID=</w:t>
        </w:r>
        <w:r w:rsidR="00D04A8C" w:rsidRPr="00D04A8C">
          <w:rPr>
            <w:rStyle w:val="Lienhypertexte"/>
            <w:lang w:val="en-US"/>
          </w:rPr>
          <w:t xml:space="preserve"> </w:t>
        </w:r>
        <w:r w:rsidR="00D04A8C" w:rsidRPr="00D04A8C">
          <w:rPr>
            <w:rStyle w:val="Lienhypertexte"/>
            <w:lang w:val="en-US"/>
          </w:rPr>
          <w:t>65c68a58-38bb-4524-9497-30d2925959a7</w:t>
        </w:r>
      </w:hyperlink>
      <w:r w:rsidR="00565DAD" w:rsidRPr="00565DAD">
        <w:rPr>
          <w:lang w:val="en-US"/>
        </w:rPr>
        <w:t>.</w:t>
      </w:r>
    </w:p>
  </w:footnote>
  <w:footnote w:id="4">
    <w:p w14:paraId="085C2C57" w14:textId="3CEAAA71" w:rsidR="009B0880" w:rsidRPr="00FE2049" w:rsidRDefault="009B0880" w:rsidP="009B0880">
      <w:pPr>
        <w:pStyle w:val="Notedebasdepage"/>
        <w:rPr>
          <w:lang w:val="fr-FR"/>
        </w:rPr>
      </w:pPr>
      <w:r w:rsidRPr="00D04A8C">
        <w:rPr>
          <w:lang w:val="en-US"/>
        </w:rPr>
        <w:tab/>
      </w:r>
      <w:r w:rsidRPr="00F92173">
        <w:rPr>
          <w:rStyle w:val="Appelnotedebasdep"/>
        </w:rPr>
        <w:footnoteRef/>
      </w:r>
      <w:r>
        <w:rPr>
          <w:lang w:val="fr-FR"/>
        </w:rPr>
        <w:tab/>
        <w:t>Agence européenne des produits chimiques</w:t>
      </w:r>
      <w:r w:rsidR="00565DAD" w:rsidRPr="00565DAD">
        <w:rPr>
          <w:lang w:val="fr-FR"/>
        </w:rPr>
        <w:t>.</w:t>
      </w:r>
    </w:p>
  </w:footnote>
  <w:footnote w:id="5">
    <w:p w14:paraId="531DB40F" w14:textId="49B46709" w:rsidR="009B0880" w:rsidRDefault="009B0880" w:rsidP="009B0880">
      <w:pPr>
        <w:pStyle w:val="Notedebasdepage"/>
        <w:rPr>
          <w:lang w:val="fr-FR"/>
        </w:rPr>
      </w:pPr>
      <w:r>
        <w:rPr>
          <w:lang w:val="fr-FR"/>
        </w:rPr>
        <w:tab/>
      </w:r>
      <w:r w:rsidRPr="00F92173">
        <w:rPr>
          <w:rStyle w:val="Appelnotedebasdep"/>
        </w:rPr>
        <w:footnoteRef/>
      </w:r>
      <w:r>
        <w:rPr>
          <w:lang w:val="fr-FR"/>
        </w:rPr>
        <w:tab/>
        <w:t>Organisation de coopération et de développement économiques</w:t>
      </w:r>
      <w:r w:rsidR="00565DAD" w:rsidRPr="00565DAD">
        <w:rPr>
          <w:lang w:val="fr-FR"/>
        </w:rPr>
        <w:t>.</w:t>
      </w:r>
    </w:p>
    <w:p w14:paraId="0E6782DE" w14:textId="77777777" w:rsidR="00D04A8C" w:rsidRPr="00FE2049" w:rsidRDefault="00D04A8C" w:rsidP="009B0880">
      <w:pPr>
        <w:pStyle w:val="Notedebasdepage"/>
        <w:rPr>
          <w:lang w:val="fr-FR"/>
        </w:rPr>
      </w:pPr>
    </w:p>
  </w:footnote>
  <w:footnote w:id="6">
    <w:p w14:paraId="359194F7" w14:textId="3F677BC2" w:rsidR="009B0880" w:rsidRPr="00FE2049" w:rsidRDefault="009B0880" w:rsidP="009B0880">
      <w:pPr>
        <w:pStyle w:val="Notedebasdepage"/>
        <w:rPr>
          <w:lang w:val="fr-FR"/>
        </w:rPr>
      </w:pPr>
      <w:r>
        <w:rPr>
          <w:lang w:val="fr-FR"/>
        </w:rPr>
        <w:tab/>
      </w:r>
      <w:r w:rsidRPr="00F92173">
        <w:rPr>
          <w:rStyle w:val="Appelnotedebasdep"/>
        </w:rPr>
        <w:footnoteRef/>
      </w:r>
      <w:r>
        <w:rPr>
          <w:lang w:val="fr-FR"/>
        </w:rPr>
        <w:tab/>
      </w:r>
      <w:hyperlink r:id="rId2" w:history="1">
        <w:r w:rsidR="00D04A8C" w:rsidRPr="008C58D5">
          <w:rPr>
            <w:rStyle w:val="Lienhypertexte"/>
            <w:lang w:val="fr-FR"/>
          </w:rPr>
          <w:t>https://pubchem</w:t>
        </w:r>
        <w:r w:rsidR="00565DAD" w:rsidRPr="00565DAD">
          <w:rPr>
            <w:rStyle w:val="Lienhypertexte"/>
            <w:lang w:val="fr-FR"/>
          </w:rPr>
          <w:t>.</w:t>
        </w:r>
        <w:r w:rsidR="00D04A8C" w:rsidRPr="008C58D5">
          <w:rPr>
            <w:rStyle w:val="Lienhypertexte"/>
            <w:lang w:val="fr-FR"/>
          </w:rPr>
          <w:t>ncbi</w:t>
        </w:r>
        <w:r w:rsidR="00565DAD" w:rsidRPr="00565DAD">
          <w:rPr>
            <w:rStyle w:val="Lienhypertexte"/>
            <w:lang w:val="fr-FR"/>
          </w:rPr>
          <w:t>.</w:t>
        </w:r>
        <w:r w:rsidR="00D04A8C" w:rsidRPr="008C58D5">
          <w:rPr>
            <w:rStyle w:val="Lienhypertexte"/>
            <w:lang w:val="fr-FR"/>
          </w:rPr>
          <w:t>nlm</w:t>
        </w:r>
        <w:r w:rsidR="00565DAD" w:rsidRPr="00565DAD">
          <w:rPr>
            <w:rStyle w:val="Lienhypertexte"/>
            <w:lang w:val="fr-FR"/>
          </w:rPr>
          <w:t>.</w:t>
        </w:r>
        <w:r w:rsidR="00D04A8C" w:rsidRPr="008C58D5">
          <w:rPr>
            <w:rStyle w:val="Lienhypertexte"/>
            <w:lang w:val="fr-FR"/>
          </w:rPr>
          <w:t>nih</w:t>
        </w:r>
        <w:r w:rsidR="00565DAD" w:rsidRPr="00565DAD">
          <w:rPr>
            <w:rStyle w:val="Lienhypertexte"/>
            <w:lang w:val="fr-FR"/>
          </w:rPr>
          <w:t>.</w:t>
        </w:r>
        <w:r w:rsidR="00D04A8C" w:rsidRPr="008C58D5">
          <w:rPr>
            <w:rStyle w:val="Lienhypertexte"/>
            <w:lang w:val="fr-FR"/>
          </w:rPr>
          <w:t>gov/compound/8037#section=Adverse-Effects</w:t>
        </w:r>
      </w:hyperlink>
      <w:r w:rsidR="00565DAD" w:rsidRPr="00565DAD">
        <w:rPr>
          <w:lang w:val="fr-FR"/>
        </w:rPr>
        <w:t>.</w:t>
      </w:r>
    </w:p>
  </w:footnote>
  <w:footnote w:id="7">
    <w:p w14:paraId="2D0CA8B0" w14:textId="23E9156E" w:rsidR="009B0880" w:rsidRPr="00FE2049" w:rsidRDefault="009B0880" w:rsidP="009B0880">
      <w:pPr>
        <w:pStyle w:val="Notedebasdepage"/>
        <w:rPr>
          <w:lang w:val="fr-FR"/>
        </w:rPr>
      </w:pPr>
      <w:r>
        <w:rPr>
          <w:lang w:val="fr-FR"/>
        </w:rPr>
        <w:tab/>
      </w:r>
      <w:r w:rsidRPr="00F92173">
        <w:rPr>
          <w:rStyle w:val="Appelnotedebasdep"/>
        </w:rPr>
        <w:footnoteRef/>
      </w:r>
      <w:r>
        <w:rPr>
          <w:lang w:val="fr-FR"/>
        </w:rPr>
        <w:tab/>
        <w:t xml:space="preserve">National Center for </w:t>
      </w:r>
      <w:proofErr w:type="spellStart"/>
      <w:r>
        <w:rPr>
          <w:lang w:val="fr-FR"/>
        </w:rPr>
        <w:t>Biotechnology</w:t>
      </w:r>
      <w:proofErr w:type="spellEnd"/>
      <w:r>
        <w:rPr>
          <w:lang w:val="fr-FR"/>
        </w:rPr>
        <w:t>, États-Unis d’Amérique</w:t>
      </w:r>
      <w:r w:rsidR="00565DAD" w:rsidRPr="00565DA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5E4" w14:textId="62D09D4E" w:rsidR="009B0880" w:rsidRPr="009B0880" w:rsidRDefault="009B0880">
    <w:pPr>
      <w:pStyle w:val="En-tte"/>
    </w:pPr>
    <w:fldSimple w:instr=" TITLE  \* MERGEFORMAT ">
      <w:r w:rsidR="0066551E">
        <w:t>ST/SG/AC.10/C.3/2024/46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79B8" w14:textId="53FD1938" w:rsidR="009B0880" w:rsidRPr="009B0880" w:rsidRDefault="009B0880" w:rsidP="009B0880">
    <w:pPr>
      <w:pStyle w:val="En-tte"/>
      <w:jc w:val="right"/>
    </w:pPr>
    <w:fldSimple w:instr=" TITLE  \* MERGEFORMAT ">
      <w:r w:rsidR="0066551E">
        <w:t>ST/SG/AC.10/C.3/2024/46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C63" w14:textId="6E650111" w:rsidR="00D04A8C" w:rsidRPr="00D04A8C" w:rsidRDefault="00D04A8C" w:rsidP="00D04A8C">
    <w:r>
      <w:rPr>
        <w:noProof/>
      </w:rPr>
      <mc:AlternateContent>
        <mc:Choice Requires="wps">
          <w:drawing>
            <wp:anchor distT="0" distB="0" distL="114300" distR="114300" simplePos="0" relativeHeight="251663360" behindDoc="0" locked="0" layoutInCell="1" allowOverlap="1" wp14:anchorId="33E6EC4D" wp14:editId="2F72BA8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CF319AB" w14:textId="3B942075" w:rsidR="00D04A8C" w:rsidRPr="009B0880" w:rsidRDefault="00D04A8C" w:rsidP="00D04A8C">
                          <w:pPr>
                            <w:pStyle w:val="En-tte"/>
                          </w:pPr>
                          <w:r>
                            <w:fldChar w:fldCharType="begin"/>
                          </w:r>
                          <w:r>
                            <w:instrText xml:space="preserve"> TITLE  \* MERGEFORMAT </w:instrText>
                          </w:r>
                          <w:r>
                            <w:fldChar w:fldCharType="separate"/>
                          </w:r>
                          <w:r w:rsidR="0066551E">
                            <w:t>ST/SG/AC.10/C.3/2024/46</w:t>
                          </w:r>
                          <w:r>
                            <w:fldChar w:fldCharType="end"/>
                          </w:r>
                        </w:p>
                        <w:p w14:paraId="04239E30" w14:textId="77777777" w:rsidR="00D04A8C" w:rsidRDefault="00D04A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E6EC4D"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7CF319AB" w14:textId="3B942075" w:rsidR="00D04A8C" w:rsidRPr="009B0880" w:rsidRDefault="00D04A8C" w:rsidP="00D04A8C">
                    <w:pPr>
                      <w:pStyle w:val="En-tte"/>
                    </w:pPr>
                    <w:r>
                      <w:fldChar w:fldCharType="begin"/>
                    </w:r>
                    <w:r>
                      <w:instrText xml:space="preserve"> TITLE  \* MERGEFORMAT </w:instrText>
                    </w:r>
                    <w:r>
                      <w:fldChar w:fldCharType="separate"/>
                    </w:r>
                    <w:r w:rsidR="0066551E">
                      <w:t>ST/SG/AC.10/C.3/2024/46</w:t>
                    </w:r>
                    <w:r>
                      <w:fldChar w:fldCharType="end"/>
                    </w:r>
                  </w:p>
                  <w:p w14:paraId="04239E30" w14:textId="77777777" w:rsidR="00D04A8C" w:rsidRDefault="00D04A8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EFEF" w14:textId="222391B6" w:rsidR="00D04A8C" w:rsidRPr="00D04A8C" w:rsidRDefault="00D04A8C" w:rsidP="00D04A8C">
    <w:r>
      <w:rPr>
        <w:noProof/>
      </w:rPr>
      <mc:AlternateContent>
        <mc:Choice Requires="wps">
          <w:drawing>
            <wp:anchor distT="0" distB="0" distL="114300" distR="114300" simplePos="0" relativeHeight="251661312" behindDoc="0" locked="0" layoutInCell="1" allowOverlap="1" wp14:anchorId="4999BBCC" wp14:editId="137FC2FE">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C6D2E2" w14:textId="0C1ECFE8" w:rsidR="00D04A8C" w:rsidRPr="009B0880" w:rsidRDefault="00D04A8C" w:rsidP="00D04A8C">
                          <w:pPr>
                            <w:pStyle w:val="En-tte"/>
                            <w:jc w:val="right"/>
                          </w:pPr>
                          <w:r>
                            <w:fldChar w:fldCharType="begin"/>
                          </w:r>
                          <w:r>
                            <w:instrText xml:space="preserve"> TITLE  \* MERGEFORMAT </w:instrText>
                          </w:r>
                          <w:r>
                            <w:fldChar w:fldCharType="separate"/>
                          </w:r>
                          <w:r w:rsidR="0066551E">
                            <w:t>ST/SG/AC.10/C.3/2024/46</w:t>
                          </w:r>
                          <w:r>
                            <w:fldChar w:fldCharType="end"/>
                          </w:r>
                        </w:p>
                        <w:p w14:paraId="3B9A8E38" w14:textId="77777777" w:rsidR="00D04A8C" w:rsidRDefault="00D04A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99BBCC"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DC6D2E2" w14:textId="0C1ECFE8" w:rsidR="00D04A8C" w:rsidRPr="009B0880" w:rsidRDefault="00D04A8C" w:rsidP="00D04A8C">
                    <w:pPr>
                      <w:pStyle w:val="En-tte"/>
                      <w:jc w:val="right"/>
                    </w:pPr>
                    <w:r>
                      <w:fldChar w:fldCharType="begin"/>
                    </w:r>
                    <w:r>
                      <w:instrText xml:space="preserve"> TITLE  \* MERGEFORMAT </w:instrText>
                    </w:r>
                    <w:r>
                      <w:fldChar w:fldCharType="separate"/>
                    </w:r>
                    <w:r w:rsidR="0066551E">
                      <w:t>ST/SG/AC.10/C.3/2024/46</w:t>
                    </w:r>
                    <w:r>
                      <w:fldChar w:fldCharType="end"/>
                    </w:r>
                  </w:p>
                  <w:p w14:paraId="3B9A8E38" w14:textId="77777777" w:rsidR="00D04A8C" w:rsidRDefault="00D04A8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93926478">
    <w:abstractNumId w:val="12"/>
  </w:num>
  <w:num w:numId="2" w16cid:durableId="463741810">
    <w:abstractNumId w:val="11"/>
  </w:num>
  <w:num w:numId="3" w16cid:durableId="991178548">
    <w:abstractNumId w:val="10"/>
  </w:num>
  <w:num w:numId="4" w16cid:durableId="739211934">
    <w:abstractNumId w:val="8"/>
  </w:num>
  <w:num w:numId="5" w16cid:durableId="1088697276">
    <w:abstractNumId w:val="3"/>
  </w:num>
  <w:num w:numId="6" w16cid:durableId="918371143">
    <w:abstractNumId w:val="2"/>
  </w:num>
  <w:num w:numId="7" w16cid:durableId="702170420">
    <w:abstractNumId w:val="1"/>
  </w:num>
  <w:num w:numId="8" w16cid:durableId="1092773081">
    <w:abstractNumId w:val="0"/>
  </w:num>
  <w:num w:numId="9" w16cid:durableId="907764852">
    <w:abstractNumId w:val="9"/>
  </w:num>
  <w:num w:numId="10" w16cid:durableId="1777018056">
    <w:abstractNumId w:val="7"/>
  </w:num>
  <w:num w:numId="11" w16cid:durableId="1830246205">
    <w:abstractNumId w:val="6"/>
  </w:num>
  <w:num w:numId="12" w16cid:durableId="1142234037">
    <w:abstractNumId w:val="5"/>
  </w:num>
  <w:num w:numId="13" w16cid:durableId="37555429">
    <w:abstractNumId w:val="4"/>
  </w:num>
  <w:num w:numId="14" w16cid:durableId="1077627655">
    <w:abstractNumId w:val="12"/>
  </w:num>
  <w:num w:numId="15" w16cid:durableId="1825316878">
    <w:abstractNumId w:val="11"/>
  </w:num>
  <w:num w:numId="16" w16cid:durableId="658072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EF"/>
    <w:rsid w:val="00017F94"/>
    <w:rsid w:val="00023842"/>
    <w:rsid w:val="000305D3"/>
    <w:rsid w:val="000334F9"/>
    <w:rsid w:val="0007796D"/>
    <w:rsid w:val="000B7790"/>
    <w:rsid w:val="00111F2F"/>
    <w:rsid w:val="00132EA9"/>
    <w:rsid w:val="0014365E"/>
    <w:rsid w:val="00172E49"/>
    <w:rsid w:val="00176178"/>
    <w:rsid w:val="00177D63"/>
    <w:rsid w:val="001F525A"/>
    <w:rsid w:val="00223272"/>
    <w:rsid w:val="0024779E"/>
    <w:rsid w:val="00283190"/>
    <w:rsid w:val="002832AC"/>
    <w:rsid w:val="002D7C93"/>
    <w:rsid w:val="00441C3B"/>
    <w:rsid w:val="00446FE5"/>
    <w:rsid w:val="00452396"/>
    <w:rsid w:val="004E468C"/>
    <w:rsid w:val="005505B7"/>
    <w:rsid w:val="00565DAD"/>
    <w:rsid w:val="00573BE5"/>
    <w:rsid w:val="00584DC4"/>
    <w:rsid w:val="00586ED3"/>
    <w:rsid w:val="00596AA9"/>
    <w:rsid w:val="0066551E"/>
    <w:rsid w:val="0068456F"/>
    <w:rsid w:val="0071601D"/>
    <w:rsid w:val="007A62E6"/>
    <w:rsid w:val="0080684C"/>
    <w:rsid w:val="008123E0"/>
    <w:rsid w:val="00871C75"/>
    <w:rsid w:val="008776DC"/>
    <w:rsid w:val="008816B3"/>
    <w:rsid w:val="008B40CD"/>
    <w:rsid w:val="0091077E"/>
    <w:rsid w:val="009705C8"/>
    <w:rsid w:val="009B0880"/>
    <w:rsid w:val="009C1CF4"/>
    <w:rsid w:val="00A30353"/>
    <w:rsid w:val="00A81281"/>
    <w:rsid w:val="00AC3823"/>
    <w:rsid w:val="00AE323C"/>
    <w:rsid w:val="00B00181"/>
    <w:rsid w:val="00B00B0D"/>
    <w:rsid w:val="00B765F7"/>
    <w:rsid w:val="00BA0CA9"/>
    <w:rsid w:val="00C02897"/>
    <w:rsid w:val="00D04A8C"/>
    <w:rsid w:val="00D3439C"/>
    <w:rsid w:val="00DB1831"/>
    <w:rsid w:val="00DB6EEF"/>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B4137"/>
  <w15:docId w15:val="{8A856B41-1EED-4F64-A7E8-4D2F7A44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9B0880"/>
    <w:rPr>
      <w:rFonts w:ascii="Times New Roman" w:eastAsiaTheme="minorHAnsi" w:hAnsi="Times New Roman" w:cs="Times New Roman"/>
      <w:b/>
      <w:sz w:val="28"/>
      <w:szCs w:val="20"/>
      <w:lang w:eastAsia="en-US"/>
    </w:rPr>
  </w:style>
  <w:style w:type="character" w:customStyle="1" w:styleId="H1GChar">
    <w:name w:val="_ H_1_G Char"/>
    <w:link w:val="H1G"/>
    <w:locked/>
    <w:rsid w:val="009B088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9B0880"/>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0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ubchem.ncbi.nlm.nih.gov/compound/8037#section=Adverse-Effects" TargetMode="External"/><Relationship Id="rId1" Type="http://schemas.openxmlformats.org/officeDocument/2006/relationships/hyperlink" Target="https://echa.europa.eu/en/registration-dossier/-/registered-dossier/27608/7/4/2/?documentUUID=%2065c68a58-38bb-4524-9497-30d2925959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84EFE-7C4A-4DB7-90D0-C7DC9672CA0C}"/>
</file>

<file path=customXml/itemProps2.xml><?xml version="1.0" encoding="utf-8"?>
<ds:datastoreItem xmlns:ds="http://schemas.openxmlformats.org/officeDocument/2006/customXml" ds:itemID="{39C53353-60B5-4DB4-A867-EFD9F6A5BF30}"/>
</file>

<file path=docProps/app.xml><?xml version="1.0" encoding="utf-8"?>
<Properties xmlns="http://schemas.openxmlformats.org/officeDocument/2006/extended-properties" xmlns:vt="http://schemas.openxmlformats.org/officeDocument/2006/docPropsVTypes">
  <Template>ST.dotm</Template>
  <TotalTime>4</TotalTime>
  <Pages>5</Pages>
  <Words>1004</Words>
  <Characters>7696</Characters>
  <Application>Microsoft Office Word</Application>
  <DocSecurity>0</DocSecurity>
  <Lines>2565</Lines>
  <Paragraphs>724</Paragraphs>
  <ScaleCrop>false</ScaleCrop>
  <HeadingPairs>
    <vt:vector size="2" baseType="variant">
      <vt:variant>
        <vt:lpstr>Titre</vt:lpstr>
      </vt:variant>
      <vt:variant>
        <vt:i4>1</vt:i4>
      </vt:variant>
    </vt:vector>
  </HeadingPairs>
  <TitlesOfParts>
    <vt:vector size="1" baseType="lpstr">
      <vt:lpstr>ST/SG/AC.10/C.3/2024/46</vt:lpstr>
    </vt:vector>
  </TitlesOfParts>
  <Company>DCM</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ST/SG/AC.10/C.3/2024/46</dc:title>
  <dc:subject/>
  <dc:creator>Maud DARICHE</dc:creator>
  <cp:keywords/>
  <cp:lastModifiedBy>Maud Dariche</cp:lastModifiedBy>
  <cp:revision>3</cp:revision>
  <cp:lastPrinted>2024-05-01T06:44:00Z</cp:lastPrinted>
  <dcterms:created xsi:type="dcterms:W3CDTF">2024-05-01T06:44:00Z</dcterms:created>
  <dcterms:modified xsi:type="dcterms:W3CDTF">2024-05-01T06:46:00Z</dcterms:modified>
</cp:coreProperties>
</file>