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7686AEB" w14:textId="77777777" w:rsidTr="00F01738">
        <w:trPr>
          <w:trHeight w:hRule="exact" w:val="851"/>
        </w:trPr>
        <w:tc>
          <w:tcPr>
            <w:tcW w:w="1276" w:type="dxa"/>
            <w:tcBorders>
              <w:bottom w:val="single" w:sz="4" w:space="0" w:color="auto"/>
            </w:tcBorders>
          </w:tcPr>
          <w:p w14:paraId="6C570F8B" w14:textId="77777777" w:rsidR="00132EA9" w:rsidRPr="00DB58B5" w:rsidRDefault="00132EA9" w:rsidP="00EE5557"/>
        </w:tc>
        <w:tc>
          <w:tcPr>
            <w:tcW w:w="2268" w:type="dxa"/>
            <w:tcBorders>
              <w:bottom w:val="single" w:sz="4" w:space="0" w:color="auto"/>
            </w:tcBorders>
            <w:vAlign w:val="bottom"/>
          </w:tcPr>
          <w:p w14:paraId="62FC4AB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CA6A9B" w14:textId="78AEF6B5" w:rsidR="00132EA9" w:rsidRPr="00DB58B5" w:rsidRDefault="00EE5557" w:rsidP="00EE5557">
            <w:pPr>
              <w:jc w:val="right"/>
            </w:pPr>
            <w:r w:rsidRPr="00EE5557">
              <w:rPr>
                <w:sz w:val="40"/>
              </w:rPr>
              <w:t>ST</w:t>
            </w:r>
            <w:r>
              <w:t>/SG/AC.10/C.3/2024/45</w:t>
            </w:r>
          </w:p>
        </w:tc>
      </w:tr>
      <w:tr w:rsidR="00132EA9" w:rsidRPr="00DB58B5" w14:paraId="385AC1D0" w14:textId="77777777" w:rsidTr="00F01738">
        <w:trPr>
          <w:trHeight w:hRule="exact" w:val="2835"/>
        </w:trPr>
        <w:tc>
          <w:tcPr>
            <w:tcW w:w="1276" w:type="dxa"/>
            <w:tcBorders>
              <w:top w:val="single" w:sz="4" w:space="0" w:color="auto"/>
              <w:bottom w:val="single" w:sz="12" w:space="0" w:color="auto"/>
            </w:tcBorders>
          </w:tcPr>
          <w:p w14:paraId="4BDA6C19" w14:textId="77777777" w:rsidR="00132EA9" w:rsidRPr="00DB58B5" w:rsidRDefault="00132EA9" w:rsidP="00F01738">
            <w:pPr>
              <w:spacing w:before="120"/>
              <w:jc w:val="center"/>
            </w:pPr>
            <w:r>
              <w:rPr>
                <w:noProof/>
                <w:lang w:eastAsia="fr-CH"/>
              </w:rPr>
              <w:drawing>
                <wp:inline distT="0" distB="0" distL="0" distR="0" wp14:anchorId="3F0178D6" wp14:editId="368577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71D3C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4374638" w14:textId="77777777" w:rsidR="00132EA9" w:rsidRDefault="00EE5557" w:rsidP="00F01738">
            <w:pPr>
              <w:spacing w:before="240"/>
            </w:pPr>
            <w:proofErr w:type="spellStart"/>
            <w:r>
              <w:t>Distr</w:t>
            </w:r>
            <w:proofErr w:type="spellEnd"/>
            <w:r>
              <w:t>. générale</w:t>
            </w:r>
          </w:p>
          <w:p w14:paraId="77ABFA38" w14:textId="77777777" w:rsidR="00EE5557" w:rsidRDefault="00EE5557" w:rsidP="00EE5557">
            <w:pPr>
              <w:spacing w:line="240" w:lineRule="exact"/>
            </w:pPr>
            <w:r>
              <w:t>12 avril 2024</w:t>
            </w:r>
          </w:p>
          <w:p w14:paraId="7C6FBED6" w14:textId="77777777" w:rsidR="00EE5557" w:rsidRDefault="00EE5557" w:rsidP="00EE5557">
            <w:pPr>
              <w:spacing w:line="240" w:lineRule="exact"/>
            </w:pPr>
            <w:r>
              <w:t>Français</w:t>
            </w:r>
          </w:p>
          <w:p w14:paraId="4AD71559" w14:textId="1D60CFF6" w:rsidR="00EE5557" w:rsidRPr="00DB58B5" w:rsidRDefault="00EE5557" w:rsidP="00EE5557">
            <w:pPr>
              <w:spacing w:line="240" w:lineRule="exact"/>
            </w:pPr>
            <w:r>
              <w:t>Original : anglais</w:t>
            </w:r>
          </w:p>
        </w:tc>
      </w:tr>
    </w:tbl>
    <w:p w14:paraId="410235F1" w14:textId="77777777" w:rsidR="00EE5557" w:rsidRPr="00CA0680" w:rsidRDefault="00EE555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CDC2882" w14:textId="77777777" w:rsidR="00EE5557" w:rsidRPr="00CA0680" w:rsidRDefault="00EE5557" w:rsidP="000305D3">
      <w:pPr>
        <w:spacing w:before="120"/>
        <w:rPr>
          <w:b/>
        </w:rPr>
      </w:pPr>
      <w:r w:rsidRPr="00CA0680">
        <w:rPr>
          <w:b/>
        </w:rPr>
        <w:t>Sous</w:t>
      </w:r>
      <w:r>
        <w:rPr>
          <w:b/>
        </w:rPr>
        <w:t>-</w:t>
      </w:r>
      <w:r w:rsidRPr="00CA0680">
        <w:rPr>
          <w:b/>
        </w:rPr>
        <w:t>Comité d’experts du transport des marchandises dangereuses</w:t>
      </w:r>
    </w:p>
    <w:p w14:paraId="4FFEB8FE" w14:textId="77777777" w:rsidR="00EE5557" w:rsidRPr="00CF6163" w:rsidRDefault="00EE5557" w:rsidP="00EE5557">
      <w:pPr>
        <w:spacing w:before="120"/>
        <w:rPr>
          <w:b/>
          <w:lang w:val="fr-FR"/>
        </w:rPr>
      </w:pPr>
      <w:r>
        <w:rPr>
          <w:b/>
          <w:bCs/>
          <w:lang w:val="fr-FR"/>
        </w:rPr>
        <w:t>Soixante-quatrième session</w:t>
      </w:r>
    </w:p>
    <w:p w14:paraId="7A0BD79D" w14:textId="77777777" w:rsidR="00EE5557" w:rsidRPr="00CF6163" w:rsidRDefault="00EE5557" w:rsidP="00EE5557">
      <w:pPr>
        <w:rPr>
          <w:lang w:val="fr-FR"/>
        </w:rPr>
      </w:pPr>
      <w:r>
        <w:rPr>
          <w:lang w:val="fr-FR"/>
        </w:rPr>
        <w:t>Genève, 24 juin-3 juillet 2024</w:t>
      </w:r>
    </w:p>
    <w:p w14:paraId="335B9F17" w14:textId="77777777" w:rsidR="00EE5557" w:rsidRPr="00CF6163" w:rsidRDefault="00EE5557" w:rsidP="00EE5557">
      <w:pPr>
        <w:rPr>
          <w:lang w:val="fr-FR"/>
        </w:rPr>
      </w:pPr>
      <w:r>
        <w:rPr>
          <w:lang w:val="fr-FR"/>
        </w:rPr>
        <w:t>Point 4 a) de l’ordre du jour provisoire</w:t>
      </w:r>
    </w:p>
    <w:p w14:paraId="5CF31556" w14:textId="77777777" w:rsidR="00EE5557" w:rsidRPr="00CF6163" w:rsidRDefault="00EE5557" w:rsidP="00EE5557">
      <w:pPr>
        <w:rPr>
          <w:b/>
          <w:bCs/>
          <w:lang w:val="fr-FR"/>
        </w:rPr>
      </w:pPr>
      <w:r>
        <w:rPr>
          <w:b/>
          <w:bCs/>
          <w:lang w:val="fr-FR"/>
        </w:rPr>
        <w:t>Systèmes de stockage de l’électricité :</w:t>
      </w:r>
    </w:p>
    <w:p w14:paraId="7486783A" w14:textId="77777777" w:rsidR="00EE5557" w:rsidRPr="00CF6163" w:rsidRDefault="00EE5557" w:rsidP="00EE5557">
      <w:pPr>
        <w:rPr>
          <w:b/>
          <w:bCs/>
          <w:lang w:val="fr-FR"/>
        </w:rPr>
      </w:pPr>
      <w:r>
        <w:rPr>
          <w:b/>
          <w:bCs/>
          <w:lang w:val="fr-FR"/>
        </w:rPr>
        <w:t>Épreuves pour les batteries au lithium</w:t>
      </w:r>
    </w:p>
    <w:p w14:paraId="65BF502A" w14:textId="666B6FCD" w:rsidR="00EE5557" w:rsidRPr="00CF6163" w:rsidRDefault="00EE5557" w:rsidP="00E929A5">
      <w:pPr>
        <w:pStyle w:val="HChG"/>
        <w:rPr>
          <w:lang w:val="fr-FR"/>
        </w:rPr>
      </w:pPr>
      <w:r>
        <w:rPr>
          <w:lang w:val="fr-FR"/>
        </w:rPr>
        <w:tab/>
      </w:r>
      <w:r>
        <w:rPr>
          <w:lang w:val="fr-FR"/>
        </w:rPr>
        <w:tab/>
        <w:t xml:space="preserve">Mesures d’atténuation supplémentaires pour le transport </w:t>
      </w:r>
      <w:r w:rsidR="00E929A5">
        <w:rPr>
          <w:lang w:val="fr-FR"/>
        </w:rPr>
        <w:br/>
      </w:r>
      <w:r>
        <w:rPr>
          <w:lang w:val="fr-FR"/>
        </w:rPr>
        <w:t>des batteries au lithium</w:t>
      </w:r>
    </w:p>
    <w:p w14:paraId="77734847" w14:textId="77777777" w:rsidR="00EE5557" w:rsidRPr="00CF6163" w:rsidRDefault="00EE5557" w:rsidP="00E929A5">
      <w:pPr>
        <w:pStyle w:val="H1G"/>
        <w:rPr>
          <w:lang w:val="fr-FR"/>
        </w:rPr>
      </w:pPr>
      <w:bookmarkStart w:id="0" w:name="_Hlk531350542"/>
      <w:r>
        <w:rPr>
          <w:lang w:val="fr-FR"/>
        </w:rPr>
        <w:tab/>
      </w:r>
      <w:r>
        <w:rPr>
          <w:lang w:val="fr-FR"/>
        </w:rPr>
        <w:tab/>
        <w:t>Communication de l’Organisation de l’aviation civile internationale (OACI)</w:t>
      </w:r>
      <w:r w:rsidRPr="00E929A5">
        <w:rPr>
          <w:b w:val="0"/>
          <w:bCs/>
          <w:sz w:val="20"/>
          <w:lang w:val="fr-FR"/>
        </w:rPr>
        <w:footnoteReference w:customMarkFollows="1" w:id="2"/>
        <w:t>*</w:t>
      </w:r>
      <w:bookmarkEnd w:id="0"/>
    </w:p>
    <w:p w14:paraId="1CA8B0A6" w14:textId="77777777" w:rsidR="00EE5557" w:rsidRPr="00CF6163" w:rsidRDefault="00EE5557" w:rsidP="00E929A5">
      <w:pPr>
        <w:pStyle w:val="HChG"/>
        <w:rPr>
          <w:lang w:val="fr-FR"/>
        </w:rPr>
      </w:pPr>
      <w:r>
        <w:rPr>
          <w:lang w:val="fr-FR"/>
        </w:rPr>
        <w:tab/>
        <w:t>I.</w:t>
      </w:r>
      <w:r>
        <w:rPr>
          <w:lang w:val="fr-FR"/>
        </w:rPr>
        <w:tab/>
        <w:t>Introduction</w:t>
      </w:r>
    </w:p>
    <w:p w14:paraId="0E8D96AA" w14:textId="6E8FD48B" w:rsidR="00EE5557" w:rsidRPr="00CF6163" w:rsidRDefault="00EE5557" w:rsidP="00EE5557">
      <w:pPr>
        <w:pStyle w:val="SingleTxtG"/>
        <w:rPr>
          <w:lang w:val="fr-FR"/>
        </w:rPr>
      </w:pPr>
      <w:r>
        <w:rPr>
          <w:lang w:val="fr-FR"/>
        </w:rPr>
        <w:t>1.</w:t>
      </w:r>
      <w:r>
        <w:rPr>
          <w:lang w:val="fr-FR"/>
        </w:rPr>
        <w:tab/>
        <w:t>À la soixante-troisième session du Sous-Comité d’experts du transport des marchandises dangereuses, l’Organisation de l’aviation civile internationale (OACI) a présenté dans le document informel INF.43 un certain nombre de questions soulevées à la vingt</w:t>
      </w:r>
      <w:r w:rsidR="00E929A5">
        <w:rPr>
          <w:lang w:val="fr-FR"/>
        </w:rPr>
        <w:noBreakHyphen/>
      </w:r>
      <w:r>
        <w:rPr>
          <w:lang w:val="fr-FR"/>
        </w:rPr>
        <w:t>neuvième réunion de son Groupe d’experts sur les marchandises dangereuses (DGP/29). L’une concernait les amendements à apporter aux Instructions techniques pour la sécurité du transport aérien des marchandises dangereuses, recommandés par le Groupe d’experts, afin d’introduire des limites supplémentaires relatives au niveau de charge pour le transport aérien des batteries au lithium. Les amendements étaient décrits dans le document informel susmentionné et figuraient dans l’annexe A au rapport DGP/29</w:t>
      </w:r>
      <w:r w:rsidRPr="001544DD">
        <w:rPr>
          <w:rStyle w:val="Appelnotedebasdep"/>
        </w:rPr>
        <w:footnoteReference w:id="3"/>
      </w:r>
      <w:r>
        <w:rPr>
          <w:lang w:val="fr-FR"/>
        </w:rPr>
        <w:t>. Le Conseil de l’OACI a approuvé les amendements le 18 mars</w:t>
      </w:r>
      <w:r w:rsidR="00E929A5">
        <w:rPr>
          <w:lang w:val="fr-FR"/>
        </w:rPr>
        <w:t xml:space="preserve"> </w:t>
      </w:r>
      <w:r>
        <w:rPr>
          <w:lang w:val="fr-FR"/>
        </w:rPr>
        <w:t>2024, sous réserve de révisions visant à éliminer des incohérences de forme et à préciser l’intention. Les amendements figurent dans le supplément au rapport DGP/29</w:t>
      </w:r>
      <w:r>
        <w:rPr>
          <w:vertAlign w:val="superscript"/>
          <w:lang w:val="fr-FR"/>
        </w:rPr>
        <w:t>1</w:t>
      </w:r>
      <w:r>
        <w:rPr>
          <w:lang w:val="fr-FR"/>
        </w:rPr>
        <w:t>. Ils seront incorporés dans l’édition 2025-2026 des Instructions techniques.</w:t>
      </w:r>
    </w:p>
    <w:p w14:paraId="68D9C0BC" w14:textId="7C4499CC" w:rsidR="00EE5557" w:rsidRPr="00CF6163" w:rsidRDefault="00EE5557" w:rsidP="00EE5557">
      <w:pPr>
        <w:pStyle w:val="SingleTxtG"/>
        <w:rPr>
          <w:lang w:val="fr-FR"/>
        </w:rPr>
      </w:pPr>
      <w:r>
        <w:rPr>
          <w:lang w:val="fr-FR"/>
        </w:rPr>
        <w:t>2.</w:t>
      </w:r>
      <w:r>
        <w:rPr>
          <w:lang w:val="fr-FR"/>
        </w:rPr>
        <w:tab/>
        <w:t>La décision d’introduire les nouvelles restrictions a été prise par le Groupe d’experts à l’issue d’une évaluation approfondie des risques de sécurité menée selon la méthode de l’analyse des processus de la théorie des systèmes (STPA)</w:t>
      </w:r>
      <w:r w:rsidRPr="001544DD">
        <w:rPr>
          <w:rStyle w:val="Appelnotedebasdep"/>
        </w:rPr>
        <w:footnoteReference w:id="4"/>
      </w:r>
      <w:r>
        <w:rPr>
          <w:lang w:val="fr-FR"/>
        </w:rPr>
        <w:t xml:space="preserve"> (voir le paragraphe 4.1 du rapport DGP/29</w:t>
      </w:r>
      <w:r w:rsidRPr="00E929A5">
        <w:rPr>
          <w:sz w:val="18"/>
          <w:szCs w:val="18"/>
          <w:vertAlign w:val="superscript"/>
          <w:lang w:val="fr-FR"/>
        </w:rPr>
        <w:t>1</w:t>
      </w:r>
      <w:r>
        <w:rPr>
          <w:lang w:val="fr-FR"/>
        </w:rPr>
        <w:t xml:space="preserve"> pour une présentation détaillée de cette évaluation). Dans le cadre de ce processus, le Groupe d’experts a établi une liste des mesures d’atténuation existantes et des nouvelles mesures potentielles et les a classées en fonction de leur efficacité. Il a déterminé que la réduction du niveau de charge dans le cas des batteries rechargeables constituait la mesure </w:t>
      </w:r>
      <w:r>
        <w:rPr>
          <w:lang w:val="fr-FR"/>
        </w:rPr>
        <w:lastRenderedPageBreak/>
        <w:t>d’atténuation la plus efficace parmi celles qu’il serait faisable d’appliquer dans le cadre des Instructions techniques. Les autres mesures d’atténuation recensées devraient en premier lieu être adoptées dans le Règlement type. Le Groupe d’experts a donc recommandé que le Sous</w:t>
      </w:r>
      <w:r w:rsidR="00E929A5">
        <w:rPr>
          <w:lang w:val="fr-FR"/>
        </w:rPr>
        <w:noBreakHyphen/>
      </w:r>
      <w:r>
        <w:rPr>
          <w:lang w:val="fr-FR"/>
        </w:rPr>
        <w:t>Comité examine ces mesures, à savoir :</w:t>
      </w:r>
    </w:p>
    <w:p w14:paraId="04C3E95B" w14:textId="77777777" w:rsidR="00EE5557" w:rsidRPr="00CF6163" w:rsidRDefault="00EE5557" w:rsidP="00EE5557">
      <w:pPr>
        <w:pStyle w:val="SingleTxtG"/>
        <w:ind w:firstLine="567"/>
        <w:rPr>
          <w:lang w:val="fr-FR"/>
        </w:rPr>
      </w:pPr>
      <w:r>
        <w:rPr>
          <w:lang w:val="fr-FR"/>
        </w:rPr>
        <w:t>a)</w:t>
      </w:r>
      <w:r>
        <w:rPr>
          <w:lang w:val="fr-FR"/>
        </w:rPr>
        <w:tab/>
        <w:t xml:space="preserve">Pour écarter le risque que les résultats des épreuves visées à la section 38.3 du Manuel d’épreuves et de critères ne soient pas valables : ajouter dans le Règlement type une prescription selon laquelle les laboratoires réalisant ces épreuves doivent être homologués par l’autorité compétente ; </w:t>
      </w:r>
    </w:p>
    <w:p w14:paraId="6ADC019A" w14:textId="77777777" w:rsidR="00EE5557" w:rsidRPr="00CF6163" w:rsidRDefault="00EE5557" w:rsidP="00EE5557">
      <w:pPr>
        <w:pStyle w:val="SingleTxtG"/>
        <w:ind w:firstLine="567"/>
        <w:rPr>
          <w:color w:val="000000"/>
          <w:lang w:val="fr-FR"/>
        </w:rPr>
      </w:pPr>
      <w:r>
        <w:rPr>
          <w:lang w:val="fr-FR"/>
        </w:rPr>
        <w:t>b)</w:t>
      </w:r>
      <w:r>
        <w:rPr>
          <w:lang w:val="fr-FR"/>
        </w:rPr>
        <w:tab/>
        <w:t>Pour écarter le risque que des fabricants de piles et de batteries ne mettent pas au point de système de gestion de la qualité ou ne s’y conforment pas : élaborer des prescriptions détaillées relatives aux évaluations de la qualité, comprenant une vérification par des tierces parties, à ajouter dans le Règlement type.</w:t>
      </w:r>
    </w:p>
    <w:p w14:paraId="15365DF8" w14:textId="77777777" w:rsidR="00EE5557" w:rsidRPr="00CF6163" w:rsidRDefault="00EE5557" w:rsidP="00EE5557">
      <w:pPr>
        <w:pStyle w:val="HChG"/>
        <w:rPr>
          <w:lang w:val="fr-FR"/>
        </w:rPr>
      </w:pPr>
      <w:r>
        <w:rPr>
          <w:bCs/>
          <w:lang w:val="fr-FR"/>
        </w:rPr>
        <w:tab/>
        <w:t>II.</w:t>
      </w:r>
      <w:r>
        <w:rPr>
          <w:lang w:val="fr-FR"/>
        </w:rPr>
        <w:tab/>
      </w:r>
      <w:r>
        <w:rPr>
          <w:bCs/>
          <w:lang w:val="fr-FR"/>
        </w:rPr>
        <w:t>Proposition</w:t>
      </w:r>
    </w:p>
    <w:p w14:paraId="61BFB1A8" w14:textId="77777777" w:rsidR="00EE5557" w:rsidRPr="00CF6163" w:rsidRDefault="00EE5557" w:rsidP="00E929A5">
      <w:pPr>
        <w:pStyle w:val="SingleTxtG"/>
        <w:keepNext/>
        <w:rPr>
          <w:b/>
          <w:bCs/>
          <w:lang w:val="fr-FR"/>
        </w:rPr>
      </w:pPr>
      <w:r>
        <w:rPr>
          <w:lang w:val="fr-FR"/>
        </w:rPr>
        <w:t>3.</w:t>
      </w:r>
      <w:r>
        <w:rPr>
          <w:lang w:val="fr-FR"/>
        </w:rPr>
        <w:tab/>
        <w:t>Le Sous-Comité est invité à examiner :</w:t>
      </w:r>
    </w:p>
    <w:p w14:paraId="120F6D93" w14:textId="77777777" w:rsidR="00EE5557" w:rsidRPr="00CF6163" w:rsidRDefault="00EE5557" w:rsidP="00EE5557">
      <w:pPr>
        <w:pStyle w:val="SingleTxtG"/>
        <w:ind w:firstLine="567"/>
        <w:rPr>
          <w:lang w:val="fr-FR"/>
        </w:rPr>
      </w:pPr>
      <w:r>
        <w:rPr>
          <w:lang w:val="fr-FR"/>
        </w:rPr>
        <w:t>a)</w:t>
      </w:r>
      <w:r>
        <w:rPr>
          <w:lang w:val="fr-FR"/>
        </w:rPr>
        <w:tab/>
        <w:t xml:space="preserve">L’ajout dans le Règlement type d’une prescription selon laquelle les laboratoires réalisant les épreuves visées à la section 38.3 du Manuel d’épreuves et de critères doivent être homologués par l’autorité compétente ; </w:t>
      </w:r>
    </w:p>
    <w:p w14:paraId="1979253D" w14:textId="74EB5752" w:rsidR="00446FE5" w:rsidRDefault="00EE5557" w:rsidP="00EE5557">
      <w:pPr>
        <w:pStyle w:val="SingleTxtG"/>
        <w:ind w:firstLine="567"/>
        <w:rPr>
          <w:lang w:val="fr-FR"/>
        </w:rPr>
      </w:pPr>
      <w:r>
        <w:rPr>
          <w:lang w:val="fr-FR"/>
        </w:rPr>
        <w:t>b)</w:t>
      </w:r>
      <w:r>
        <w:rPr>
          <w:lang w:val="fr-FR"/>
        </w:rPr>
        <w:tab/>
        <w:t>L’élaboration de prescriptions détaillées relatives aux évaluations de la qualité, comprenant une vérification par des tierces parties, à ajouter dans le Règlement type.</w:t>
      </w:r>
    </w:p>
    <w:p w14:paraId="3C5463C3" w14:textId="0C83FEAB" w:rsidR="00E929A5" w:rsidRPr="00E929A5" w:rsidRDefault="00E929A5" w:rsidP="00E929A5">
      <w:pPr>
        <w:pStyle w:val="SingleTxtG"/>
        <w:spacing w:before="240" w:after="0"/>
        <w:jc w:val="center"/>
        <w:rPr>
          <w:u w:val="single"/>
        </w:rPr>
      </w:pPr>
      <w:r>
        <w:rPr>
          <w:u w:val="single"/>
        </w:rPr>
        <w:tab/>
      </w:r>
      <w:r>
        <w:rPr>
          <w:u w:val="single"/>
        </w:rPr>
        <w:tab/>
      </w:r>
      <w:r>
        <w:rPr>
          <w:u w:val="single"/>
        </w:rPr>
        <w:tab/>
      </w:r>
    </w:p>
    <w:sectPr w:rsidR="00E929A5" w:rsidRPr="00E929A5" w:rsidSect="00EE55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934AB" w14:textId="77777777" w:rsidR="00DA1EA7" w:rsidRDefault="00DA1EA7" w:rsidP="00F95C08">
      <w:pPr>
        <w:spacing w:line="240" w:lineRule="auto"/>
      </w:pPr>
    </w:p>
  </w:endnote>
  <w:endnote w:type="continuationSeparator" w:id="0">
    <w:p w14:paraId="357D54DD" w14:textId="77777777" w:rsidR="00DA1EA7" w:rsidRPr="00AC3823" w:rsidRDefault="00DA1EA7" w:rsidP="00AC3823">
      <w:pPr>
        <w:pStyle w:val="Pieddepage"/>
      </w:pPr>
    </w:p>
  </w:endnote>
  <w:endnote w:type="continuationNotice" w:id="1">
    <w:p w14:paraId="7EAC788E" w14:textId="77777777" w:rsidR="00DA1EA7" w:rsidRDefault="00DA1E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DCF1" w14:textId="0450C90D" w:rsidR="00EE5557" w:rsidRPr="00EE5557" w:rsidRDefault="00EE5557" w:rsidP="00EE5557">
    <w:pPr>
      <w:pStyle w:val="Pieddepage"/>
      <w:tabs>
        <w:tab w:val="right" w:pos="9638"/>
      </w:tabs>
    </w:pPr>
    <w:r w:rsidRPr="00EE5557">
      <w:rPr>
        <w:b/>
        <w:sz w:val="18"/>
      </w:rPr>
      <w:fldChar w:fldCharType="begin"/>
    </w:r>
    <w:r w:rsidRPr="00EE5557">
      <w:rPr>
        <w:b/>
        <w:sz w:val="18"/>
      </w:rPr>
      <w:instrText xml:space="preserve"> PAGE  \* MERGEFORMAT </w:instrText>
    </w:r>
    <w:r w:rsidRPr="00EE5557">
      <w:rPr>
        <w:b/>
        <w:sz w:val="18"/>
      </w:rPr>
      <w:fldChar w:fldCharType="separate"/>
    </w:r>
    <w:r w:rsidRPr="00EE5557">
      <w:rPr>
        <w:b/>
        <w:noProof/>
        <w:sz w:val="18"/>
      </w:rPr>
      <w:t>2</w:t>
    </w:r>
    <w:r w:rsidRPr="00EE5557">
      <w:rPr>
        <w:b/>
        <w:sz w:val="18"/>
      </w:rPr>
      <w:fldChar w:fldCharType="end"/>
    </w:r>
    <w:r>
      <w:rPr>
        <w:b/>
        <w:sz w:val="18"/>
      </w:rPr>
      <w:tab/>
    </w:r>
    <w:r>
      <w:t>GE.24-06719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80F9" w14:textId="092B9B5D" w:rsidR="00EE5557" w:rsidRPr="00EE5557" w:rsidRDefault="00EE5557" w:rsidP="00EE5557">
    <w:pPr>
      <w:pStyle w:val="Pieddepage"/>
      <w:tabs>
        <w:tab w:val="right" w:pos="9638"/>
      </w:tabs>
      <w:rPr>
        <w:b/>
        <w:sz w:val="18"/>
      </w:rPr>
    </w:pPr>
    <w:r>
      <w:t>GE.24-06719</w:t>
    </w:r>
    <w:r>
      <w:tab/>
    </w:r>
    <w:r w:rsidRPr="00EE5557">
      <w:rPr>
        <w:b/>
        <w:sz w:val="18"/>
      </w:rPr>
      <w:fldChar w:fldCharType="begin"/>
    </w:r>
    <w:r w:rsidRPr="00EE5557">
      <w:rPr>
        <w:b/>
        <w:sz w:val="18"/>
      </w:rPr>
      <w:instrText xml:space="preserve"> PAGE  \* MERGEFORMAT </w:instrText>
    </w:r>
    <w:r w:rsidRPr="00EE5557">
      <w:rPr>
        <w:b/>
        <w:sz w:val="18"/>
      </w:rPr>
      <w:fldChar w:fldCharType="separate"/>
    </w:r>
    <w:r w:rsidRPr="00EE5557">
      <w:rPr>
        <w:b/>
        <w:noProof/>
        <w:sz w:val="18"/>
      </w:rPr>
      <w:t>3</w:t>
    </w:r>
    <w:r w:rsidRPr="00EE55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CB05F" w14:textId="3B280756" w:rsidR="0068456F" w:rsidRPr="00EE5557" w:rsidRDefault="00EE5557" w:rsidP="00EE555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D79E56B" wp14:editId="0A1239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24-06719  (F)</w:t>
    </w:r>
    <w:r>
      <w:rPr>
        <w:noProof/>
        <w:sz w:val="20"/>
      </w:rPr>
      <w:drawing>
        <wp:anchor distT="0" distB="0" distL="114300" distR="114300" simplePos="0" relativeHeight="251660288" behindDoc="0" locked="0" layoutInCell="1" allowOverlap="1" wp14:anchorId="4CE31AC1" wp14:editId="050EEBD8">
          <wp:simplePos x="0" y="0"/>
          <wp:positionH relativeFrom="margin">
            <wp:posOffset>5489575</wp:posOffset>
          </wp:positionH>
          <wp:positionV relativeFrom="margin">
            <wp:posOffset>8891905</wp:posOffset>
          </wp:positionV>
          <wp:extent cx="628650" cy="628650"/>
          <wp:effectExtent l="0" t="0" r="0" b="0"/>
          <wp:wrapNone/>
          <wp:docPr id="1240950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010524    010524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056EC" w14:textId="77777777" w:rsidR="00DA1EA7" w:rsidRPr="00AC3823" w:rsidRDefault="00DA1EA7" w:rsidP="00AC3823">
      <w:pPr>
        <w:pStyle w:val="Pieddepage"/>
        <w:tabs>
          <w:tab w:val="right" w:pos="2155"/>
        </w:tabs>
        <w:spacing w:after="80" w:line="240" w:lineRule="atLeast"/>
        <w:ind w:left="680"/>
        <w:rPr>
          <w:u w:val="single"/>
        </w:rPr>
      </w:pPr>
      <w:r>
        <w:rPr>
          <w:u w:val="single"/>
        </w:rPr>
        <w:tab/>
      </w:r>
    </w:p>
  </w:footnote>
  <w:footnote w:type="continuationSeparator" w:id="0">
    <w:p w14:paraId="066270C8" w14:textId="77777777" w:rsidR="00DA1EA7" w:rsidRPr="00AC3823" w:rsidRDefault="00DA1EA7" w:rsidP="00AC3823">
      <w:pPr>
        <w:pStyle w:val="Pieddepage"/>
        <w:tabs>
          <w:tab w:val="right" w:pos="2155"/>
        </w:tabs>
        <w:spacing w:after="80" w:line="240" w:lineRule="atLeast"/>
        <w:ind w:left="680"/>
        <w:rPr>
          <w:u w:val="single"/>
        </w:rPr>
      </w:pPr>
      <w:r>
        <w:rPr>
          <w:u w:val="single"/>
        </w:rPr>
        <w:tab/>
      </w:r>
    </w:p>
  </w:footnote>
  <w:footnote w:type="continuationNotice" w:id="1">
    <w:p w14:paraId="1189D9B4" w14:textId="77777777" w:rsidR="00DA1EA7" w:rsidRPr="00AC3823" w:rsidRDefault="00DA1EA7">
      <w:pPr>
        <w:spacing w:line="240" w:lineRule="auto"/>
        <w:rPr>
          <w:sz w:val="2"/>
          <w:szCs w:val="2"/>
        </w:rPr>
      </w:pPr>
    </w:p>
  </w:footnote>
  <w:footnote w:id="2">
    <w:p w14:paraId="0381EA77" w14:textId="77777777" w:rsidR="00EE5557" w:rsidRPr="00CF6163" w:rsidRDefault="00EE5557" w:rsidP="00EE5557">
      <w:pPr>
        <w:pStyle w:val="Notedebasdepage"/>
        <w:rPr>
          <w:lang w:val="fr-FR"/>
        </w:rPr>
      </w:pPr>
      <w:r>
        <w:rPr>
          <w:lang w:val="fr-FR"/>
        </w:rPr>
        <w:tab/>
        <w:t>*</w:t>
      </w:r>
      <w:r>
        <w:rPr>
          <w:lang w:val="fr-FR"/>
        </w:rPr>
        <w:tab/>
        <w:t>A/78/6 (Sect. 20), tableau 20.5.</w:t>
      </w:r>
    </w:p>
  </w:footnote>
  <w:footnote w:id="3">
    <w:p w14:paraId="2A0C8C82" w14:textId="77777777" w:rsidR="00EE5557" w:rsidRPr="00CF6163" w:rsidRDefault="00EE5557" w:rsidP="00EE5557">
      <w:pPr>
        <w:pStyle w:val="Notedebasdepage"/>
        <w:rPr>
          <w:lang w:val="fr-FR"/>
        </w:rPr>
      </w:pPr>
      <w:r>
        <w:rPr>
          <w:lang w:val="fr-FR"/>
        </w:rPr>
        <w:tab/>
      </w:r>
      <w:r w:rsidRPr="001544DD">
        <w:rPr>
          <w:rStyle w:val="Appelnotedebasdep"/>
        </w:rPr>
        <w:footnoteRef/>
      </w:r>
      <w:r>
        <w:rPr>
          <w:lang w:val="fr-FR"/>
        </w:rPr>
        <w:tab/>
        <w:t xml:space="preserve">Rapport DGP/29 : </w:t>
      </w:r>
      <w:hyperlink r:id="rId1" w:history="1">
        <w:r w:rsidRPr="00E929A5">
          <w:rPr>
            <w:rStyle w:val="Lienhypertextesuivivisit"/>
          </w:rPr>
          <w:t>https://www.icao.int/safety/DangerousGoods/Pages/DGP29Report.aspx</w:t>
        </w:r>
      </w:hyperlink>
      <w:r>
        <w:rPr>
          <w:lang w:val="fr-FR"/>
        </w:rPr>
        <w:t>.</w:t>
      </w:r>
    </w:p>
  </w:footnote>
  <w:footnote w:id="4">
    <w:p w14:paraId="3E771053" w14:textId="5BA800B1" w:rsidR="00EE5557" w:rsidRPr="00EE5557" w:rsidRDefault="00EE5557" w:rsidP="00EE5557">
      <w:pPr>
        <w:pStyle w:val="Notedebasdepage"/>
        <w:rPr>
          <w:lang w:val="en-US"/>
        </w:rPr>
      </w:pPr>
      <w:r>
        <w:rPr>
          <w:lang w:val="fr-FR"/>
        </w:rPr>
        <w:tab/>
      </w:r>
      <w:r w:rsidRPr="001544DD">
        <w:rPr>
          <w:rStyle w:val="Appelnotedebasdep"/>
        </w:rPr>
        <w:footnoteRef/>
      </w:r>
      <w:r w:rsidRPr="00CF6163">
        <w:rPr>
          <w:lang w:val="en-US"/>
        </w:rPr>
        <w:tab/>
        <w:t>STPA Handbook (Leveson &amp; Thomas, 2018)</w:t>
      </w:r>
      <w:r>
        <w:rPr>
          <w:lang w:val="en-US"/>
        </w:rPr>
        <w:t> :</w:t>
      </w:r>
      <w:r w:rsidRPr="00CF6163">
        <w:rPr>
          <w:lang w:val="en-US"/>
        </w:rPr>
        <w:t xml:space="preserve"> </w:t>
      </w:r>
      <w:hyperlink r:id="rId2" w:history="1">
        <w:r w:rsidR="00E929A5" w:rsidRPr="00245519">
          <w:rPr>
            <w:rStyle w:val="Lienhypertexte"/>
            <w:lang w:val="en-US"/>
          </w:rPr>
          <w:t>https://psas.scripts.mit.edu/home/get_file.</w:t>
        </w:r>
        <w:r w:rsidR="00E929A5" w:rsidRPr="00245519">
          <w:rPr>
            <w:rStyle w:val="Lienhypertexte"/>
            <w:lang w:val="en-US"/>
          </w:rPr>
          <w:t xml:space="preserve"> </w:t>
        </w:r>
        <w:r w:rsidR="00E929A5" w:rsidRPr="00245519">
          <w:rPr>
            <w:rStyle w:val="Lienhypertexte"/>
            <w:lang w:val="en-US"/>
          </w:rPr>
          <w:t>php?name=STPA_handbook.pdf</w:t>
        </w:r>
      </w:hyperlink>
      <w:r w:rsidRPr="00CF616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66A6" w14:textId="16D9432D" w:rsidR="00EE5557" w:rsidRPr="00EE5557" w:rsidRDefault="00EE5557">
    <w:pPr>
      <w:pStyle w:val="En-tte"/>
    </w:pPr>
    <w:fldSimple w:instr=" TITLE  \* MERGEFORMAT ">
      <w:r>
        <w:t>ST/SG/AC.10/C.3/2024/45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39274" w14:textId="6A0FF116" w:rsidR="00EE5557" w:rsidRPr="00EE5557" w:rsidRDefault="00EE5557" w:rsidP="00EE5557">
    <w:pPr>
      <w:pStyle w:val="En-tte"/>
      <w:jc w:val="right"/>
    </w:pPr>
    <w:fldSimple w:instr=" TITLE  \* MERGEFORMAT ">
      <w:r>
        <w:t>ST/SG/AC.10/C.3/2024/45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36500523">
    <w:abstractNumId w:val="12"/>
  </w:num>
  <w:num w:numId="2" w16cid:durableId="595595272">
    <w:abstractNumId w:val="11"/>
  </w:num>
  <w:num w:numId="3" w16cid:durableId="1421565797">
    <w:abstractNumId w:val="10"/>
  </w:num>
  <w:num w:numId="4" w16cid:durableId="514998537">
    <w:abstractNumId w:val="8"/>
  </w:num>
  <w:num w:numId="5" w16cid:durableId="1586913040">
    <w:abstractNumId w:val="3"/>
  </w:num>
  <w:num w:numId="6" w16cid:durableId="1534268484">
    <w:abstractNumId w:val="2"/>
  </w:num>
  <w:num w:numId="7" w16cid:durableId="1471287686">
    <w:abstractNumId w:val="1"/>
  </w:num>
  <w:num w:numId="8" w16cid:durableId="2030983101">
    <w:abstractNumId w:val="0"/>
  </w:num>
  <w:num w:numId="9" w16cid:durableId="278532232">
    <w:abstractNumId w:val="9"/>
  </w:num>
  <w:num w:numId="10" w16cid:durableId="442530223">
    <w:abstractNumId w:val="7"/>
  </w:num>
  <w:num w:numId="11" w16cid:durableId="1747915565">
    <w:abstractNumId w:val="6"/>
  </w:num>
  <w:num w:numId="12" w16cid:durableId="485709572">
    <w:abstractNumId w:val="5"/>
  </w:num>
  <w:num w:numId="13" w16cid:durableId="8412658">
    <w:abstractNumId w:val="4"/>
  </w:num>
  <w:num w:numId="14" w16cid:durableId="727801425">
    <w:abstractNumId w:val="12"/>
  </w:num>
  <w:num w:numId="15" w16cid:durableId="881475216">
    <w:abstractNumId w:val="11"/>
  </w:num>
  <w:num w:numId="16" w16cid:durableId="1083139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A7"/>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691A42"/>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A1EA7"/>
    <w:rsid w:val="00DB1831"/>
    <w:rsid w:val="00DD3BFD"/>
    <w:rsid w:val="00DF6678"/>
    <w:rsid w:val="00E929A5"/>
    <w:rsid w:val="00EE555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7C0A2"/>
  <w15:docId w15:val="{907A7E84-DBA9-4D9E-928A-D453F464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EE5557"/>
    <w:rPr>
      <w:rFonts w:ascii="Times New Roman" w:eastAsiaTheme="minorHAnsi" w:hAnsi="Times New Roman" w:cs="Times New Roman"/>
      <w:b/>
      <w:sz w:val="28"/>
      <w:szCs w:val="20"/>
      <w:lang w:eastAsia="en-US"/>
    </w:rPr>
  </w:style>
  <w:style w:type="character" w:customStyle="1" w:styleId="H1GChar">
    <w:name w:val="_ H_1_G Char"/>
    <w:link w:val="H1G"/>
    <w:locked/>
    <w:rsid w:val="00EE555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EE555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92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sas.scripts.mit.edu/home/get_file.%20php?name=STPA_handbook.pdf" TargetMode="External"/><Relationship Id="rId1" Type="http://schemas.openxmlformats.org/officeDocument/2006/relationships/hyperlink" Target="https://www.icao.int/safety/DangerousGoods/Pages/DGP29Repor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268C3-B636-404C-A3BF-BAB61FD3E8ED}"/>
</file>

<file path=customXml/itemProps2.xml><?xml version="1.0" encoding="utf-8"?>
<ds:datastoreItem xmlns:ds="http://schemas.openxmlformats.org/officeDocument/2006/customXml" ds:itemID="{B2180E8E-17D0-4FE6-A82C-36DE75D035F0}"/>
</file>

<file path=docProps/app.xml><?xml version="1.0" encoding="utf-8"?>
<Properties xmlns="http://schemas.openxmlformats.org/officeDocument/2006/extended-properties" xmlns:vt="http://schemas.openxmlformats.org/officeDocument/2006/docPropsVTypes">
  <Template>ST.dotm</Template>
  <TotalTime>0</TotalTime>
  <Pages>2</Pages>
  <Words>437</Words>
  <Characters>3354</Characters>
  <Application>Microsoft Office Word</Application>
  <DocSecurity>0</DocSecurity>
  <Lines>1118</Lines>
  <Paragraphs>315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ST/SG/AC.10/C.3/2024/45</dc:title>
  <dc:subject/>
  <dc:creator>Nathalie VITTOZ</dc:creator>
  <cp:keywords/>
  <cp:lastModifiedBy>Nathalie VITTOZ</cp:lastModifiedBy>
  <cp:revision>2</cp:revision>
  <cp:lastPrinted>2014-05-14T10:59:00Z</cp:lastPrinted>
  <dcterms:created xsi:type="dcterms:W3CDTF">2024-05-01T15:23:00Z</dcterms:created>
  <dcterms:modified xsi:type="dcterms:W3CDTF">2024-05-01T15:23:00Z</dcterms:modified>
</cp:coreProperties>
</file>