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F78EE62" w14:textId="77777777" w:rsidTr="006476E1">
        <w:trPr>
          <w:trHeight w:val="851"/>
        </w:trPr>
        <w:tc>
          <w:tcPr>
            <w:tcW w:w="1259" w:type="dxa"/>
            <w:tcBorders>
              <w:top w:val="nil"/>
              <w:left w:val="nil"/>
              <w:bottom w:val="single" w:sz="4" w:space="0" w:color="auto"/>
              <w:right w:val="nil"/>
            </w:tcBorders>
          </w:tcPr>
          <w:p w14:paraId="056F019B" w14:textId="77777777" w:rsidR="00E52109" w:rsidRPr="002A32CB" w:rsidRDefault="00E52109" w:rsidP="004858F5"/>
        </w:tc>
        <w:tc>
          <w:tcPr>
            <w:tcW w:w="2236" w:type="dxa"/>
            <w:tcBorders>
              <w:top w:val="nil"/>
              <w:left w:val="nil"/>
              <w:bottom w:val="single" w:sz="4" w:space="0" w:color="auto"/>
              <w:right w:val="nil"/>
            </w:tcBorders>
            <w:vAlign w:val="bottom"/>
          </w:tcPr>
          <w:p w14:paraId="0E9D3DF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15F48CE" w14:textId="33B3495E" w:rsidR="00E52109" w:rsidRDefault="00813C17" w:rsidP="00813C17">
            <w:pPr>
              <w:jc w:val="right"/>
            </w:pPr>
            <w:r w:rsidRPr="00813C17">
              <w:rPr>
                <w:sz w:val="40"/>
              </w:rPr>
              <w:t>ST</w:t>
            </w:r>
            <w:r>
              <w:t>/SG/AC.10/C.3/2024/45</w:t>
            </w:r>
          </w:p>
        </w:tc>
      </w:tr>
      <w:tr w:rsidR="00E52109" w14:paraId="23C9B55B" w14:textId="77777777" w:rsidTr="006476E1">
        <w:trPr>
          <w:trHeight w:val="2835"/>
        </w:trPr>
        <w:tc>
          <w:tcPr>
            <w:tcW w:w="1259" w:type="dxa"/>
            <w:tcBorders>
              <w:top w:val="single" w:sz="4" w:space="0" w:color="auto"/>
              <w:left w:val="nil"/>
              <w:bottom w:val="single" w:sz="12" w:space="0" w:color="auto"/>
              <w:right w:val="nil"/>
            </w:tcBorders>
          </w:tcPr>
          <w:p w14:paraId="5D5E26DA" w14:textId="77777777" w:rsidR="00E52109" w:rsidRDefault="00E52109" w:rsidP="006476E1">
            <w:pPr>
              <w:spacing w:before="120"/>
              <w:jc w:val="center"/>
            </w:pPr>
            <w:r>
              <w:rPr>
                <w:noProof/>
                <w:lang w:val="fr-CH" w:eastAsia="fr-CH"/>
              </w:rPr>
              <w:drawing>
                <wp:inline distT="0" distB="0" distL="0" distR="0" wp14:anchorId="6F9884D9" wp14:editId="492D643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0055FC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FB455A5" w14:textId="77777777" w:rsidR="00D94B05" w:rsidRDefault="00813C17" w:rsidP="00813C17">
            <w:pPr>
              <w:spacing w:before="240" w:line="240" w:lineRule="exact"/>
            </w:pPr>
            <w:r>
              <w:t>Distr.: General</w:t>
            </w:r>
          </w:p>
          <w:p w14:paraId="66FA55A6" w14:textId="51A417C0" w:rsidR="00813C17" w:rsidRDefault="00DB4602" w:rsidP="00813C17">
            <w:pPr>
              <w:spacing w:line="240" w:lineRule="exact"/>
            </w:pPr>
            <w:r>
              <w:t>12</w:t>
            </w:r>
            <w:r w:rsidR="00813C17">
              <w:t xml:space="preserve"> April 2024</w:t>
            </w:r>
          </w:p>
          <w:p w14:paraId="295CF8D8" w14:textId="77777777" w:rsidR="00813C17" w:rsidRDefault="00813C17" w:rsidP="00813C17">
            <w:pPr>
              <w:spacing w:line="240" w:lineRule="exact"/>
            </w:pPr>
          </w:p>
          <w:p w14:paraId="6937FBF4" w14:textId="6EC34FA2" w:rsidR="00813C17" w:rsidRDefault="00813C17" w:rsidP="00813C17">
            <w:pPr>
              <w:spacing w:line="240" w:lineRule="exact"/>
            </w:pPr>
            <w:r>
              <w:t>Original: English</w:t>
            </w:r>
          </w:p>
        </w:tc>
      </w:tr>
    </w:tbl>
    <w:p w14:paraId="025627E6" w14:textId="77777777" w:rsidR="00637653" w:rsidRDefault="00637653" w:rsidP="00637653">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3E455608" w14:textId="77777777" w:rsidR="00637653" w:rsidRDefault="00637653" w:rsidP="00637653">
      <w:pPr>
        <w:spacing w:before="120"/>
        <w:rPr>
          <w:rFonts w:ascii="Helv" w:hAnsi="Helv" w:cs="Helv"/>
          <w:b/>
          <w:color w:val="000000"/>
        </w:rPr>
      </w:pPr>
      <w:r>
        <w:rPr>
          <w:b/>
        </w:rPr>
        <w:t>Sub-Committee of Experts on the Transport of Dangerous Goods</w:t>
      </w:r>
    </w:p>
    <w:p w14:paraId="05024296" w14:textId="77777777" w:rsidR="00637653" w:rsidRDefault="00637653" w:rsidP="00637653">
      <w:pPr>
        <w:spacing w:before="120"/>
        <w:rPr>
          <w:b/>
        </w:rPr>
      </w:pPr>
      <w:r>
        <w:rPr>
          <w:b/>
        </w:rPr>
        <w:t>Sixty-fourth session</w:t>
      </w:r>
    </w:p>
    <w:p w14:paraId="42C11829" w14:textId="35012309" w:rsidR="00637653" w:rsidRDefault="00637653" w:rsidP="00637653">
      <w:r>
        <w:t>Geneva, 24 June-3 July 2024</w:t>
      </w:r>
    </w:p>
    <w:p w14:paraId="00FF4250" w14:textId="1969E58F" w:rsidR="00006759" w:rsidRPr="006500BA" w:rsidRDefault="00006759" w:rsidP="00006759">
      <w:r w:rsidRPr="006500BA">
        <w:t xml:space="preserve">Item </w:t>
      </w:r>
      <w:r>
        <w:t>4</w:t>
      </w:r>
      <w:r w:rsidR="00FC454E">
        <w:t xml:space="preserve"> </w:t>
      </w:r>
      <w:r>
        <w:t xml:space="preserve">(a) </w:t>
      </w:r>
      <w:r w:rsidRPr="006500BA">
        <w:t>of the provisional agenda</w:t>
      </w:r>
    </w:p>
    <w:p w14:paraId="70D43E60" w14:textId="77777777" w:rsidR="00FC454E" w:rsidRDefault="00006759" w:rsidP="00006759">
      <w:pPr>
        <w:rPr>
          <w:b/>
          <w:bCs/>
        </w:rPr>
      </w:pPr>
      <w:r>
        <w:rPr>
          <w:b/>
          <w:bCs/>
        </w:rPr>
        <w:t>Electric storage systems:</w:t>
      </w:r>
    </w:p>
    <w:p w14:paraId="5B9FA1D8" w14:textId="5910B3F2" w:rsidR="00006759" w:rsidRDefault="00006759" w:rsidP="00006759">
      <w:pPr>
        <w:rPr>
          <w:b/>
          <w:bCs/>
        </w:rPr>
      </w:pPr>
      <w:r>
        <w:rPr>
          <w:b/>
          <w:bCs/>
        </w:rPr>
        <w:t>Testing of lithium batteries</w:t>
      </w:r>
    </w:p>
    <w:p w14:paraId="64AEA8A9" w14:textId="5E6826A2" w:rsidR="00637653" w:rsidRDefault="00637653" w:rsidP="00637653">
      <w:pPr>
        <w:pStyle w:val="HChG"/>
        <w:rPr>
          <w:lang w:eastAsia="ja-JP"/>
        </w:rPr>
      </w:pPr>
      <w:r>
        <w:tab/>
      </w:r>
      <w:r>
        <w:tab/>
      </w:r>
      <w:r w:rsidR="008546FD" w:rsidRPr="002D495F">
        <w:rPr>
          <w:szCs w:val="28"/>
        </w:rPr>
        <w:t>A</w:t>
      </w:r>
      <w:r w:rsidR="008546FD" w:rsidRPr="002D495F">
        <w:rPr>
          <w:color w:val="000000"/>
          <w:szCs w:val="28"/>
        </w:rPr>
        <w:t>dditional mitigation measures</w:t>
      </w:r>
      <w:r w:rsidR="007F3D5A">
        <w:rPr>
          <w:color w:val="000000"/>
          <w:szCs w:val="28"/>
        </w:rPr>
        <w:t xml:space="preserve"> for the transport of lithium batteries</w:t>
      </w:r>
    </w:p>
    <w:p w14:paraId="1B893550" w14:textId="1A7A14FB" w:rsidR="00637653" w:rsidRDefault="00637653" w:rsidP="00637653">
      <w:pPr>
        <w:pStyle w:val="H1G"/>
        <w:rPr>
          <w:lang w:val="en-US"/>
        </w:rPr>
      </w:pPr>
      <w:bookmarkStart w:id="0" w:name="_Hlk531350542"/>
      <w:r>
        <w:rPr>
          <w:lang w:val="en-US"/>
        </w:rPr>
        <w:tab/>
      </w:r>
      <w:r>
        <w:rPr>
          <w:lang w:val="en-US"/>
        </w:rPr>
        <w:tab/>
        <w:t>Transmitted by</w:t>
      </w:r>
      <w:bookmarkEnd w:id="0"/>
      <w:r>
        <w:rPr>
          <w:lang w:val="en-US"/>
        </w:rPr>
        <w:t xml:space="preserve"> </w:t>
      </w:r>
      <w:r w:rsidR="00E400EC">
        <w:t>the International Civil Aviation Organization (ICAO)</w:t>
      </w:r>
      <w:r w:rsidR="00DB4602" w:rsidRPr="00DB4602">
        <w:rPr>
          <w:rStyle w:val="FootnoteReference"/>
          <w:sz w:val="20"/>
          <w:vertAlign w:val="baseline"/>
        </w:rPr>
        <w:footnoteReference w:customMarkFollows="1" w:id="2"/>
        <w:t>*</w:t>
      </w:r>
    </w:p>
    <w:p w14:paraId="1DCB6147" w14:textId="77777777" w:rsidR="00CA2C70" w:rsidRPr="002A4DA2" w:rsidRDefault="00CA2C70" w:rsidP="00CA2C70">
      <w:pPr>
        <w:pStyle w:val="HChG"/>
        <w:rPr>
          <w:lang w:val="en-US"/>
        </w:rPr>
      </w:pPr>
      <w:r>
        <w:rPr>
          <w:lang w:val="en-US"/>
        </w:rPr>
        <w:tab/>
        <w:t>I.</w:t>
      </w:r>
      <w:r>
        <w:rPr>
          <w:lang w:val="en-US"/>
        </w:rPr>
        <w:tab/>
      </w:r>
      <w:r w:rsidRPr="002A4DA2">
        <w:rPr>
          <w:lang w:val="en-US"/>
        </w:rPr>
        <w:t>Introduction</w:t>
      </w:r>
    </w:p>
    <w:p w14:paraId="1E5F9937" w14:textId="1C6D7CB0" w:rsidR="00CA2C70" w:rsidRDefault="00CA2C70" w:rsidP="007F2CC1">
      <w:pPr>
        <w:pStyle w:val="SingleTxtG"/>
      </w:pPr>
      <w:r>
        <w:t>1.</w:t>
      </w:r>
      <w:r>
        <w:tab/>
        <w:t xml:space="preserve">At the sixty-third session of the Sub-Committee </w:t>
      </w:r>
      <w:r w:rsidR="00197EE0">
        <w:t xml:space="preserve">of Experts </w:t>
      </w:r>
      <w:r>
        <w:t xml:space="preserve">on the Transport of Dangerous Goods, ICAO brought </w:t>
      </w:r>
      <w:proofErr w:type="gramStart"/>
      <w:r>
        <w:t>a number of</w:t>
      </w:r>
      <w:proofErr w:type="gramEnd"/>
      <w:r>
        <w:t xml:space="preserve"> issues arising from the twenty-ninth meeting of the Dangerous Goods Panel (DGP/29) in informal document </w:t>
      </w:r>
      <w:r w:rsidRPr="002D495F">
        <w:t>INF.43</w:t>
      </w:r>
      <w:r>
        <w:t xml:space="preserve">. One was related to amendments to the </w:t>
      </w:r>
      <w:r w:rsidR="003E77F3">
        <w:t>“</w:t>
      </w:r>
      <w:r w:rsidRPr="003E77F3">
        <w:t>Technical Instructions for the Safe Transport of Dangerous Goods by Air</w:t>
      </w:r>
      <w:r w:rsidR="00D8500B">
        <w:t>”</w:t>
      </w:r>
      <w:r w:rsidR="00FE3334">
        <w:t xml:space="preserve"> (Technical Instructions) </w:t>
      </w:r>
      <w:r>
        <w:t xml:space="preserve">recommended by the panel which introduce additional state of charge limits </w:t>
      </w:r>
      <w:r w:rsidRPr="007F3D5A">
        <w:t>on the transport of lithium batteries by air</w:t>
      </w:r>
      <w:r>
        <w:t xml:space="preserve">. The amendments </w:t>
      </w:r>
      <w:r w:rsidR="007D45E0">
        <w:t>we</w:t>
      </w:r>
      <w:r>
        <w:t xml:space="preserve">re described in </w:t>
      </w:r>
      <w:r w:rsidR="00BF4DEC">
        <w:t>the aforementioned informal document</w:t>
      </w:r>
      <w:r>
        <w:t xml:space="preserve"> and provided in </w:t>
      </w:r>
      <w:r w:rsidR="00BF4DEC">
        <w:t>a</w:t>
      </w:r>
      <w:r>
        <w:t xml:space="preserve">ppendix A to the </w:t>
      </w:r>
      <w:hyperlink r:id="rId12" w:history="1">
        <w:r w:rsidR="00E94E2C">
          <w:rPr>
            <w:rStyle w:val="Hyperlink"/>
          </w:rPr>
          <w:t>DGP/29 Report</w:t>
        </w:r>
      </w:hyperlink>
      <w:r w:rsidR="00E94E2C" w:rsidRPr="008222DE">
        <w:rPr>
          <w:rStyle w:val="FootnoteReference"/>
        </w:rPr>
        <w:footnoteReference w:id="3"/>
      </w:r>
      <w:r>
        <w:t xml:space="preserve">. The ICAO Council approved the amendments on 18 March 2024, subject to revisions to remove editorial inconsistences and to clarify intent. These are provided in the Supplement to the </w:t>
      </w:r>
      <w:hyperlink r:id="rId13" w:history="1">
        <w:r w:rsidR="00E05FB5">
          <w:rPr>
            <w:rStyle w:val="Hyperlink"/>
          </w:rPr>
          <w:t>DGP/29 Report</w:t>
        </w:r>
      </w:hyperlink>
      <w:r w:rsidR="00E05FB5" w:rsidRPr="00FE58F5">
        <w:rPr>
          <w:sz w:val="18"/>
          <w:szCs w:val="18"/>
          <w:vertAlign w:val="superscript"/>
        </w:rPr>
        <w:t>1</w:t>
      </w:r>
      <w:r w:rsidR="00E05FB5">
        <w:t>.</w:t>
      </w:r>
      <w:r>
        <w:t xml:space="preserve"> The amendments will be incorporated in the 2025-2026 </w:t>
      </w:r>
      <w:r w:rsidR="00FC1E05">
        <w:t>e</w:t>
      </w:r>
      <w:r>
        <w:t xml:space="preserve">dition of </w:t>
      </w:r>
      <w:r w:rsidR="00FE3334">
        <w:t>the Technical Instructions</w:t>
      </w:r>
      <w:r>
        <w:t>.</w:t>
      </w:r>
    </w:p>
    <w:p w14:paraId="5485A434" w14:textId="3EE2EDD4" w:rsidR="00CA2C70" w:rsidRPr="005F6948" w:rsidRDefault="00CA2C70" w:rsidP="00CA2C70">
      <w:pPr>
        <w:pStyle w:val="SingleTxtG"/>
      </w:pPr>
      <w:r>
        <w:t>2.</w:t>
      </w:r>
      <w:r>
        <w:tab/>
      </w:r>
      <w:r>
        <w:rPr>
          <w:color w:val="000000"/>
        </w:rPr>
        <w:t xml:space="preserve">The panel’s decision to </w:t>
      </w:r>
      <w:r w:rsidRPr="007F2CC1">
        <w:t>introduce</w:t>
      </w:r>
      <w:r>
        <w:rPr>
          <w:color w:val="000000"/>
        </w:rPr>
        <w:t xml:space="preserve"> the new restrictions was based on the outcome of an extensive safety risk assessment using the system theoretic process analysis (STPA) approach</w:t>
      </w:r>
      <w:r w:rsidR="00B60F94">
        <w:rPr>
          <w:rStyle w:val="FootnoteReference"/>
          <w:color w:val="000000"/>
        </w:rPr>
        <w:footnoteReference w:id="4"/>
      </w:r>
      <w:r>
        <w:t xml:space="preserve"> (see paragraph 4.1 of the </w:t>
      </w:r>
      <w:hyperlink r:id="rId14" w:history="1">
        <w:r w:rsidRPr="00733AA1">
          <w:rPr>
            <w:rStyle w:val="Hyperlink"/>
          </w:rPr>
          <w:t>DGP/29 Report</w:t>
        </w:r>
      </w:hyperlink>
      <w:r w:rsidR="00E05FB5" w:rsidRPr="00FE58F5">
        <w:rPr>
          <w:sz w:val="18"/>
          <w:szCs w:val="18"/>
          <w:vertAlign w:val="superscript"/>
        </w:rPr>
        <w:t>1</w:t>
      </w:r>
      <w:r w:rsidR="00E05FB5">
        <w:t xml:space="preserve"> </w:t>
      </w:r>
      <w:r>
        <w:t>for a detailed overview of the panel’s safety risk assessment)</w:t>
      </w:r>
      <w:r>
        <w:rPr>
          <w:color w:val="000000"/>
        </w:rPr>
        <w:t xml:space="preserve">. The panel identified a list of existing and potentially new mitigation measures and ranked them based on their effectiveness as part of this process. Reducing the state of charge for rechargeable batteries was identified as the most effective mitigation measure out of those that would be feasible to implement through the Technical Instructions. Other mitigation measures identified would need to be adopted in the </w:t>
      </w:r>
      <w:r w:rsidRPr="003E77F3">
        <w:rPr>
          <w:i/>
          <w:iCs/>
          <w:color w:val="000000"/>
        </w:rPr>
        <w:t>Model Regulations</w:t>
      </w:r>
      <w:r>
        <w:rPr>
          <w:color w:val="000000"/>
        </w:rPr>
        <w:t xml:space="preserve"> as a first step. The panel therefore recommended that the Sub-Committee consider them.</w:t>
      </w:r>
      <w:r w:rsidR="007F2CC1">
        <w:rPr>
          <w:color w:val="000000"/>
        </w:rPr>
        <w:t xml:space="preserve"> </w:t>
      </w:r>
      <w:r>
        <w:rPr>
          <w:color w:val="000000"/>
        </w:rPr>
        <w:t>These are:</w:t>
      </w:r>
    </w:p>
    <w:p w14:paraId="25F934D6" w14:textId="648DDDF2" w:rsidR="00CA2C70" w:rsidRDefault="007F2CC1" w:rsidP="008A3529">
      <w:pPr>
        <w:pStyle w:val="SingleTxtG"/>
        <w:tabs>
          <w:tab w:val="clear" w:pos="1701"/>
        </w:tabs>
        <w:ind w:left="1701"/>
      </w:pPr>
      <w:r>
        <w:lastRenderedPageBreak/>
        <w:t>(</w:t>
      </w:r>
      <w:r w:rsidR="00CA2C70" w:rsidRPr="00E37BC4">
        <w:t>a)</w:t>
      </w:r>
      <w:r w:rsidR="00CA2C70">
        <w:tab/>
      </w:r>
      <w:r w:rsidR="00CA2C70" w:rsidRPr="00E37BC4">
        <w:t xml:space="preserve">To </w:t>
      </w:r>
      <w:r w:rsidR="00CA2C70" w:rsidRPr="007F2CC1">
        <w:t>address</w:t>
      </w:r>
      <w:r w:rsidR="00CA2C70" w:rsidRPr="00E37BC4">
        <w:t xml:space="preserve"> the risk of invalid test results</w:t>
      </w:r>
      <w:r w:rsidR="00487287">
        <w:t xml:space="preserve"> according to </w:t>
      </w:r>
      <w:r w:rsidR="00E06513">
        <w:t xml:space="preserve">section 38.3 of the </w:t>
      </w:r>
      <w:r w:rsidR="00E06513">
        <w:rPr>
          <w:i/>
          <w:iCs/>
        </w:rPr>
        <w:t>Manual of Tests and Criteria</w:t>
      </w:r>
      <w:r w:rsidR="00CA2C70" w:rsidRPr="00E37BC4">
        <w:t xml:space="preserve">: Include a requirement in the </w:t>
      </w:r>
      <w:r w:rsidR="00CA2C70" w:rsidRPr="005A713C">
        <w:rPr>
          <w:i/>
          <w:iCs/>
        </w:rPr>
        <w:t>Model Regulations</w:t>
      </w:r>
      <w:r w:rsidR="00CA2C70" w:rsidRPr="00E37BC4">
        <w:t xml:space="preserve"> for competent authority approval of laboratories conducting </w:t>
      </w:r>
      <w:r w:rsidR="00340EFC">
        <w:t>such</w:t>
      </w:r>
      <w:r w:rsidR="00CA2C70" w:rsidRPr="00E37BC4">
        <w:t xml:space="preserve"> testing; an</w:t>
      </w:r>
      <w:r w:rsidR="00CA2C70">
        <w:t>d</w:t>
      </w:r>
    </w:p>
    <w:p w14:paraId="646CB654" w14:textId="1257F056" w:rsidR="00CA2C70" w:rsidRPr="00E37BC4" w:rsidRDefault="00CA2C70" w:rsidP="008A3529">
      <w:pPr>
        <w:pStyle w:val="SingleTxtG"/>
        <w:tabs>
          <w:tab w:val="clear" w:pos="1701"/>
        </w:tabs>
        <w:ind w:left="1701"/>
        <w:rPr>
          <w:color w:val="000000"/>
        </w:rPr>
      </w:pPr>
      <w:r w:rsidRPr="00E37BC4">
        <w:rPr>
          <w:color w:val="000000"/>
        </w:rPr>
        <w:t>(b)</w:t>
      </w:r>
      <w:r>
        <w:rPr>
          <w:color w:val="000000"/>
        </w:rPr>
        <w:tab/>
      </w:r>
      <w:r w:rsidRPr="00E37BC4">
        <w:rPr>
          <w:color w:val="000000"/>
        </w:rPr>
        <w:t xml:space="preserve">To address the risk that cell and battery manufacturers do not develop and adhere to a quality </w:t>
      </w:r>
      <w:r w:rsidRPr="007F2CC1">
        <w:t>management</w:t>
      </w:r>
      <w:r w:rsidRPr="00E37BC4">
        <w:rPr>
          <w:color w:val="000000"/>
        </w:rPr>
        <w:t xml:space="preserve"> system: Develop detailed requirements for quality assessments</w:t>
      </w:r>
      <w:r w:rsidR="008D16B9">
        <w:rPr>
          <w:color w:val="000000"/>
        </w:rPr>
        <w:t>,</w:t>
      </w:r>
      <w:r w:rsidRPr="00E37BC4">
        <w:rPr>
          <w:color w:val="000000"/>
        </w:rPr>
        <w:t xml:space="preserve"> including third-party verification</w:t>
      </w:r>
      <w:r w:rsidR="008D16B9">
        <w:rPr>
          <w:color w:val="000000"/>
        </w:rPr>
        <w:t>,</w:t>
      </w:r>
      <w:r w:rsidRPr="00E37BC4">
        <w:rPr>
          <w:color w:val="000000"/>
        </w:rPr>
        <w:t xml:space="preserve"> for inclusion in the </w:t>
      </w:r>
      <w:r w:rsidRPr="005A713C">
        <w:rPr>
          <w:i/>
          <w:iCs/>
          <w:color w:val="000000"/>
        </w:rPr>
        <w:t>Model Regulations</w:t>
      </w:r>
      <w:r w:rsidRPr="00E37BC4">
        <w:rPr>
          <w:color w:val="000000"/>
        </w:rPr>
        <w:t>.</w:t>
      </w:r>
    </w:p>
    <w:p w14:paraId="399BA462" w14:textId="77777777" w:rsidR="00CA2C70" w:rsidRDefault="00CA2C70" w:rsidP="00CA2C70">
      <w:pPr>
        <w:pStyle w:val="HChG"/>
        <w:rPr>
          <w:lang w:val="en-US"/>
        </w:rPr>
      </w:pPr>
      <w:r>
        <w:rPr>
          <w:lang w:val="en-US"/>
        </w:rPr>
        <w:tab/>
        <w:t>II.</w:t>
      </w:r>
      <w:r>
        <w:rPr>
          <w:lang w:val="en-US"/>
        </w:rPr>
        <w:tab/>
      </w:r>
      <w:r w:rsidRPr="003A7C5D">
        <w:rPr>
          <w:lang w:val="en-US"/>
        </w:rPr>
        <w:t>Proposa</w:t>
      </w:r>
      <w:r>
        <w:rPr>
          <w:lang w:val="en-US"/>
        </w:rPr>
        <w:t>l</w:t>
      </w:r>
    </w:p>
    <w:p w14:paraId="22FE24B6" w14:textId="53041C58" w:rsidR="00CA2C70" w:rsidRPr="00BD52AC" w:rsidRDefault="007F2CC1" w:rsidP="007F2CC1">
      <w:pPr>
        <w:pStyle w:val="SingleTxtG"/>
        <w:rPr>
          <w:b/>
          <w:bCs/>
          <w:lang w:val="en-US"/>
        </w:rPr>
      </w:pPr>
      <w:r>
        <w:rPr>
          <w:lang w:val="en-US"/>
        </w:rPr>
        <w:t>3.</w:t>
      </w:r>
      <w:r w:rsidR="00CA2C70">
        <w:rPr>
          <w:lang w:val="en-US"/>
        </w:rPr>
        <w:tab/>
      </w:r>
      <w:r w:rsidR="00CA2C70" w:rsidRPr="00BD52AC">
        <w:rPr>
          <w:bCs/>
          <w:lang w:val="en-US"/>
        </w:rPr>
        <w:t>The Sub-</w:t>
      </w:r>
      <w:r w:rsidR="00CA2C70" w:rsidRPr="007F2CC1">
        <w:t>Committee</w:t>
      </w:r>
      <w:r w:rsidR="00CA2C70" w:rsidRPr="00BD52AC">
        <w:rPr>
          <w:bCs/>
          <w:lang w:val="en-US"/>
        </w:rPr>
        <w:t xml:space="preserve"> is requested to consider:</w:t>
      </w:r>
    </w:p>
    <w:p w14:paraId="0AD31D2E" w14:textId="2F790462" w:rsidR="00CA2C70" w:rsidRPr="007F2CC1" w:rsidRDefault="00CA2C70" w:rsidP="00587B28">
      <w:pPr>
        <w:pStyle w:val="SingleTxtG"/>
        <w:tabs>
          <w:tab w:val="clear" w:pos="1701"/>
        </w:tabs>
        <w:ind w:left="1701"/>
      </w:pPr>
      <w:r w:rsidRPr="007F2CC1">
        <w:t>(a)</w:t>
      </w:r>
      <w:r w:rsidRPr="007F2CC1">
        <w:tab/>
      </w:r>
      <w:r w:rsidR="0071584E">
        <w:t>I</w:t>
      </w:r>
      <w:r w:rsidRPr="007F2CC1">
        <w:t xml:space="preserve">ncluding a requirement in the </w:t>
      </w:r>
      <w:r w:rsidRPr="00587B28">
        <w:rPr>
          <w:i/>
          <w:iCs/>
        </w:rPr>
        <w:t>Model Regulations</w:t>
      </w:r>
      <w:r w:rsidRPr="007F2CC1">
        <w:t xml:space="preserve"> for competent authority approval of laboratories conducting testing</w:t>
      </w:r>
      <w:r w:rsidR="0071584E">
        <w:t xml:space="preserve"> according to section 38.3 of the </w:t>
      </w:r>
      <w:r w:rsidR="0071584E">
        <w:rPr>
          <w:i/>
          <w:iCs/>
        </w:rPr>
        <w:t>Manual of Tests and Criteria</w:t>
      </w:r>
      <w:r w:rsidRPr="007F2CC1">
        <w:t>; and</w:t>
      </w:r>
    </w:p>
    <w:p w14:paraId="601336FD" w14:textId="68904D8C" w:rsidR="00CA2C70" w:rsidRPr="007F2CC1" w:rsidRDefault="00CA2C70" w:rsidP="00587B28">
      <w:pPr>
        <w:pStyle w:val="SingleTxtG"/>
        <w:tabs>
          <w:tab w:val="clear" w:pos="1701"/>
        </w:tabs>
        <w:ind w:left="1701"/>
      </w:pPr>
      <w:r w:rsidRPr="007F2CC1">
        <w:t>(b)</w:t>
      </w:r>
      <w:r w:rsidRPr="007F2CC1">
        <w:tab/>
      </w:r>
      <w:r w:rsidR="0071584E">
        <w:t>D</w:t>
      </w:r>
      <w:r w:rsidRPr="007F2CC1">
        <w:t>eveloping detailed requirements for quality assessments</w:t>
      </w:r>
      <w:r w:rsidR="00B256B9">
        <w:t>,</w:t>
      </w:r>
      <w:r w:rsidRPr="007F2CC1">
        <w:t xml:space="preserve"> including third-party verification</w:t>
      </w:r>
      <w:r w:rsidR="00B256B9">
        <w:t>,</w:t>
      </w:r>
      <w:r w:rsidRPr="007F2CC1">
        <w:t xml:space="preserve"> for inclusion in the </w:t>
      </w:r>
      <w:r w:rsidRPr="00B256B9">
        <w:rPr>
          <w:i/>
          <w:iCs/>
        </w:rPr>
        <w:t>Model Regulations</w:t>
      </w:r>
      <w:r w:rsidRPr="007F2CC1">
        <w:t>.</w:t>
      </w:r>
    </w:p>
    <w:p w14:paraId="09442A0D" w14:textId="263E5A18" w:rsidR="00AF5DE1" w:rsidRPr="001B2C53" w:rsidRDefault="001B2C53" w:rsidP="001B2C53">
      <w:pPr>
        <w:spacing w:before="240"/>
        <w:jc w:val="center"/>
        <w:rPr>
          <w:u w:val="single"/>
        </w:rPr>
      </w:pPr>
      <w:r>
        <w:rPr>
          <w:u w:val="single"/>
        </w:rPr>
        <w:tab/>
      </w:r>
      <w:r>
        <w:rPr>
          <w:u w:val="single"/>
        </w:rPr>
        <w:tab/>
      </w:r>
      <w:r>
        <w:rPr>
          <w:u w:val="single"/>
        </w:rPr>
        <w:tab/>
      </w:r>
    </w:p>
    <w:sectPr w:rsidR="00AF5DE1" w:rsidRPr="001B2C53" w:rsidSect="00813C17">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C9D7" w14:textId="77777777" w:rsidR="005925D9" w:rsidRPr="00C47B2E" w:rsidRDefault="005925D9" w:rsidP="00C47B2E">
      <w:pPr>
        <w:pStyle w:val="Footer"/>
      </w:pPr>
    </w:p>
  </w:endnote>
  <w:endnote w:type="continuationSeparator" w:id="0">
    <w:p w14:paraId="678CFE0C" w14:textId="77777777" w:rsidR="005925D9" w:rsidRPr="00C47B2E" w:rsidRDefault="005925D9" w:rsidP="00C47B2E">
      <w:pPr>
        <w:pStyle w:val="Footer"/>
      </w:pPr>
    </w:p>
  </w:endnote>
  <w:endnote w:type="continuationNotice" w:id="1">
    <w:p w14:paraId="03978E74" w14:textId="77777777" w:rsidR="005925D9" w:rsidRPr="00C47B2E" w:rsidRDefault="005925D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07A6" w14:textId="0CD5989E" w:rsidR="00D94B05" w:rsidRPr="00813C17" w:rsidRDefault="00813C17" w:rsidP="00D85308">
    <w:pPr>
      <w:pStyle w:val="Footer"/>
      <w:tabs>
        <w:tab w:val="right" w:pos="9639"/>
      </w:tabs>
      <w:rPr>
        <w:sz w:val="18"/>
      </w:rPr>
    </w:pPr>
    <w:r w:rsidRPr="00813C17">
      <w:rPr>
        <w:b/>
        <w:sz w:val="18"/>
      </w:rPr>
      <w:fldChar w:fldCharType="begin"/>
    </w:r>
    <w:r w:rsidRPr="00813C17">
      <w:rPr>
        <w:b/>
        <w:sz w:val="18"/>
      </w:rPr>
      <w:instrText xml:space="preserve"> PAGE  \* MERGEFORMAT </w:instrText>
    </w:r>
    <w:r w:rsidRPr="00813C17">
      <w:rPr>
        <w:b/>
        <w:sz w:val="18"/>
      </w:rPr>
      <w:fldChar w:fldCharType="separate"/>
    </w:r>
    <w:r w:rsidRPr="00813C17">
      <w:rPr>
        <w:b/>
        <w:noProof/>
        <w:sz w:val="18"/>
      </w:rPr>
      <w:t>2</w:t>
    </w:r>
    <w:r w:rsidRPr="00813C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96A3" w14:textId="7711A4BE" w:rsidR="00D94B05" w:rsidRPr="00813C17" w:rsidRDefault="00813C17" w:rsidP="00D85308">
    <w:pPr>
      <w:pStyle w:val="Footer"/>
      <w:tabs>
        <w:tab w:val="right" w:pos="9639"/>
      </w:tabs>
      <w:rPr>
        <w:b/>
        <w:bCs/>
        <w:sz w:val="18"/>
      </w:rPr>
    </w:pPr>
    <w:r>
      <w:rPr>
        <w:bCs/>
        <w:sz w:val="18"/>
      </w:rPr>
      <w:tab/>
    </w:r>
    <w:r w:rsidRPr="00813C17">
      <w:rPr>
        <w:b/>
        <w:bCs/>
        <w:sz w:val="18"/>
      </w:rPr>
      <w:fldChar w:fldCharType="begin"/>
    </w:r>
    <w:r w:rsidRPr="00813C17">
      <w:rPr>
        <w:b/>
        <w:bCs/>
        <w:sz w:val="18"/>
      </w:rPr>
      <w:instrText xml:space="preserve"> PAGE  \* MERGEFORMAT </w:instrText>
    </w:r>
    <w:r w:rsidRPr="00813C17">
      <w:rPr>
        <w:b/>
        <w:bCs/>
        <w:sz w:val="18"/>
      </w:rPr>
      <w:fldChar w:fldCharType="separate"/>
    </w:r>
    <w:r w:rsidRPr="00813C17">
      <w:rPr>
        <w:b/>
        <w:bCs/>
        <w:noProof/>
        <w:sz w:val="18"/>
      </w:rPr>
      <w:t>3</w:t>
    </w:r>
    <w:r w:rsidRPr="00813C1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E450" w14:textId="74D564F5" w:rsidR="00D94B05" w:rsidRDefault="004F5FE1" w:rsidP="004F5FE1">
    <w:pPr>
      <w:pStyle w:val="Footer"/>
      <w:rPr>
        <w:rFonts w:asciiTheme="majorBidi" w:hAnsiTheme="majorBidi" w:cstheme="majorBidi"/>
        <w:sz w:val="20"/>
      </w:rPr>
    </w:pPr>
    <w:r w:rsidRPr="004F5FE1">
      <w:rPr>
        <w:rFonts w:asciiTheme="majorBidi" w:hAnsiTheme="majorBidi" w:cstheme="majorBidi"/>
        <w:noProof/>
        <w:sz w:val="20"/>
        <w:lang w:val="en-US"/>
      </w:rPr>
      <w:drawing>
        <wp:anchor distT="0" distB="0" distL="114300" distR="114300" simplePos="0" relativeHeight="251661312" behindDoc="0" locked="1" layoutInCell="1" allowOverlap="1" wp14:anchorId="6E4709D2" wp14:editId="3650B1F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C88784" w14:textId="2C405AFD" w:rsidR="004F5FE1" w:rsidRPr="004F5FE1" w:rsidRDefault="004F5FE1" w:rsidP="004F5FE1">
    <w:pPr>
      <w:pStyle w:val="Footer"/>
      <w:ind w:right="1134"/>
      <w:rPr>
        <w:rFonts w:asciiTheme="majorBidi" w:hAnsiTheme="majorBidi" w:cstheme="majorBidi"/>
        <w:sz w:val="20"/>
      </w:rPr>
    </w:pPr>
    <w:r>
      <w:rPr>
        <w:rFonts w:asciiTheme="majorBidi" w:hAnsiTheme="majorBidi" w:cstheme="majorBidi"/>
        <w:sz w:val="20"/>
      </w:rPr>
      <w:t>GE.24-</w:t>
    </w:r>
    <w:proofErr w:type="gramStart"/>
    <w:r>
      <w:rPr>
        <w:rFonts w:asciiTheme="majorBidi" w:hAnsiTheme="majorBidi" w:cstheme="majorBidi"/>
        <w:sz w:val="20"/>
      </w:rPr>
      <w:t>06719  (</w:t>
    </w:r>
    <w:proofErr w:type="gramEnd"/>
    <w:r>
      <w:rPr>
        <w:rFonts w:asciiTheme="majorBidi" w:hAnsiTheme="majorBidi" w:cstheme="majorBidi"/>
        <w:sz w:val="20"/>
      </w:rPr>
      <w:t>E)</w:t>
    </w:r>
    <w:r>
      <w:rPr>
        <w:rFonts w:asciiTheme="majorBidi" w:hAnsiTheme="majorBidi" w:cstheme="majorBidi"/>
        <w:noProof/>
        <w:sz w:val="20"/>
      </w:rPr>
      <w:drawing>
        <wp:anchor distT="0" distB="0" distL="114300" distR="114300" simplePos="0" relativeHeight="251662336" behindDoc="0" locked="0" layoutInCell="1" allowOverlap="1" wp14:anchorId="3B20AD28" wp14:editId="37D912CD">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9401" w14:textId="77777777" w:rsidR="005925D9" w:rsidRPr="00C47B2E" w:rsidRDefault="005925D9" w:rsidP="00C47B2E">
      <w:pPr>
        <w:tabs>
          <w:tab w:val="right" w:pos="2155"/>
        </w:tabs>
        <w:spacing w:after="80" w:line="240" w:lineRule="auto"/>
        <w:ind w:left="680"/>
      </w:pPr>
      <w:r>
        <w:rPr>
          <w:u w:val="single"/>
        </w:rPr>
        <w:tab/>
      </w:r>
    </w:p>
  </w:footnote>
  <w:footnote w:type="continuationSeparator" w:id="0">
    <w:p w14:paraId="435FF2B4" w14:textId="77777777" w:rsidR="005925D9" w:rsidRPr="00C47B2E" w:rsidRDefault="005925D9" w:rsidP="005E716E">
      <w:pPr>
        <w:tabs>
          <w:tab w:val="right" w:pos="2155"/>
        </w:tabs>
        <w:spacing w:after="80" w:line="240" w:lineRule="auto"/>
        <w:ind w:left="680"/>
      </w:pPr>
      <w:r>
        <w:rPr>
          <w:u w:val="single"/>
        </w:rPr>
        <w:tab/>
      </w:r>
    </w:p>
  </w:footnote>
  <w:footnote w:type="continuationNotice" w:id="1">
    <w:p w14:paraId="2DDDFB16" w14:textId="77777777" w:rsidR="005925D9" w:rsidRPr="00C47B2E" w:rsidRDefault="005925D9" w:rsidP="00C47B2E">
      <w:pPr>
        <w:pStyle w:val="Footer"/>
      </w:pPr>
    </w:p>
  </w:footnote>
  <w:footnote w:id="2">
    <w:p w14:paraId="5883B1F5" w14:textId="69EB630C" w:rsidR="00DB4602" w:rsidRPr="00DB4602" w:rsidRDefault="00DB4602">
      <w:pPr>
        <w:pStyle w:val="FootnoteText"/>
        <w:rPr>
          <w:lang w:val="fr-CH"/>
        </w:rPr>
      </w:pPr>
      <w:r>
        <w:rPr>
          <w:rStyle w:val="FootnoteReference"/>
        </w:rPr>
        <w:tab/>
      </w:r>
      <w:r w:rsidRPr="00DB4602">
        <w:rPr>
          <w:rStyle w:val="FootnoteReference"/>
          <w:sz w:val="20"/>
          <w:vertAlign w:val="baseline"/>
        </w:rPr>
        <w:t>*</w:t>
      </w:r>
      <w:r>
        <w:rPr>
          <w:rStyle w:val="FootnoteReference"/>
          <w:sz w:val="20"/>
          <w:vertAlign w:val="baseline"/>
        </w:rPr>
        <w:tab/>
      </w:r>
      <w:r>
        <w:t>A/78/6 (Sect. 20), table 20.5.</w:t>
      </w:r>
    </w:p>
  </w:footnote>
  <w:footnote w:id="3">
    <w:p w14:paraId="3D1EBF5D" w14:textId="6882FDCF" w:rsidR="00E94E2C" w:rsidRPr="00E94E2C" w:rsidRDefault="00E94E2C" w:rsidP="00E94E2C">
      <w:pPr>
        <w:pStyle w:val="FootnoteText"/>
        <w:widowControl w:val="0"/>
        <w:tabs>
          <w:tab w:val="clear" w:pos="1021"/>
          <w:tab w:val="right" w:pos="1020"/>
        </w:tabs>
        <w:suppressAutoHyphens/>
        <w:rPr>
          <w:lang w:val="en-US"/>
        </w:rPr>
      </w:pPr>
      <w:r>
        <w:tab/>
      </w:r>
      <w:r>
        <w:rPr>
          <w:rStyle w:val="FootnoteReference"/>
        </w:rPr>
        <w:footnoteRef/>
      </w:r>
      <w:r>
        <w:tab/>
      </w:r>
      <w:r w:rsidR="008F0BE3" w:rsidRPr="008F0BE3">
        <w:t>DGP/29 Report</w:t>
      </w:r>
      <w:r w:rsidR="008F0BE3">
        <w:t xml:space="preserve">: </w:t>
      </w:r>
      <w:hyperlink r:id="rId1" w:history="1">
        <w:r w:rsidR="008F0BE3" w:rsidRPr="0095150E">
          <w:rPr>
            <w:rStyle w:val="Hyperlink"/>
          </w:rPr>
          <w:t>https://www.icao.int/safety/DangerousGoods/Pages/DGP29Report.aspx</w:t>
        </w:r>
      </w:hyperlink>
    </w:p>
  </w:footnote>
  <w:footnote w:id="4">
    <w:p w14:paraId="7B96AB05" w14:textId="044FE677" w:rsidR="00B60F94" w:rsidRPr="00B60F94" w:rsidRDefault="00B60F94" w:rsidP="00B60F94">
      <w:pPr>
        <w:pStyle w:val="FootnoteText"/>
        <w:widowControl w:val="0"/>
        <w:tabs>
          <w:tab w:val="clear" w:pos="1021"/>
          <w:tab w:val="right" w:pos="1020"/>
        </w:tabs>
        <w:suppressAutoHyphens/>
        <w:rPr>
          <w:lang w:val="en-US"/>
        </w:rPr>
      </w:pPr>
      <w:r>
        <w:tab/>
      </w:r>
      <w:r>
        <w:rPr>
          <w:rStyle w:val="FootnoteReference"/>
        </w:rPr>
        <w:footnoteRef/>
      </w:r>
      <w:r>
        <w:tab/>
      </w:r>
      <w:r w:rsidR="00CC2E97" w:rsidRPr="00CC2E97">
        <w:t>STPA Handbook</w:t>
      </w:r>
      <w:r w:rsidR="00CC2E97">
        <w:t xml:space="preserve"> (Leveson &amp; Thomas, 2018)</w:t>
      </w:r>
      <w:r w:rsidR="00CC2E97" w:rsidRPr="00CC2E97">
        <w:t xml:space="preserve">: </w:t>
      </w:r>
      <w:hyperlink r:id="rId2" w:history="1">
        <w:r w:rsidR="008F0BE3" w:rsidRPr="0095150E">
          <w:rPr>
            <w:rStyle w:val="Hyperlink"/>
          </w:rPr>
          <w:t>https://psas.scripts.mit.edu/home/get_file.php?name=STPA_handbook.pdf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9C95" w14:textId="4C842570" w:rsidR="00813C17" w:rsidRPr="00813C17" w:rsidRDefault="0044791B">
    <w:pPr>
      <w:pStyle w:val="Header"/>
    </w:pPr>
    <w:fldSimple w:instr=" TITLE  \* MERGEFORMAT ">
      <w:r w:rsidR="00813C17">
        <w:t>ST/SG/AC.10/C.3/2024/45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454F" w14:textId="012CE961" w:rsidR="00D94B05" w:rsidRPr="00813C17" w:rsidRDefault="0044791B" w:rsidP="00813C17">
    <w:pPr>
      <w:pStyle w:val="Header"/>
      <w:jc w:val="right"/>
    </w:pPr>
    <w:fldSimple w:instr=" TITLE  \* MERGEFORMAT ">
      <w:r w:rsidR="00813C17">
        <w:t>ST/SG/AC.10/C.3/2024/45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17"/>
    <w:rsid w:val="00006759"/>
    <w:rsid w:val="00020EE3"/>
    <w:rsid w:val="00046E92"/>
    <w:rsid w:val="00063C90"/>
    <w:rsid w:val="00070000"/>
    <w:rsid w:val="00101B98"/>
    <w:rsid w:val="001514D1"/>
    <w:rsid w:val="00197EE0"/>
    <w:rsid w:val="001B2C53"/>
    <w:rsid w:val="001B5B3C"/>
    <w:rsid w:val="00247E2C"/>
    <w:rsid w:val="0028597D"/>
    <w:rsid w:val="002A32CB"/>
    <w:rsid w:val="002D5B2C"/>
    <w:rsid w:val="002D6C53"/>
    <w:rsid w:val="002F5595"/>
    <w:rsid w:val="00334F6A"/>
    <w:rsid w:val="00340EFC"/>
    <w:rsid w:val="00342AC8"/>
    <w:rsid w:val="00343302"/>
    <w:rsid w:val="003979DE"/>
    <w:rsid w:val="003B1248"/>
    <w:rsid w:val="003B4550"/>
    <w:rsid w:val="003D2A18"/>
    <w:rsid w:val="003E77F3"/>
    <w:rsid w:val="00413386"/>
    <w:rsid w:val="0044791B"/>
    <w:rsid w:val="00461253"/>
    <w:rsid w:val="004858F5"/>
    <w:rsid w:val="00487287"/>
    <w:rsid w:val="004A2814"/>
    <w:rsid w:val="004C0622"/>
    <w:rsid w:val="004F5FE1"/>
    <w:rsid w:val="004F73D0"/>
    <w:rsid w:val="005042C2"/>
    <w:rsid w:val="00587B28"/>
    <w:rsid w:val="005925D9"/>
    <w:rsid w:val="005A713C"/>
    <w:rsid w:val="005B7E5A"/>
    <w:rsid w:val="005E716E"/>
    <w:rsid w:val="00637653"/>
    <w:rsid w:val="006476E1"/>
    <w:rsid w:val="006604DF"/>
    <w:rsid w:val="00671529"/>
    <w:rsid w:val="006F1EF5"/>
    <w:rsid w:val="0070489D"/>
    <w:rsid w:val="0071584E"/>
    <w:rsid w:val="007200A1"/>
    <w:rsid w:val="007268F9"/>
    <w:rsid w:val="00750282"/>
    <w:rsid w:val="00764440"/>
    <w:rsid w:val="0077101B"/>
    <w:rsid w:val="00777758"/>
    <w:rsid w:val="007975B8"/>
    <w:rsid w:val="007C52B0"/>
    <w:rsid w:val="007C6033"/>
    <w:rsid w:val="007D45E0"/>
    <w:rsid w:val="007F2CC1"/>
    <w:rsid w:val="007F3D5A"/>
    <w:rsid w:val="00813C17"/>
    <w:rsid w:val="008147C8"/>
    <w:rsid w:val="0081753A"/>
    <w:rsid w:val="008222DE"/>
    <w:rsid w:val="008546FD"/>
    <w:rsid w:val="00857D23"/>
    <w:rsid w:val="00882572"/>
    <w:rsid w:val="008A3529"/>
    <w:rsid w:val="008D16B9"/>
    <w:rsid w:val="008F0BE3"/>
    <w:rsid w:val="009411B4"/>
    <w:rsid w:val="00946F1D"/>
    <w:rsid w:val="0095790C"/>
    <w:rsid w:val="00984490"/>
    <w:rsid w:val="009A0A7F"/>
    <w:rsid w:val="009D0139"/>
    <w:rsid w:val="009D717D"/>
    <w:rsid w:val="009F5CDC"/>
    <w:rsid w:val="00A072D7"/>
    <w:rsid w:val="00A775CF"/>
    <w:rsid w:val="00AD1A9C"/>
    <w:rsid w:val="00AF5DE1"/>
    <w:rsid w:val="00B06045"/>
    <w:rsid w:val="00B206DD"/>
    <w:rsid w:val="00B256B9"/>
    <w:rsid w:val="00B52EF4"/>
    <w:rsid w:val="00B60F94"/>
    <w:rsid w:val="00B777AD"/>
    <w:rsid w:val="00BF4DEC"/>
    <w:rsid w:val="00C03015"/>
    <w:rsid w:val="00C0358D"/>
    <w:rsid w:val="00C35A27"/>
    <w:rsid w:val="00C47B2E"/>
    <w:rsid w:val="00CA2C70"/>
    <w:rsid w:val="00CC2E97"/>
    <w:rsid w:val="00D63CD2"/>
    <w:rsid w:val="00D8500B"/>
    <w:rsid w:val="00D85308"/>
    <w:rsid w:val="00D87DC2"/>
    <w:rsid w:val="00D93887"/>
    <w:rsid w:val="00D94B05"/>
    <w:rsid w:val="00DB4602"/>
    <w:rsid w:val="00DC7379"/>
    <w:rsid w:val="00E02C2B"/>
    <w:rsid w:val="00E05FB5"/>
    <w:rsid w:val="00E06513"/>
    <w:rsid w:val="00E21C27"/>
    <w:rsid w:val="00E26BCF"/>
    <w:rsid w:val="00E400EC"/>
    <w:rsid w:val="00E52109"/>
    <w:rsid w:val="00E75317"/>
    <w:rsid w:val="00E94E2C"/>
    <w:rsid w:val="00EC0CE6"/>
    <w:rsid w:val="00EC7C1D"/>
    <w:rsid w:val="00ED6C48"/>
    <w:rsid w:val="00EE3045"/>
    <w:rsid w:val="00F26186"/>
    <w:rsid w:val="00F65F5D"/>
    <w:rsid w:val="00F86A3A"/>
    <w:rsid w:val="00FA42DA"/>
    <w:rsid w:val="00FC1E05"/>
    <w:rsid w:val="00FC454E"/>
    <w:rsid w:val="00FE2AC5"/>
    <w:rsid w:val="00FE3334"/>
    <w:rsid w:val="00FE58F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0FA99"/>
  <w15:docId w15:val="{AC9A56FE-ED28-47F0-B827-65A6E91B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number,Footnote Reference Superscript,-E Fußnotenzeichen,(Diplomarbeit FZ),(Diplomarbeit FZ)1,(Diplomarbeit FZ)2,(Diplomarbeit FZ)3,(Diplomarbeit FZ)4,(Diplomarbeit FZ)5,(Diplomarbeit FZ)6,(Diplomarbeit FZ)7"/>
    <w:link w:val="BVIfn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637653"/>
    <w:rPr>
      <w:b/>
      <w:sz w:val="28"/>
    </w:rPr>
  </w:style>
  <w:style w:type="character" w:customStyle="1" w:styleId="H1GChar">
    <w:name w:val="_ H_1_G Char"/>
    <w:link w:val="H1G"/>
    <w:locked/>
    <w:rsid w:val="00637653"/>
    <w:rPr>
      <w:b/>
      <w:sz w:val="24"/>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CA2C70"/>
    <w:pPr>
      <w:spacing w:after="160" w:line="240" w:lineRule="exact"/>
      <w:jc w:val="both"/>
    </w:pPr>
    <w:rPr>
      <w:sz w:val="18"/>
      <w:vertAlign w:val="superscript"/>
    </w:rPr>
  </w:style>
  <w:style w:type="character" w:customStyle="1" w:styleId="SingleTxtGChar">
    <w:name w:val="_ Single Txt_G Char"/>
    <w:link w:val="SingleTxtG"/>
    <w:qFormat/>
    <w:rsid w:val="00CA2C70"/>
  </w:style>
  <w:style w:type="character" w:styleId="UnresolvedMention">
    <w:name w:val="Unresolved Mention"/>
    <w:basedOn w:val="DefaultParagraphFont"/>
    <w:uiPriority w:val="99"/>
    <w:semiHidden/>
    <w:unhideWhenUsed/>
    <w:rsid w:val="008F0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o.int/safety/DangerousGoods/Pages/DGP29Repor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cao.int/safety/DangerousGoods/Pages/DGP29Repor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ao.int/safety/DangerousGoods/Pages/DGP29Repor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sas.scripts.mit.edu/home/get_file.php?name=STPA_handbook.pdf" TargetMode="External"/><Relationship Id="rId1" Type="http://schemas.openxmlformats.org/officeDocument/2006/relationships/hyperlink" Target="https://www.icao.int/safety/DangerousGoods/Pages/DGP29Repor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rran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40874-9EBF-4072-9F0D-7C53C218AE21}"/>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471</Words>
  <Characters>2720</Characters>
  <Application>Microsoft Office Word</Application>
  <DocSecurity>0</DocSecurity>
  <Lines>57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ST/SG/AC.10/C.3/2024/45</dc:title>
  <dc:subject>2406719</dc:subject>
  <dc:creator>Editorial</dc:creator>
  <cp:keywords/>
  <dc:description/>
  <cp:lastModifiedBy>Pauline Anne Escalante</cp:lastModifiedBy>
  <cp:revision>2</cp:revision>
  <dcterms:created xsi:type="dcterms:W3CDTF">2024-04-15T06:47:00Z</dcterms:created>
  <dcterms:modified xsi:type="dcterms:W3CDTF">2024-04-15T06:47:00Z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