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AD3CC26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DCDE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B197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D1537" w14:textId="13AD4D74" w:rsidR="00E52109" w:rsidRDefault="009511FA" w:rsidP="009511FA">
            <w:pPr>
              <w:jc w:val="right"/>
            </w:pPr>
            <w:r w:rsidRPr="009511FA">
              <w:rPr>
                <w:sz w:val="40"/>
              </w:rPr>
              <w:t>ST</w:t>
            </w:r>
            <w:r>
              <w:t>/SG/AC.10/C.3/2024/11</w:t>
            </w:r>
          </w:p>
        </w:tc>
      </w:tr>
      <w:tr w:rsidR="00E52109" w14:paraId="67E3BD58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4BC09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AE5C9B" wp14:editId="24236AC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286B8D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8E39CF" w14:textId="77777777" w:rsidR="00D94B05" w:rsidRDefault="009511FA" w:rsidP="009511FA">
            <w:pPr>
              <w:spacing w:before="240" w:line="240" w:lineRule="exact"/>
            </w:pPr>
            <w:r>
              <w:t>Distr.: General</w:t>
            </w:r>
          </w:p>
          <w:p w14:paraId="09B8E4DD" w14:textId="52656364" w:rsidR="009511FA" w:rsidRDefault="00091D49" w:rsidP="009511FA">
            <w:pPr>
              <w:spacing w:line="240" w:lineRule="exact"/>
            </w:pPr>
            <w:r>
              <w:t>5</w:t>
            </w:r>
            <w:r w:rsidR="009511FA">
              <w:t xml:space="preserve"> April 2024</w:t>
            </w:r>
          </w:p>
          <w:p w14:paraId="045172AA" w14:textId="77777777" w:rsidR="009511FA" w:rsidRDefault="009511FA" w:rsidP="009511FA">
            <w:pPr>
              <w:spacing w:line="240" w:lineRule="exact"/>
            </w:pPr>
          </w:p>
          <w:p w14:paraId="54B2BC04" w14:textId="43A89F8D" w:rsidR="009511FA" w:rsidRDefault="009511FA" w:rsidP="009511FA">
            <w:pPr>
              <w:spacing w:line="240" w:lineRule="exact"/>
            </w:pPr>
            <w:r>
              <w:t>Original: English</w:t>
            </w:r>
          </w:p>
        </w:tc>
      </w:tr>
    </w:tbl>
    <w:p w14:paraId="1887A240" w14:textId="77777777" w:rsidR="009511FA" w:rsidRPr="006500BA" w:rsidRDefault="009511FA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6682088" w14:textId="77777777" w:rsidR="009511FA" w:rsidRPr="006500BA" w:rsidRDefault="009511FA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3B4CC7D" w14:textId="5563B296" w:rsidR="009511FA" w:rsidRPr="006500BA" w:rsidRDefault="00FD5B44" w:rsidP="004858F5">
      <w:pPr>
        <w:spacing w:before="120"/>
        <w:rPr>
          <w:b/>
        </w:rPr>
      </w:pPr>
      <w:r>
        <w:rPr>
          <w:b/>
        </w:rPr>
        <w:t>Sixty-fourth</w:t>
      </w:r>
      <w:r w:rsidR="009511FA">
        <w:rPr>
          <w:b/>
        </w:rPr>
        <w:t xml:space="preserve"> </w:t>
      </w:r>
      <w:r w:rsidR="009511FA" w:rsidRPr="006500BA">
        <w:rPr>
          <w:b/>
        </w:rPr>
        <w:t>session</w:t>
      </w:r>
    </w:p>
    <w:p w14:paraId="4A158B09" w14:textId="06F18CEF" w:rsidR="009511FA" w:rsidRPr="006500BA" w:rsidRDefault="009511FA" w:rsidP="004858F5">
      <w:r w:rsidRPr="006500BA">
        <w:t xml:space="preserve">Geneva, </w:t>
      </w:r>
      <w:r w:rsidR="00FD5B44">
        <w:t>24</w:t>
      </w:r>
      <w:r w:rsidR="005110FA">
        <w:t xml:space="preserve"> June-3 July 2024</w:t>
      </w:r>
      <w:r>
        <w:t xml:space="preserve"> </w:t>
      </w:r>
    </w:p>
    <w:p w14:paraId="3783B7E1" w14:textId="6658FE48" w:rsidR="009511FA" w:rsidRPr="006500BA" w:rsidRDefault="009511FA" w:rsidP="004858F5">
      <w:r w:rsidRPr="006500BA">
        <w:t xml:space="preserve">Item </w:t>
      </w:r>
      <w:r w:rsidR="005110FA">
        <w:t>5 (c)</w:t>
      </w:r>
      <w:r w:rsidRPr="006500BA">
        <w:t xml:space="preserve"> of the provisional agenda</w:t>
      </w:r>
    </w:p>
    <w:p w14:paraId="075C0B58" w14:textId="51ECD07A" w:rsidR="00AF5DE1" w:rsidRDefault="00591C14" w:rsidP="004858F5">
      <w:pPr>
        <w:rPr>
          <w:b/>
        </w:rPr>
      </w:pPr>
      <w:r w:rsidRPr="007D4E9C">
        <w:rPr>
          <w:b/>
        </w:rPr>
        <w:t>Transport of gases:</w:t>
      </w:r>
      <w:r>
        <w:rPr>
          <w:b/>
        </w:rPr>
        <w:br/>
        <w:t>M</w:t>
      </w:r>
      <w:r w:rsidRPr="007D4E9C">
        <w:rPr>
          <w:b/>
        </w:rPr>
        <w:t>iscellaneous</w:t>
      </w:r>
    </w:p>
    <w:p w14:paraId="1BB0E355" w14:textId="77777777" w:rsidR="005F7A7C" w:rsidRPr="007D4E9C" w:rsidRDefault="00B36ED1" w:rsidP="005F7A7C">
      <w:pPr>
        <w:pStyle w:val="HChG"/>
      </w:pPr>
      <w:r>
        <w:tab/>
      </w:r>
      <w:r>
        <w:tab/>
      </w:r>
      <w:r w:rsidR="005F7A7C" w:rsidRPr="007D4E9C">
        <w:t>Updated ISO standards in Class 2</w:t>
      </w:r>
    </w:p>
    <w:p w14:paraId="6C0DEAA6" w14:textId="019C9A28" w:rsidR="005F7A7C" w:rsidRPr="007D4E9C" w:rsidRDefault="005F7A7C" w:rsidP="005F7A7C">
      <w:pPr>
        <w:pStyle w:val="H1G"/>
        <w:jc w:val="both"/>
      </w:pPr>
      <w:r w:rsidRPr="007D4E9C">
        <w:tab/>
      </w:r>
      <w:r w:rsidR="004555C8">
        <w:tab/>
      </w:r>
      <w:r w:rsidRPr="007D4E9C">
        <w:t>Transmitted by the International Organisation for Standardisation (ISO)</w:t>
      </w:r>
      <w:r w:rsidR="00091D49" w:rsidRPr="00091D4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6CEFDA0A" w14:textId="52F37BE0" w:rsidR="005F7A7C" w:rsidRPr="007D4E9C" w:rsidRDefault="005F7A7C" w:rsidP="005F7A7C">
      <w:pPr>
        <w:pStyle w:val="HChG"/>
      </w:pPr>
      <w:r w:rsidRPr="007D4E9C">
        <w:tab/>
      </w:r>
      <w:r w:rsidR="001C6BEB">
        <w:tab/>
      </w:r>
      <w:r w:rsidR="001C6BEB">
        <w:tab/>
      </w:r>
      <w:r w:rsidRPr="007D4E9C">
        <w:t>Introduction</w:t>
      </w:r>
    </w:p>
    <w:p w14:paraId="488C95A9" w14:textId="77777777" w:rsidR="005F7A7C" w:rsidRPr="007D4E9C" w:rsidRDefault="005F7A7C" w:rsidP="005F7A7C">
      <w:pPr>
        <w:pStyle w:val="SingleTxtG"/>
      </w:pPr>
      <w:r w:rsidRPr="007D4E9C">
        <w:t>1.</w:t>
      </w:r>
      <w:r w:rsidRPr="007D4E9C">
        <w:tab/>
        <w:t xml:space="preserve">These </w:t>
      </w:r>
      <w:r w:rsidRPr="005F7A7C">
        <w:t>proposals</w:t>
      </w:r>
      <w:r w:rsidRPr="007D4E9C">
        <w:t xml:space="preserve"> concern one new standard, two revised standards and two amended standards.</w:t>
      </w:r>
    </w:p>
    <w:p w14:paraId="5456611D" w14:textId="77777777" w:rsidR="005F7A7C" w:rsidRPr="007D4E9C" w:rsidRDefault="005F7A7C" w:rsidP="005F7A7C">
      <w:pPr>
        <w:pStyle w:val="SingleTxtG"/>
      </w:pPr>
      <w:r w:rsidRPr="007D4E9C">
        <w:t xml:space="preserve">The titles of the standards are: </w:t>
      </w:r>
    </w:p>
    <w:p w14:paraId="10D884E2" w14:textId="113792FE" w:rsidR="005F7A7C" w:rsidRPr="007D4E9C" w:rsidRDefault="005F7A7C" w:rsidP="005F7A7C">
      <w:pPr>
        <w:pStyle w:val="SingleTxtG"/>
      </w:pPr>
      <w:bookmarkStart w:id="0" w:name="_Hlk131398873"/>
      <w:bookmarkStart w:id="1" w:name="_Hlk131592271"/>
      <w:r w:rsidRPr="007D4E9C">
        <w:t>ISO</w:t>
      </w:r>
      <w:r w:rsidR="00BA6BC2">
        <w:t> </w:t>
      </w:r>
      <w:r w:rsidRPr="007D4E9C">
        <w:t xml:space="preserve">23876:2022, Gas cylinders </w:t>
      </w:r>
      <w:r w:rsidR="00DE5907" w:rsidRPr="007D4E9C">
        <w:t>–</w:t>
      </w:r>
      <w:r w:rsidRPr="007D4E9C">
        <w:t xml:space="preserve"> Cylinders and tubes of composite construction </w:t>
      </w:r>
      <w:r w:rsidR="00DE5907" w:rsidRPr="007D4E9C">
        <w:t>–</w:t>
      </w:r>
      <w:r w:rsidRPr="007D4E9C">
        <w:t xml:space="preserve"> Acoustic emission examination (AT) for periodic inspection and testing</w:t>
      </w:r>
    </w:p>
    <w:p w14:paraId="5D6E826E" w14:textId="1D7C3A72" w:rsidR="005F7A7C" w:rsidRPr="007D4E9C" w:rsidRDefault="005F7A7C" w:rsidP="005F7A7C">
      <w:pPr>
        <w:pStyle w:val="SingleTxtG"/>
      </w:pPr>
      <w:bookmarkStart w:id="2" w:name="_Hlk161648494"/>
      <w:bookmarkEnd w:id="0"/>
      <w:r w:rsidRPr="007D4E9C">
        <w:t>ISO</w:t>
      </w:r>
      <w:r w:rsidR="00BA6BC2">
        <w:t> </w:t>
      </w:r>
      <w:r w:rsidRPr="007D4E9C">
        <w:t xml:space="preserve">11623:2023, Gas cylinders </w:t>
      </w:r>
      <w:r w:rsidR="00DE5907" w:rsidRPr="007D4E9C">
        <w:t>–</w:t>
      </w:r>
      <w:r w:rsidR="00DE5907">
        <w:t xml:space="preserve"> </w:t>
      </w:r>
      <w:r w:rsidRPr="007D4E9C">
        <w:t xml:space="preserve">Composite cylinders and tubes </w:t>
      </w:r>
      <w:r w:rsidR="00DE5907" w:rsidRPr="007D4E9C">
        <w:t>–</w:t>
      </w:r>
      <w:r w:rsidRPr="007D4E9C">
        <w:t xml:space="preserve"> Periodic inspection and testing</w:t>
      </w:r>
    </w:p>
    <w:bookmarkEnd w:id="2"/>
    <w:p w14:paraId="738E95DE" w14:textId="4DCF94EE" w:rsidR="005F7A7C" w:rsidRPr="007D4E9C" w:rsidRDefault="005F7A7C" w:rsidP="005F7A7C">
      <w:pPr>
        <w:pStyle w:val="SingleTxtG"/>
      </w:pPr>
      <w:r w:rsidRPr="007D4E9C">
        <w:t>ISO</w:t>
      </w:r>
      <w:r w:rsidR="00BA6BC2">
        <w:t> </w:t>
      </w:r>
      <w:r w:rsidRPr="007D4E9C">
        <w:t>4706:2023, Gas cylinders – Refillable welded steel cylinders – Test pressure 60 bar and below</w:t>
      </w:r>
    </w:p>
    <w:p w14:paraId="401852AB" w14:textId="3B1467D1" w:rsidR="005F7A7C" w:rsidRPr="007D4E9C" w:rsidRDefault="005F7A7C" w:rsidP="005F7A7C">
      <w:pPr>
        <w:pStyle w:val="SingleTxtG"/>
      </w:pPr>
      <w:r w:rsidRPr="007D4E9C">
        <w:t>ISO</w:t>
      </w:r>
      <w:r w:rsidR="00BA6BC2">
        <w:t> </w:t>
      </w:r>
      <w:r w:rsidRPr="007D4E9C">
        <w:t>11119-2:2020/</w:t>
      </w:r>
      <w:proofErr w:type="spellStart"/>
      <w:r w:rsidRPr="007D4E9C">
        <w:t>Amd</w:t>
      </w:r>
      <w:proofErr w:type="spellEnd"/>
      <w:r w:rsidRPr="007D4E9C">
        <w:t xml:space="preserve"> 1:2023, Gas cylinders </w:t>
      </w:r>
      <w:r w:rsidR="00BD2928" w:rsidRPr="007D4E9C">
        <w:t>–</w:t>
      </w:r>
      <w:r w:rsidRPr="007D4E9C">
        <w:t xml:space="preserve"> Design, construction and testing of refillable composite gas cylinders and tubes, Part 2: Fully wrapped fibre reinforced composite gas cylinders and tubes up to 450 l with load-sharing metal liners, Amendment 1</w:t>
      </w:r>
    </w:p>
    <w:p w14:paraId="00284F0E" w14:textId="358E2AAB" w:rsidR="005F7A7C" w:rsidRPr="007D4E9C" w:rsidRDefault="005F7A7C" w:rsidP="005F7A7C">
      <w:pPr>
        <w:pStyle w:val="SingleTxtG"/>
      </w:pPr>
      <w:r w:rsidRPr="007D4E9C">
        <w:t>ISO</w:t>
      </w:r>
      <w:r w:rsidR="00587AD6">
        <w:t> </w:t>
      </w:r>
      <w:r w:rsidRPr="007D4E9C">
        <w:t>11119-3:2020/</w:t>
      </w:r>
      <w:proofErr w:type="spellStart"/>
      <w:r w:rsidRPr="007D4E9C">
        <w:t>Amd</w:t>
      </w:r>
      <w:proofErr w:type="spellEnd"/>
      <w:r w:rsidRPr="007D4E9C">
        <w:t xml:space="preserve"> 1:2023, Gas cylinders </w:t>
      </w:r>
      <w:r w:rsidR="00BD2928" w:rsidRPr="007D4E9C">
        <w:t>–</w:t>
      </w:r>
      <w:r w:rsidRPr="007D4E9C">
        <w:t xml:space="preserve"> Design, construction and testing of refillable composite gas cylinders and tubes, Part 3: Fully wrapped fibre reinforced composite gas cylinders and tubes up to 450 l with non-load-sharing metallic or non-metallic liners or without liners, Amendment 1</w:t>
      </w:r>
    </w:p>
    <w:bookmarkEnd w:id="1"/>
    <w:p w14:paraId="256D72E7" w14:textId="3A4E4DC4" w:rsidR="005F7A7C" w:rsidRPr="007D4E9C" w:rsidRDefault="008477D0" w:rsidP="005F7A7C">
      <w:pPr>
        <w:pStyle w:val="SingleTxtG"/>
        <w:rPr>
          <w:i/>
          <w:iCs/>
        </w:rPr>
      </w:pPr>
      <w:r>
        <w:tab/>
      </w:r>
      <w:r w:rsidR="005F7A7C" w:rsidRPr="007D4E9C">
        <w:t>The usual arrangements have been made with the secretariat to circulate PDF copies of these documents to the experts.</w:t>
      </w:r>
    </w:p>
    <w:p w14:paraId="72DDBED7" w14:textId="77777777" w:rsidR="005F7A7C" w:rsidRPr="007D4E9C" w:rsidRDefault="005F7A7C" w:rsidP="00AB280D">
      <w:pPr>
        <w:pStyle w:val="H1G"/>
      </w:pPr>
      <w:r w:rsidRPr="007D4E9C">
        <w:lastRenderedPageBreak/>
        <w:tab/>
      </w:r>
      <w:r w:rsidRPr="007D4E9C">
        <w:tab/>
        <w:t>Proposal 1</w:t>
      </w:r>
    </w:p>
    <w:p w14:paraId="156F942E" w14:textId="77777777" w:rsidR="003B7D85" w:rsidRDefault="005F7A7C" w:rsidP="00AB280D">
      <w:pPr>
        <w:pStyle w:val="SingleTxtG"/>
      </w:pPr>
      <w:r w:rsidRPr="007D4E9C">
        <w:t>2.</w:t>
      </w:r>
      <w:r w:rsidRPr="007D4E9C">
        <w:tab/>
        <w:t xml:space="preserve">In 6.2.1.6.1 (d) add a new </w:t>
      </w:r>
      <w:r w:rsidR="003B7D85">
        <w:t>n</w:t>
      </w:r>
      <w:r w:rsidRPr="007D4E9C">
        <w:t xml:space="preserve">ote </w:t>
      </w:r>
      <w:r w:rsidR="003B7D85">
        <w:t>as follows:</w:t>
      </w:r>
    </w:p>
    <w:p w14:paraId="3FEF2BCD" w14:textId="5A067201" w:rsidR="005F7A7C" w:rsidRPr="007D4E9C" w:rsidRDefault="005F7A7C" w:rsidP="00AB280D">
      <w:pPr>
        <w:pStyle w:val="SingleTxtG"/>
      </w:pPr>
      <w:r w:rsidRPr="007D4E9C">
        <w:t>“NOTE 5: With the agreement of the competent authority, for composite cylinder shells and tube shells, the hydraulic pressure test of 6.2.1.6.1 (d) may be replaced by a procedure conforming to ISO</w:t>
      </w:r>
      <w:r w:rsidR="00587AD6">
        <w:t> </w:t>
      </w:r>
      <w:r w:rsidRPr="007D4E9C">
        <w:t>23876:2022 “Gas cylinders — Cylinders and tubes of composite construction — Acoustic emission examination (AT) for periodic inspection and testing</w:t>
      </w:r>
      <w:r w:rsidR="008B1C35">
        <w:t>.</w:t>
      </w:r>
      <w:r w:rsidRPr="007D4E9C">
        <w:t>”.</w:t>
      </w:r>
    </w:p>
    <w:p w14:paraId="55702E50" w14:textId="5C8598DF" w:rsidR="005F7A7C" w:rsidRPr="007D4E9C" w:rsidRDefault="005F7A7C" w:rsidP="00AB280D">
      <w:pPr>
        <w:pStyle w:val="SingleTxtG"/>
      </w:pPr>
      <w:r w:rsidRPr="007D4E9C">
        <w:t>3.</w:t>
      </w:r>
      <w:r w:rsidRPr="007D4E9C">
        <w:tab/>
        <w:t>In the table in 6.2.2.4 add the following new row beneath the row starting ISO</w:t>
      </w:r>
      <w:r w:rsidR="00587AD6">
        <w:t> </w:t>
      </w:r>
      <w:r w:rsidRPr="007D4E9C">
        <w:t>23088:2020</w:t>
      </w:r>
      <w:r w:rsidR="008B1C35">
        <w:t>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7D4E9C" w14:paraId="5ED5E7CF" w14:textId="77777777" w:rsidTr="000402F4">
        <w:tc>
          <w:tcPr>
            <w:tcW w:w="1544" w:type="dxa"/>
            <w:shd w:val="clear" w:color="auto" w:fill="auto"/>
          </w:tcPr>
          <w:p w14:paraId="4BADA0E8" w14:textId="77777777" w:rsidR="005F7A7C" w:rsidRPr="007D4E9C" w:rsidRDefault="005F7A7C" w:rsidP="000402F4">
            <w:r w:rsidRPr="007D4E9C">
              <w:t>ISO 23876:2022</w:t>
            </w:r>
          </w:p>
        </w:tc>
        <w:tc>
          <w:tcPr>
            <w:tcW w:w="4820" w:type="dxa"/>
            <w:shd w:val="clear" w:color="auto" w:fill="auto"/>
          </w:tcPr>
          <w:p w14:paraId="5F02C90F" w14:textId="5AF481E6" w:rsidR="005F7A7C" w:rsidRPr="007D4E9C" w:rsidRDefault="005F7A7C" w:rsidP="000402F4">
            <w:pPr>
              <w:jc w:val="both"/>
            </w:pPr>
            <w:r w:rsidRPr="007D4E9C">
              <w:rPr>
                <w:iCs/>
                <w:color w:val="000000"/>
              </w:rPr>
              <w:t xml:space="preserve">Gas cylinders </w:t>
            </w:r>
            <w:r w:rsidR="004648F8" w:rsidRPr="007D4E9C">
              <w:t>–</w:t>
            </w:r>
            <w:r w:rsidRPr="007D4E9C">
              <w:rPr>
                <w:iCs/>
                <w:color w:val="000000"/>
              </w:rPr>
              <w:t xml:space="preserve"> Cylinders and tubes of composite construction </w:t>
            </w:r>
            <w:r w:rsidR="008B1C35" w:rsidRPr="007D4E9C">
              <w:t>–</w:t>
            </w:r>
            <w:r w:rsidRPr="007D4E9C">
              <w:rPr>
                <w:iCs/>
                <w:color w:val="000000"/>
              </w:rPr>
              <w:t xml:space="preserve"> Acoustic emission examination (AT) for periodic inspection and testing</w:t>
            </w:r>
          </w:p>
        </w:tc>
        <w:tc>
          <w:tcPr>
            <w:tcW w:w="1275" w:type="dxa"/>
            <w:shd w:val="clear" w:color="auto" w:fill="auto"/>
          </w:tcPr>
          <w:p w14:paraId="08E82A0E" w14:textId="77777777" w:rsidR="005F7A7C" w:rsidRPr="007D4E9C" w:rsidRDefault="005F7A7C" w:rsidP="000402F4">
            <w:r w:rsidRPr="007D4E9C">
              <w:t>Until further notice</w:t>
            </w:r>
          </w:p>
          <w:p w14:paraId="4DA21A40" w14:textId="77777777" w:rsidR="005F7A7C" w:rsidRPr="007D4E9C" w:rsidRDefault="005F7A7C" w:rsidP="000402F4"/>
        </w:tc>
      </w:tr>
    </w:tbl>
    <w:p w14:paraId="4F2AD2E1" w14:textId="63F65FD4" w:rsidR="005F7A7C" w:rsidRPr="007D4E9C" w:rsidRDefault="005F7A7C" w:rsidP="00F8315A">
      <w:pPr>
        <w:pStyle w:val="H1G"/>
      </w:pPr>
      <w:r w:rsidRPr="007D4E9C">
        <w:tab/>
      </w:r>
      <w:r w:rsidR="004555C8">
        <w:tab/>
      </w:r>
      <w:r w:rsidR="004555C8">
        <w:tab/>
      </w:r>
      <w:r w:rsidRPr="007D4E9C">
        <w:t>Justification</w:t>
      </w:r>
    </w:p>
    <w:p w14:paraId="38E8E40C" w14:textId="0E45C2D6" w:rsidR="005F7A7C" w:rsidRPr="007D4E9C" w:rsidRDefault="005F7A7C" w:rsidP="004555C8">
      <w:pPr>
        <w:pStyle w:val="SingleTxtG"/>
        <w:rPr>
          <w:lang w:val="en-US"/>
        </w:rPr>
      </w:pPr>
      <w:r w:rsidRPr="007D4E9C">
        <w:t>4.</w:t>
      </w:r>
      <w:r w:rsidRPr="007D4E9C">
        <w:tab/>
      </w:r>
      <w:r w:rsidRPr="007D4E9C">
        <w:rPr>
          <w:lang w:val="en-US"/>
        </w:rPr>
        <w:t xml:space="preserve">This document specifies the use of acoustic emission examination (AT) during periodic inspection and testing of </w:t>
      </w:r>
      <w:r>
        <w:rPr>
          <w:lang w:val="en-US"/>
        </w:rPr>
        <w:t xml:space="preserve">composite </w:t>
      </w:r>
      <w:r w:rsidRPr="007D4E9C">
        <w:rPr>
          <w:lang w:val="en-US"/>
        </w:rPr>
        <w:t>cylinders and tubes</w:t>
      </w:r>
      <w:r>
        <w:rPr>
          <w:lang w:val="en-US"/>
        </w:rPr>
        <w:t>.</w:t>
      </w:r>
      <w:r w:rsidRPr="006306B6">
        <w:rPr>
          <w:lang w:val="en-US"/>
        </w:rPr>
        <w:t xml:space="preserve"> </w:t>
      </w:r>
      <w:r>
        <w:rPr>
          <w:lang w:val="en-US"/>
        </w:rPr>
        <w:t xml:space="preserve">The introduction of a more advanced technique for the periodic inspection and testing of composite cylinders and tubes (under a note with the agreement of competent authority) is an approach </w:t>
      </w:r>
      <w:proofErr w:type="gramStart"/>
      <w:r>
        <w:rPr>
          <w:lang w:val="en-US"/>
        </w:rPr>
        <w:t>similar to</w:t>
      </w:r>
      <w:proofErr w:type="gramEnd"/>
      <w:r>
        <w:rPr>
          <w:lang w:val="en-US"/>
        </w:rPr>
        <w:t xml:space="preserve"> the approach proposed for seamless metallic cylinders and tubes with </w:t>
      </w:r>
      <w:r w:rsidR="005C0133">
        <w:rPr>
          <w:lang w:val="en-US"/>
        </w:rPr>
        <w:t xml:space="preserve">standard </w:t>
      </w:r>
      <w:r>
        <w:rPr>
          <w:lang w:val="en-US"/>
        </w:rPr>
        <w:t>ISO</w:t>
      </w:r>
      <w:r w:rsidR="001C7233">
        <w:rPr>
          <w:lang w:val="en-US"/>
        </w:rPr>
        <w:t> </w:t>
      </w:r>
      <w:r>
        <w:rPr>
          <w:lang w:val="en-US"/>
        </w:rPr>
        <w:t xml:space="preserve">16148, some </w:t>
      </w:r>
      <w:r w:rsidR="001C7233">
        <w:rPr>
          <w:lang w:val="en-US"/>
        </w:rPr>
        <w:t xml:space="preserve">15 </w:t>
      </w:r>
      <w:r>
        <w:rPr>
          <w:lang w:val="en-US"/>
        </w:rPr>
        <w:t xml:space="preserve">years ago. The </w:t>
      </w:r>
      <w:r w:rsidR="005C0133">
        <w:rPr>
          <w:lang w:val="en-US"/>
        </w:rPr>
        <w:t>s</w:t>
      </w:r>
      <w:r>
        <w:rPr>
          <w:lang w:val="en-US"/>
        </w:rPr>
        <w:t>cope of the document includes:</w:t>
      </w:r>
    </w:p>
    <w:p w14:paraId="59815FD3" w14:textId="2550327B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t>hoop wrapped (Type 2)</w:t>
      </w:r>
      <w:r w:rsidR="00022A94">
        <w:rPr>
          <w:lang w:val="en-US"/>
        </w:rPr>
        <w:t>,</w:t>
      </w:r>
    </w:p>
    <w:p w14:paraId="5345F5B9" w14:textId="10AD6F01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t xml:space="preserve">fully wrapped (Types 3 and 4) composite transportable gas cylinders and tubes of water capacity up to 3 000 l, with </w:t>
      </w:r>
      <w:proofErr w:type="spellStart"/>
      <w:r w:rsidRPr="007D4E9C">
        <w:rPr>
          <w:lang w:val="en-US"/>
        </w:rPr>
        <w:t>aluminium</w:t>
      </w:r>
      <w:proofErr w:type="spellEnd"/>
      <w:r w:rsidRPr="007D4E9C">
        <w:rPr>
          <w:lang w:val="en-US"/>
        </w:rPr>
        <w:t xml:space="preserve">-alloy, </w:t>
      </w:r>
      <w:proofErr w:type="gramStart"/>
      <w:r w:rsidRPr="007D4E9C">
        <w:rPr>
          <w:lang w:val="en-US"/>
        </w:rPr>
        <w:t>steel</w:t>
      </w:r>
      <w:proofErr w:type="gramEnd"/>
      <w:r w:rsidRPr="007D4E9C">
        <w:rPr>
          <w:lang w:val="en-US"/>
        </w:rPr>
        <w:t xml:space="preserve"> or non-metallic liner</w:t>
      </w:r>
      <w:r w:rsidR="00022A94">
        <w:rPr>
          <w:lang w:val="en-US"/>
        </w:rPr>
        <w:t>,</w:t>
      </w:r>
      <w:r w:rsidRPr="007D4E9C">
        <w:rPr>
          <w:lang w:val="en-US"/>
        </w:rPr>
        <w:t xml:space="preserve"> or</w:t>
      </w:r>
    </w:p>
    <w:p w14:paraId="3DF08C67" w14:textId="2666020E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t xml:space="preserve">of </w:t>
      </w:r>
      <w:proofErr w:type="spellStart"/>
      <w:r w:rsidRPr="007D4E9C">
        <w:rPr>
          <w:lang w:val="en-US"/>
        </w:rPr>
        <w:t>linerless</w:t>
      </w:r>
      <w:proofErr w:type="spellEnd"/>
      <w:r w:rsidRPr="007D4E9C">
        <w:rPr>
          <w:lang w:val="en-US"/>
        </w:rPr>
        <w:t xml:space="preserve"> construction (Type 5), intended for compressed and liquefied gases under pressure.</w:t>
      </w:r>
    </w:p>
    <w:p w14:paraId="50472F39" w14:textId="18FDA3C9" w:rsidR="005F7A7C" w:rsidRPr="007D4E9C" w:rsidRDefault="009E5573" w:rsidP="004555C8">
      <w:pPr>
        <w:pStyle w:val="SingleTxtG"/>
        <w:rPr>
          <w:lang w:val="en-US"/>
        </w:rPr>
      </w:pPr>
      <w:r>
        <w:rPr>
          <w:lang w:val="en-US"/>
        </w:rPr>
        <w:tab/>
      </w:r>
      <w:r w:rsidR="005F7A7C" w:rsidRPr="007D4E9C">
        <w:rPr>
          <w:lang w:val="en-US"/>
        </w:rPr>
        <w:t xml:space="preserve">It is applicable only to the verification of the composite material. Additional inspection such as internal visual inspection of the liner does not apply to this document (see </w:t>
      </w:r>
      <w:r w:rsidR="00AE0AB0">
        <w:rPr>
          <w:lang w:val="en-US"/>
        </w:rPr>
        <w:t xml:space="preserve">standard </w:t>
      </w:r>
      <w:r w:rsidR="005F7A7C" w:rsidRPr="007D4E9C">
        <w:rPr>
          <w:lang w:val="en-US"/>
        </w:rPr>
        <w:t>ISO</w:t>
      </w:r>
      <w:r w:rsidR="001C7233">
        <w:rPr>
          <w:lang w:val="en-US"/>
        </w:rPr>
        <w:t> </w:t>
      </w:r>
      <w:r w:rsidR="005F7A7C" w:rsidRPr="007D4E9C">
        <w:rPr>
          <w:lang w:val="en-US"/>
        </w:rPr>
        <w:t>11623).</w:t>
      </w:r>
    </w:p>
    <w:p w14:paraId="45058B27" w14:textId="77777777" w:rsidR="005F7A7C" w:rsidRPr="007D4E9C" w:rsidRDefault="005F7A7C" w:rsidP="004555C8">
      <w:pPr>
        <w:pStyle w:val="H1G"/>
      </w:pPr>
      <w:r w:rsidRPr="007D4E9C">
        <w:tab/>
      </w:r>
      <w:r w:rsidRPr="007D4E9C">
        <w:tab/>
        <w:t>Proposal 2</w:t>
      </w:r>
    </w:p>
    <w:p w14:paraId="00B830DC" w14:textId="6888366D" w:rsidR="005F7A7C" w:rsidRPr="007D4E9C" w:rsidRDefault="005F7A7C" w:rsidP="004555C8">
      <w:pPr>
        <w:pStyle w:val="SingleTxtG"/>
      </w:pPr>
      <w:r w:rsidRPr="007D4E9C">
        <w:t>5.</w:t>
      </w:r>
      <w:r w:rsidRPr="007D4E9C">
        <w:tab/>
        <w:t>In the table in 6.2.2.4, in the row starting ISO</w:t>
      </w:r>
      <w:r w:rsidR="001C7233">
        <w:t> </w:t>
      </w:r>
      <w:r w:rsidRPr="007D4E9C">
        <w:t>11623:2015 replace “Until further notice” with “</w:t>
      </w:r>
      <w:r w:rsidRPr="006306B6">
        <w:t>Until 31 December 202</w:t>
      </w:r>
      <w:r>
        <w:t>8</w:t>
      </w:r>
      <w:r w:rsidRPr="006306B6">
        <w:t>”.</w:t>
      </w:r>
      <w:r w:rsidRPr="007D4E9C">
        <w:t xml:space="preserve"> In the table in 6.2.2.4 add the following new row beneath the row starting ISO</w:t>
      </w:r>
      <w:r w:rsidR="001C7233">
        <w:t> </w:t>
      </w:r>
      <w:r w:rsidRPr="007D4E9C">
        <w:t>11623:2015</w:t>
      </w:r>
      <w:r w:rsidR="00006AC8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7D4E9C" w14:paraId="1823ACBE" w14:textId="77777777" w:rsidTr="000402F4">
        <w:tc>
          <w:tcPr>
            <w:tcW w:w="1544" w:type="dxa"/>
            <w:shd w:val="clear" w:color="auto" w:fill="auto"/>
          </w:tcPr>
          <w:p w14:paraId="35372BA8" w14:textId="5581A626" w:rsidR="005F7A7C" w:rsidRPr="007D4E9C" w:rsidRDefault="005F7A7C" w:rsidP="000402F4">
            <w:r w:rsidRPr="007D4E9C">
              <w:t>ISO</w:t>
            </w:r>
            <w:r w:rsidR="00AD7C0E">
              <w:t> </w:t>
            </w:r>
            <w:r w:rsidRPr="007D4E9C">
              <w:t>11623:2023</w:t>
            </w:r>
          </w:p>
        </w:tc>
        <w:tc>
          <w:tcPr>
            <w:tcW w:w="4820" w:type="dxa"/>
            <w:shd w:val="clear" w:color="auto" w:fill="auto"/>
          </w:tcPr>
          <w:p w14:paraId="2092ADAB" w14:textId="4AD11F53" w:rsidR="005F7A7C" w:rsidRPr="007D4E9C" w:rsidRDefault="005F7A7C" w:rsidP="000402F4">
            <w:pPr>
              <w:jc w:val="both"/>
            </w:pPr>
            <w:r w:rsidRPr="007D4E9C">
              <w:rPr>
                <w:iCs/>
                <w:color w:val="000000"/>
              </w:rPr>
              <w:t xml:space="preserve">Gas cylinders </w:t>
            </w:r>
            <w:r w:rsidR="004648F8" w:rsidRPr="007D4E9C">
              <w:t>–</w:t>
            </w:r>
            <w:r w:rsidRPr="007D4E9C">
              <w:rPr>
                <w:iCs/>
                <w:color w:val="000000"/>
              </w:rPr>
              <w:t xml:space="preserve"> Composite cylinders and tubes </w:t>
            </w:r>
            <w:r w:rsidR="004648F8" w:rsidRPr="007D4E9C">
              <w:t>–</w:t>
            </w:r>
            <w:r w:rsidRPr="007D4E9C">
              <w:rPr>
                <w:iCs/>
                <w:color w:val="000000"/>
              </w:rPr>
              <w:t xml:space="preserve"> Periodic inspection and testing</w:t>
            </w:r>
          </w:p>
        </w:tc>
        <w:tc>
          <w:tcPr>
            <w:tcW w:w="1275" w:type="dxa"/>
            <w:shd w:val="clear" w:color="auto" w:fill="auto"/>
          </w:tcPr>
          <w:p w14:paraId="361D2BBC" w14:textId="77777777" w:rsidR="005F7A7C" w:rsidRPr="007D4E9C" w:rsidRDefault="005F7A7C" w:rsidP="000402F4">
            <w:r w:rsidRPr="007D4E9C">
              <w:t>Until further notice</w:t>
            </w:r>
          </w:p>
        </w:tc>
      </w:tr>
    </w:tbl>
    <w:p w14:paraId="2BA6C44D" w14:textId="77777777" w:rsidR="005F7A7C" w:rsidRPr="007D4E9C" w:rsidRDefault="005F7A7C" w:rsidP="005F7A7C">
      <w:pPr>
        <w:pStyle w:val="H1G"/>
      </w:pPr>
      <w:r w:rsidRPr="007D4E9C">
        <w:tab/>
      </w:r>
      <w:r w:rsidRPr="007D4E9C">
        <w:tab/>
        <w:t>Justification</w:t>
      </w:r>
    </w:p>
    <w:p w14:paraId="37C57831" w14:textId="238AE4A9" w:rsidR="005F7A7C" w:rsidRPr="007D4E9C" w:rsidRDefault="005F7A7C" w:rsidP="004555C8">
      <w:pPr>
        <w:pStyle w:val="SingleTxtG"/>
      </w:pPr>
      <w:r w:rsidRPr="007D4E9C">
        <w:t>6.</w:t>
      </w:r>
      <w:r w:rsidRPr="007D4E9C">
        <w:tab/>
        <w:t xml:space="preserve">This document specifies the requirements for periodic inspection and testing to verify the integrity for further service of hoop-wrapped and fully-wrapped composite transportable gas cylinders and tubes, with aluminium-alloy, </w:t>
      </w:r>
      <w:proofErr w:type="gramStart"/>
      <w:r w:rsidRPr="007D4E9C">
        <w:t>steel</w:t>
      </w:r>
      <w:proofErr w:type="gramEnd"/>
      <w:r w:rsidRPr="007D4E9C">
        <w:t xml:space="preserve"> or non-metallic liners or of </w:t>
      </w:r>
      <w:proofErr w:type="spellStart"/>
      <w:r w:rsidRPr="007D4E9C">
        <w:t>linerless</w:t>
      </w:r>
      <w:proofErr w:type="spellEnd"/>
      <w:r w:rsidRPr="007D4E9C">
        <w:t xml:space="preserve"> construction (Types 2, 3, 4, and 5), intended for compressed, liquefied or dissolved gases under pressure, of water capacity from 0</w:t>
      </w:r>
      <w:r w:rsidR="00DD3A94">
        <w:t>.</w:t>
      </w:r>
      <w:r w:rsidRPr="007D4E9C">
        <w:t>5 l up to 3</w:t>
      </w:r>
      <w:r w:rsidR="00AD7C0E">
        <w:t> </w:t>
      </w:r>
      <w:r w:rsidRPr="007D4E9C">
        <w:t xml:space="preserve">000 l. </w:t>
      </w:r>
      <w:r w:rsidRPr="007D4E9C">
        <w:rPr>
          <w:lang w:val="en-US"/>
        </w:rPr>
        <w:t>The significant changes compared</w:t>
      </w:r>
      <w:r w:rsidRPr="007D4E9C">
        <w:t xml:space="preserve"> to the previous edition are as follows:</w:t>
      </w:r>
    </w:p>
    <w:p w14:paraId="2DA0CED0" w14:textId="157BB291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t xml:space="preserve">the </w:t>
      </w:r>
      <w:r w:rsidR="0022479E">
        <w:rPr>
          <w:lang w:val="en-US"/>
        </w:rPr>
        <w:t>s</w:t>
      </w:r>
      <w:r w:rsidRPr="007D4E9C">
        <w:rPr>
          <w:lang w:val="en-US"/>
        </w:rPr>
        <w:t>cope has been revised to include cylinders and tubes with a water capacity up to 3</w:t>
      </w:r>
      <w:r w:rsidR="00EB5A49">
        <w:rPr>
          <w:lang w:val="en-US"/>
        </w:rPr>
        <w:t> </w:t>
      </w:r>
      <w:r w:rsidRPr="007D4E9C">
        <w:rPr>
          <w:lang w:val="en-US"/>
        </w:rPr>
        <w:t>000 l</w:t>
      </w:r>
      <w:r w:rsidR="0022479E">
        <w:rPr>
          <w:lang w:val="en-US"/>
        </w:rPr>
        <w:t>,</w:t>
      </w:r>
      <w:r w:rsidRPr="007D4E9C">
        <w:rPr>
          <w:lang w:val="en-US"/>
        </w:rPr>
        <w:t xml:space="preserve"> </w:t>
      </w:r>
      <w:proofErr w:type="gramStart"/>
      <w:r w:rsidRPr="007D4E9C">
        <w:rPr>
          <w:lang w:val="en-US"/>
        </w:rPr>
        <w:t>i.e.</w:t>
      </w:r>
      <w:proofErr w:type="gramEnd"/>
      <w:r w:rsidRPr="007D4E9C">
        <w:rPr>
          <w:lang w:val="en-US"/>
        </w:rPr>
        <w:t xml:space="preserve"> the limit was previously set at 450 l</w:t>
      </w:r>
      <w:r w:rsidR="009350B4">
        <w:rPr>
          <w:lang w:val="en-US"/>
        </w:rPr>
        <w:t>,</w:t>
      </w:r>
    </w:p>
    <w:p w14:paraId="0D2AC154" w14:textId="1054CEA5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t>modification of Table 1 to separate abrasion damage based on water capacity of the cylinder</w:t>
      </w:r>
      <w:r w:rsidR="009350B4">
        <w:rPr>
          <w:lang w:val="en-US"/>
        </w:rPr>
        <w:t>,</w:t>
      </w:r>
    </w:p>
    <w:p w14:paraId="3C477D19" w14:textId="2A24284A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lastRenderedPageBreak/>
        <w:t>clarification that a transparent sleeve may be left in place during inspection (7.1.3)</w:t>
      </w:r>
      <w:r w:rsidR="00383ABC">
        <w:rPr>
          <w:lang w:val="en-US"/>
        </w:rPr>
        <w:t xml:space="preserve"> and</w:t>
      </w:r>
    </w:p>
    <w:p w14:paraId="1D96E9CC" w14:textId="6F588DFF" w:rsidR="005F7A7C" w:rsidRPr="007D4E9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7D4E9C">
        <w:rPr>
          <w:lang w:val="en-US"/>
        </w:rPr>
        <w:t>clarification on the use of tare during inspection.</w:t>
      </w:r>
    </w:p>
    <w:p w14:paraId="64531A60" w14:textId="77777777" w:rsidR="005F7A7C" w:rsidRPr="007D4E9C" w:rsidRDefault="005F7A7C" w:rsidP="004555C8">
      <w:pPr>
        <w:pStyle w:val="H1G"/>
      </w:pPr>
      <w:r w:rsidRPr="007D4E9C">
        <w:tab/>
      </w:r>
      <w:r w:rsidRPr="007D4E9C">
        <w:tab/>
        <w:t>Proposal 3</w:t>
      </w:r>
    </w:p>
    <w:p w14:paraId="6327C3EB" w14:textId="4C9CF539" w:rsidR="005F7A7C" w:rsidRPr="007D4E9C" w:rsidRDefault="005F7A7C" w:rsidP="00006AC8">
      <w:pPr>
        <w:pStyle w:val="SingleTxtG"/>
      </w:pPr>
      <w:bookmarkStart w:id="3" w:name="_Hlk161650804"/>
      <w:r w:rsidRPr="007D4E9C">
        <w:t>7.</w:t>
      </w:r>
      <w:r w:rsidRPr="007D4E9C">
        <w:tab/>
        <w:t>In the table in 6.2.2.1.1, in the row starting ISO</w:t>
      </w:r>
      <w:r w:rsidR="00EB5A49">
        <w:t> </w:t>
      </w:r>
      <w:r w:rsidRPr="007D4E9C">
        <w:t>4706:2008 replace “Until further notice” with “</w:t>
      </w:r>
      <w:r w:rsidRPr="006306B6">
        <w:t>Until 31 December 203</w:t>
      </w:r>
      <w:r>
        <w:t>0</w:t>
      </w:r>
      <w:r w:rsidRPr="006306B6">
        <w:t>”.</w:t>
      </w:r>
      <w:r w:rsidRPr="007D4E9C">
        <w:t xml:space="preserve"> In the table in 6.2.2.1.1 add the following new row beneath the row starting ISO</w:t>
      </w:r>
      <w:r w:rsidR="00EB5A49">
        <w:t> </w:t>
      </w:r>
      <w:r w:rsidRPr="007D4E9C">
        <w:t>4706:2008</w:t>
      </w:r>
      <w:r w:rsidR="00EB5A49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AA6F5C" w14:paraId="3933A887" w14:textId="77777777" w:rsidTr="000402F4">
        <w:tc>
          <w:tcPr>
            <w:tcW w:w="1544" w:type="dxa"/>
            <w:shd w:val="clear" w:color="auto" w:fill="auto"/>
          </w:tcPr>
          <w:p w14:paraId="0793EF8F" w14:textId="60EE2456" w:rsidR="005F7A7C" w:rsidRPr="007D4E9C" w:rsidRDefault="005F7A7C" w:rsidP="000402F4">
            <w:bookmarkStart w:id="4" w:name="_Hlk161650988"/>
            <w:bookmarkEnd w:id="3"/>
            <w:r w:rsidRPr="007D4E9C">
              <w:t>ISO</w:t>
            </w:r>
            <w:r w:rsidR="00EB5A49">
              <w:t> </w:t>
            </w:r>
            <w:r w:rsidRPr="007D4E9C">
              <w:t>4706:2023</w:t>
            </w:r>
          </w:p>
        </w:tc>
        <w:tc>
          <w:tcPr>
            <w:tcW w:w="4820" w:type="dxa"/>
            <w:shd w:val="clear" w:color="auto" w:fill="auto"/>
          </w:tcPr>
          <w:p w14:paraId="5159E49D" w14:textId="77777777" w:rsidR="005F7A7C" w:rsidRPr="007D4E9C" w:rsidRDefault="005F7A7C" w:rsidP="000402F4">
            <w:pPr>
              <w:jc w:val="both"/>
            </w:pPr>
            <w:r w:rsidRPr="007D4E9C">
              <w:rPr>
                <w:iCs/>
                <w:color w:val="000000"/>
              </w:rPr>
              <w:t>Gas cylinders – Refillable welded steel cylinders – Test pressure 60 bar and below</w:t>
            </w:r>
          </w:p>
        </w:tc>
        <w:tc>
          <w:tcPr>
            <w:tcW w:w="1275" w:type="dxa"/>
            <w:shd w:val="clear" w:color="auto" w:fill="auto"/>
          </w:tcPr>
          <w:p w14:paraId="00A44690" w14:textId="77777777" w:rsidR="005F7A7C" w:rsidRPr="00AA6F5C" w:rsidRDefault="005F7A7C" w:rsidP="000402F4">
            <w:r w:rsidRPr="007D4E9C">
              <w:t>Until further notice</w:t>
            </w:r>
          </w:p>
        </w:tc>
      </w:tr>
      <w:bookmarkEnd w:id="4"/>
    </w:tbl>
    <w:p w14:paraId="18B054F7" w14:textId="77777777" w:rsidR="002F6C58" w:rsidRDefault="002F6C58" w:rsidP="00006AC8">
      <w:pPr>
        <w:pStyle w:val="SingleTxtG"/>
      </w:pPr>
    </w:p>
    <w:p w14:paraId="41AB3F4B" w14:textId="40571A75" w:rsidR="005F7A7C" w:rsidRPr="007D4E9C" w:rsidRDefault="005F7A7C" w:rsidP="00006AC8">
      <w:pPr>
        <w:pStyle w:val="SingleTxtG"/>
      </w:pPr>
      <w:r>
        <w:t>8.</w:t>
      </w:r>
      <w:r>
        <w:tab/>
      </w:r>
      <w:r w:rsidRPr="00754077">
        <w:t xml:space="preserve">In </w:t>
      </w:r>
      <w:r w:rsidRPr="007D4E9C">
        <w:t>the table in 6.2.2.1.3, in the row starting ISO</w:t>
      </w:r>
      <w:r w:rsidR="00EB5A49">
        <w:t> </w:t>
      </w:r>
      <w:r w:rsidRPr="007D4E9C">
        <w:t>4706:2008 replace “Until further notice” with “</w:t>
      </w:r>
      <w:r w:rsidRPr="006306B6">
        <w:t>Until 31 December 203</w:t>
      </w:r>
      <w:r>
        <w:t>0</w:t>
      </w:r>
      <w:r w:rsidRPr="006306B6">
        <w:t>”.</w:t>
      </w:r>
      <w:r w:rsidRPr="007D4E9C">
        <w:t xml:space="preserve"> In the table in 6.2.2.1.3 add the following new row beneath the row starting ISO</w:t>
      </w:r>
      <w:r w:rsidR="00EB5A49">
        <w:t> </w:t>
      </w:r>
      <w:r w:rsidRPr="007D4E9C">
        <w:t>4706:2008</w:t>
      </w:r>
      <w:r w:rsidR="00EB5A49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7D4E9C" w14:paraId="0C4DC518" w14:textId="77777777" w:rsidTr="000402F4">
        <w:tc>
          <w:tcPr>
            <w:tcW w:w="1544" w:type="dxa"/>
            <w:shd w:val="clear" w:color="auto" w:fill="auto"/>
          </w:tcPr>
          <w:p w14:paraId="61A7F0DE" w14:textId="573BD4D4" w:rsidR="005F7A7C" w:rsidRPr="007D4E9C" w:rsidRDefault="005F7A7C" w:rsidP="000402F4">
            <w:r w:rsidRPr="007D4E9C">
              <w:t>ISO</w:t>
            </w:r>
            <w:r w:rsidR="00C30E09">
              <w:t> </w:t>
            </w:r>
            <w:r w:rsidRPr="007D4E9C">
              <w:t>4706:2023</w:t>
            </w:r>
          </w:p>
        </w:tc>
        <w:tc>
          <w:tcPr>
            <w:tcW w:w="4820" w:type="dxa"/>
            <w:shd w:val="clear" w:color="auto" w:fill="auto"/>
          </w:tcPr>
          <w:p w14:paraId="02D05F93" w14:textId="77777777" w:rsidR="005F7A7C" w:rsidRPr="007D4E9C" w:rsidRDefault="005F7A7C" w:rsidP="000402F4">
            <w:pPr>
              <w:jc w:val="both"/>
            </w:pPr>
            <w:r w:rsidRPr="007D4E9C">
              <w:rPr>
                <w:iCs/>
                <w:color w:val="000000"/>
              </w:rPr>
              <w:t>Gas cylinders – Refillable welded steel cylinders – Test pressure 60 bar and below</w:t>
            </w:r>
          </w:p>
        </w:tc>
        <w:tc>
          <w:tcPr>
            <w:tcW w:w="1275" w:type="dxa"/>
            <w:shd w:val="clear" w:color="auto" w:fill="auto"/>
          </w:tcPr>
          <w:p w14:paraId="0EEF4599" w14:textId="77777777" w:rsidR="005F7A7C" w:rsidRPr="007D4E9C" w:rsidRDefault="005F7A7C" w:rsidP="000402F4">
            <w:r w:rsidRPr="007D4E9C">
              <w:t>Until further notice</w:t>
            </w:r>
          </w:p>
        </w:tc>
      </w:tr>
    </w:tbl>
    <w:p w14:paraId="1D92A616" w14:textId="77777777" w:rsidR="002F6C58" w:rsidRDefault="002F6C58" w:rsidP="00006AC8">
      <w:pPr>
        <w:pStyle w:val="SingleTxtG"/>
      </w:pPr>
    </w:p>
    <w:p w14:paraId="6CCAF62D" w14:textId="689ED025" w:rsidR="005F7A7C" w:rsidRDefault="005F7A7C" w:rsidP="00006AC8">
      <w:pPr>
        <w:pStyle w:val="SingleTxtG"/>
      </w:pPr>
      <w:r w:rsidRPr="007D4E9C">
        <w:t>9.</w:t>
      </w:r>
      <w:r w:rsidRPr="007D4E9C">
        <w:tab/>
        <w:t>In the table in 6.2.2.1.8, in the row starting ISO 4706:2008 replace “Until further notice” with “</w:t>
      </w:r>
      <w:r w:rsidRPr="006306B6">
        <w:t>Until 31 December 203</w:t>
      </w:r>
      <w:r>
        <w:t>0</w:t>
      </w:r>
      <w:r w:rsidRPr="006306B6">
        <w:t>”.</w:t>
      </w:r>
      <w:r w:rsidRPr="007D4E9C">
        <w:t xml:space="preserve">  In the table in 6.2.2.1.8 add the following new row beneath the row starting ISO</w:t>
      </w:r>
      <w:r w:rsidR="00140B1E">
        <w:t> </w:t>
      </w:r>
      <w:r w:rsidRPr="007D4E9C">
        <w:t>4706:2008</w:t>
      </w:r>
      <w:r w:rsidR="00140B1E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AA6F5C" w14:paraId="555FE91C" w14:textId="77777777" w:rsidTr="000402F4">
        <w:tc>
          <w:tcPr>
            <w:tcW w:w="1544" w:type="dxa"/>
            <w:shd w:val="clear" w:color="auto" w:fill="auto"/>
          </w:tcPr>
          <w:p w14:paraId="4152FDD4" w14:textId="70E9CAFE" w:rsidR="005F7A7C" w:rsidRPr="00AA6F5C" w:rsidRDefault="005F7A7C" w:rsidP="000402F4">
            <w:r w:rsidRPr="00D87D9E">
              <w:t>ISO</w:t>
            </w:r>
            <w:r w:rsidR="00C30E09">
              <w:t> </w:t>
            </w:r>
            <w:r>
              <w:t>4706:2023</w:t>
            </w:r>
          </w:p>
        </w:tc>
        <w:tc>
          <w:tcPr>
            <w:tcW w:w="4820" w:type="dxa"/>
            <w:shd w:val="clear" w:color="auto" w:fill="auto"/>
          </w:tcPr>
          <w:p w14:paraId="27E093FF" w14:textId="77777777" w:rsidR="005F7A7C" w:rsidRPr="00AA6F5C" w:rsidRDefault="005F7A7C" w:rsidP="000402F4">
            <w:pPr>
              <w:jc w:val="both"/>
            </w:pPr>
            <w:r w:rsidRPr="00CE3745">
              <w:rPr>
                <w:iCs/>
                <w:color w:val="000000"/>
              </w:rPr>
              <w:t>Gas cylinders – Refillable welded steel cylinders – Test pressure 60 bar and below</w:t>
            </w:r>
          </w:p>
        </w:tc>
        <w:tc>
          <w:tcPr>
            <w:tcW w:w="1275" w:type="dxa"/>
            <w:shd w:val="clear" w:color="auto" w:fill="auto"/>
          </w:tcPr>
          <w:p w14:paraId="6D9A5947" w14:textId="77777777" w:rsidR="005F7A7C" w:rsidRPr="00AA6F5C" w:rsidRDefault="005F7A7C" w:rsidP="000402F4">
            <w:r w:rsidRPr="00AA6F5C">
              <w:t>Until further notice</w:t>
            </w:r>
          </w:p>
        </w:tc>
      </w:tr>
    </w:tbl>
    <w:p w14:paraId="5B7EBBCD" w14:textId="77777777" w:rsidR="005F7A7C" w:rsidRPr="007B2B1F" w:rsidRDefault="005F7A7C" w:rsidP="005F7A7C">
      <w:pPr>
        <w:pStyle w:val="H1G"/>
      </w:pPr>
      <w:r>
        <w:tab/>
      </w:r>
      <w:r>
        <w:tab/>
        <w:t>Justification</w:t>
      </w:r>
    </w:p>
    <w:p w14:paraId="27F77F24" w14:textId="347FF34F" w:rsidR="005F7A7C" w:rsidRDefault="005F7A7C" w:rsidP="002F6C58">
      <w:pPr>
        <w:pStyle w:val="SingleTxtG"/>
      </w:pPr>
      <w:r>
        <w:t>10.</w:t>
      </w:r>
      <w:r>
        <w:tab/>
      </w:r>
      <w:r w:rsidRPr="00CE3745">
        <w:t xml:space="preserve">The purpose of this document is to facilitate agreement on the design and manufacture of welded-steel gas cylinders in all countries. The requirements are based on </w:t>
      </w:r>
      <w:r w:rsidR="00011450">
        <w:t xml:space="preserve">the </w:t>
      </w:r>
      <w:r w:rsidRPr="00CE3745">
        <w:t>knowledge of, and experience with, materials, design requirements, manufacturing processes and controls in common use for the manufacture of gas cylinder</w:t>
      </w:r>
      <w:r>
        <w:t xml:space="preserve">. </w:t>
      </w:r>
      <w:r w:rsidRPr="00CE3745">
        <w:t>The significant changes compared to the previous edition are as follows</w:t>
      </w:r>
      <w:r>
        <w:t>:</w:t>
      </w:r>
    </w:p>
    <w:p w14:paraId="5CD54F7C" w14:textId="1ECB1560" w:rsidR="005F7A7C" w:rsidRPr="00CE3745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>
        <w:t>references have been updated</w:t>
      </w:r>
      <w:r w:rsidR="009350B4">
        <w:t>,</w:t>
      </w:r>
    </w:p>
    <w:p w14:paraId="7E5725DB" w14:textId="422C5238" w:rsidR="005F7A7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>
        <w:t>X-ray is required on three-piece designs</w:t>
      </w:r>
      <w:r w:rsidR="009350B4">
        <w:rPr>
          <w:lang w:val="en-US"/>
        </w:rPr>
        <w:t>,</w:t>
      </w:r>
    </w:p>
    <w:p w14:paraId="70542C48" w14:textId="395AFF0B" w:rsidR="005F7A7C" w:rsidRPr="00CE3745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>
        <w:t>X-ray frequency has been changed from 50 to 250</w:t>
      </w:r>
      <w:r w:rsidR="007D30E3">
        <w:t>, and</w:t>
      </w:r>
    </w:p>
    <w:p w14:paraId="6833AB62" w14:textId="77777777" w:rsidR="005F7A7C" w:rsidRDefault="005F7A7C" w:rsidP="005F7A7C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/>
        <w:rPr>
          <w:lang w:val="en-US"/>
        </w:rPr>
      </w:pPr>
      <w:r w:rsidRPr="00CE3745">
        <w:rPr>
          <w:lang w:val="en-US"/>
        </w:rPr>
        <w:t>criteria for X-ray retesting requirements have been added</w:t>
      </w:r>
      <w:r>
        <w:rPr>
          <w:lang w:val="en-US"/>
        </w:rPr>
        <w:t>.</w:t>
      </w:r>
    </w:p>
    <w:p w14:paraId="178F2E58" w14:textId="77777777" w:rsidR="005F7A7C" w:rsidRPr="00B81BB8" w:rsidRDefault="005F7A7C" w:rsidP="002F6C58">
      <w:pPr>
        <w:pStyle w:val="H1G"/>
      </w:pPr>
      <w:r>
        <w:tab/>
      </w:r>
      <w:r>
        <w:tab/>
      </w:r>
      <w:r w:rsidRPr="00720D0C">
        <w:t xml:space="preserve">Proposal </w:t>
      </w:r>
      <w:r>
        <w:t>4</w:t>
      </w:r>
    </w:p>
    <w:p w14:paraId="6AF19C4A" w14:textId="2FA40CE2" w:rsidR="005F7A7C" w:rsidRDefault="005F7A7C" w:rsidP="002F6C58">
      <w:pPr>
        <w:pStyle w:val="SingleTxtG"/>
      </w:pPr>
      <w:r>
        <w:t>11.</w:t>
      </w:r>
      <w:r>
        <w:tab/>
      </w:r>
      <w:r w:rsidRPr="00754077">
        <w:t xml:space="preserve">In </w:t>
      </w:r>
      <w:r w:rsidRPr="007D4E9C">
        <w:t xml:space="preserve">the table in 6.2.2.1.1, in the row starting </w:t>
      </w:r>
      <w:bookmarkStart w:id="5" w:name="_Hlk161670219"/>
      <w:r w:rsidRPr="007D4E9C">
        <w:t xml:space="preserve">ISO 11119-2:2020 </w:t>
      </w:r>
      <w:bookmarkEnd w:id="5"/>
      <w:r w:rsidRPr="007D4E9C">
        <w:t>replace “Until further notice” with “</w:t>
      </w:r>
      <w:r w:rsidRPr="006306B6">
        <w:t>Until 31 December 203</w:t>
      </w:r>
      <w:r>
        <w:t>0</w:t>
      </w:r>
      <w:r w:rsidRPr="006306B6">
        <w:t>”.</w:t>
      </w:r>
      <w:r w:rsidRPr="007D4E9C">
        <w:t xml:space="preserve">  In the table</w:t>
      </w:r>
      <w:r w:rsidRPr="00754077">
        <w:t xml:space="preserve"> in 6.2.2.</w:t>
      </w:r>
      <w:r>
        <w:t>1.1 add</w:t>
      </w:r>
      <w:r w:rsidRPr="00754077">
        <w:t xml:space="preserve"> the following new row beneath the row starting </w:t>
      </w:r>
      <w:r w:rsidRPr="00B81BB8">
        <w:t>ISO</w:t>
      </w:r>
      <w:r w:rsidR="00C30E09">
        <w:t> </w:t>
      </w:r>
      <w:r w:rsidRPr="00B81BB8">
        <w:t>11119-2:2020</w:t>
      </w:r>
      <w:r w:rsidR="00C30E09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AA6F5C" w14:paraId="3BB606BA" w14:textId="77777777" w:rsidTr="000402F4">
        <w:tc>
          <w:tcPr>
            <w:tcW w:w="1544" w:type="dxa"/>
            <w:shd w:val="clear" w:color="auto" w:fill="auto"/>
          </w:tcPr>
          <w:p w14:paraId="5205B72C" w14:textId="048A9D56" w:rsidR="005F7A7C" w:rsidRPr="00AA6F5C" w:rsidRDefault="005F7A7C" w:rsidP="000402F4">
            <w:bookmarkStart w:id="6" w:name="_Hlk161670403"/>
            <w:r w:rsidRPr="00D87D9E">
              <w:t>ISO</w:t>
            </w:r>
            <w:r w:rsidR="00C30E09">
              <w:t> </w:t>
            </w:r>
            <w:r>
              <w:t xml:space="preserve">11119-2:2020 + </w:t>
            </w:r>
            <w:proofErr w:type="spellStart"/>
            <w:r>
              <w:t>Amd</w:t>
            </w:r>
            <w:proofErr w:type="spellEnd"/>
            <w:r>
              <w:t xml:space="preserve"> 1 2023</w:t>
            </w:r>
          </w:p>
        </w:tc>
        <w:tc>
          <w:tcPr>
            <w:tcW w:w="4820" w:type="dxa"/>
            <w:shd w:val="clear" w:color="auto" w:fill="auto"/>
          </w:tcPr>
          <w:p w14:paraId="4860AA10" w14:textId="39AAEA9A" w:rsidR="005F7A7C" w:rsidRPr="00AA6F5C" w:rsidRDefault="005F7A7C" w:rsidP="00A0391C">
            <w:pPr>
              <w:jc w:val="both"/>
            </w:pPr>
            <w:r w:rsidRPr="00A228CB">
              <w:rPr>
                <w:iCs/>
                <w:color w:val="000000"/>
              </w:rPr>
              <w:t>Gas cylinders – Refillable composite gas cylinders and</w:t>
            </w:r>
            <w:r w:rsidR="00A0391C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 xml:space="preserve">tubes – Design, </w:t>
            </w:r>
            <w:proofErr w:type="gramStart"/>
            <w:r w:rsidRPr="00A228CB">
              <w:rPr>
                <w:iCs/>
                <w:color w:val="000000"/>
              </w:rPr>
              <w:t>construction</w:t>
            </w:r>
            <w:proofErr w:type="gramEnd"/>
            <w:r w:rsidRPr="00A228CB">
              <w:rPr>
                <w:iCs/>
                <w:color w:val="000000"/>
              </w:rPr>
              <w:t xml:space="preserve"> and testing – Part 2: Fully</w:t>
            </w:r>
            <w:r w:rsidR="00A0391C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wrapped fibre reinforced composite gas cylinders and</w:t>
            </w:r>
            <w:r w:rsidR="00A0391C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tubes up to 450 l with load-sharing metal liners</w:t>
            </w:r>
          </w:p>
        </w:tc>
        <w:tc>
          <w:tcPr>
            <w:tcW w:w="1275" w:type="dxa"/>
            <w:shd w:val="clear" w:color="auto" w:fill="auto"/>
          </w:tcPr>
          <w:p w14:paraId="3F690A1E" w14:textId="77777777" w:rsidR="005F7A7C" w:rsidRPr="00AA6F5C" w:rsidRDefault="005F7A7C" w:rsidP="000402F4">
            <w:r w:rsidRPr="00AA6F5C">
              <w:t>Until further notice</w:t>
            </w:r>
          </w:p>
        </w:tc>
      </w:tr>
    </w:tbl>
    <w:bookmarkEnd w:id="6"/>
    <w:p w14:paraId="512CE1A4" w14:textId="77777777" w:rsidR="005F7A7C" w:rsidRDefault="005F7A7C" w:rsidP="005F7A7C">
      <w:pPr>
        <w:spacing w:after="120"/>
        <w:ind w:left="1134" w:right="1134"/>
        <w:jc w:val="both"/>
      </w:pPr>
      <w:r>
        <w:tab/>
      </w:r>
    </w:p>
    <w:p w14:paraId="41D922C6" w14:textId="438F1417" w:rsidR="005F7A7C" w:rsidRDefault="005F7A7C" w:rsidP="002F6C58">
      <w:pPr>
        <w:pStyle w:val="SingleTxtG"/>
      </w:pPr>
      <w:r>
        <w:t>12.</w:t>
      </w:r>
      <w:r>
        <w:tab/>
      </w:r>
      <w:r w:rsidRPr="00B81BB8">
        <w:t>In the table in 6.2.2.1.</w:t>
      </w:r>
      <w:r>
        <w:t>2</w:t>
      </w:r>
      <w:r w:rsidRPr="00B81BB8">
        <w:t>, in the row starting ISO</w:t>
      </w:r>
      <w:r w:rsidR="00C30E09">
        <w:t> </w:t>
      </w:r>
      <w:r w:rsidRPr="00B81BB8">
        <w:t xml:space="preserve">11119-2:2020 replace “Until further notice” </w:t>
      </w:r>
      <w:r w:rsidRPr="007D4E9C">
        <w:t xml:space="preserve">with </w:t>
      </w:r>
      <w:r w:rsidRPr="006306B6">
        <w:t>“Until 31 December 203</w:t>
      </w:r>
      <w:r>
        <w:t>0</w:t>
      </w:r>
      <w:r w:rsidRPr="006306B6">
        <w:t>”.</w:t>
      </w:r>
      <w:r w:rsidRPr="007D4E9C">
        <w:t xml:space="preserve"> In</w:t>
      </w:r>
      <w:r w:rsidRPr="00B81BB8">
        <w:t xml:space="preserve"> the table in 6.2.2.1.</w:t>
      </w:r>
      <w:r>
        <w:t>2</w:t>
      </w:r>
      <w:r w:rsidRPr="00B81BB8">
        <w:t xml:space="preserve"> add the following new row beneath the row starting ISO</w:t>
      </w:r>
      <w:r w:rsidR="00C30E09">
        <w:t> </w:t>
      </w:r>
      <w:r w:rsidRPr="00B81BB8">
        <w:t>11119-2:2020</w:t>
      </w:r>
      <w:r w:rsidR="00C30E09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AA6F5C" w14:paraId="235F30EB" w14:textId="77777777" w:rsidTr="000402F4">
        <w:tc>
          <w:tcPr>
            <w:tcW w:w="1544" w:type="dxa"/>
            <w:shd w:val="clear" w:color="auto" w:fill="auto"/>
          </w:tcPr>
          <w:p w14:paraId="4217E9BC" w14:textId="6E320466" w:rsidR="005F7A7C" w:rsidRPr="00AA6F5C" w:rsidRDefault="005F7A7C" w:rsidP="000402F4">
            <w:r w:rsidRPr="00D87D9E">
              <w:lastRenderedPageBreak/>
              <w:t>ISO</w:t>
            </w:r>
            <w:r w:rsidR="00C30E09">
              <w:t> </w:t>
            </w:r>
            <w:r>
              <w:t xml:space="preserve">11119-2:2020 + </w:t>
            </w:r>
            <w:proofErr w:type="spellStart"/>
            <w:r>
              <w:t>Amd</w:t>
            </w:r>
            <w:proofErr w:type="spellEnd"/>
            <w:r>
              <w:t xml:space="preserve"> 1 2023</w:t>
            </w:r>
          </w:p>
        </w:tc>
        <w:tc>
          <w:tcPr>
            <w:tcW w:w="4820" w:type="dxa"/>
            <w:shd w:val="clear" w:color="auto" w:fill="auto"/>
          </w:tcPr>
          <w:p w14:paraId="758A25AE" w14:textId="1B457EB1" w:rsidR="005F7A7C" w:rsidRPr="00AA6F5C" w:rsidRDefault="005F7A7C" w:rsidP="00DE14F9">
            <w:pPr>
              <w:jc w:val="both"/>
            </w:pPr>
            <w:r w:rsidRPr="00A228CB">
              <w:rPr>
                <w:iCs/>
                <w:color w:val="000000"/>
              </w:rPr>
              <w:t>Gas cylinders – Refillable composite gas cylinders and</w:t>
            </w:r>
            <w:r w:rsidR="00A0391C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 xml:space="preserve">tubes – Design, </w:t>
            </w:r>
            <w:proofErr w:type="gramStart"/>
            <w:r w:rsidRPr="00A228CB">
              <w:rPr>
                <w:iCs/>
                <w:color w:val="000000"/>
              </w:rPr>
              <w:t>construction</w:t>
            </w:r>
            <w:proofErr w:type="gramEnd"/>
            <w:r w:rsidRPr="00A228CB">
              <w:rPr>
                <w:iCs/>
                <w:color w:val="000000"/>
              </w:rPr>
              <w:t xml:space="preserve"> and testing – Part 2: Fully</w:t>
            </w:r>
            <w:r w:rsidR="00DE14F9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wrapped fibre reinforced composite gas cylinders and</w:t>
            </w:r>
            <w:r w:rsidR="00DE14F9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tubes up to 450 l with load-sharing metal liners</w:t>
            </w:r>
          </w:p>
        </w:tc>
        <w:tc>
          <w:tcPr>
            <w:tcW w:w="1275" w:type="dxa"/>
            <w:shd w:val="clear" w:color="auto" w:fill="auto"/>
          </w:tcPr>
          <w:p w14:paraId="4FD46CCF" w14:textId="77777777" w:rsidR="005F7A7C" w:rsidRPr="00AA6F5C" w:rsidRDefault="005F7A7C" w:rsidP="000402F4">
            <w:r w:rsidRPr="00AA6F5C">
              <w:t>Until further notice</w:t>
            </w:r>
          </w:p>
        </w:tc>
      </w:tr>
    </w:tbl>
    <w:p w14:paraId="15E47A8B" w14:textId="77777777" w:rsidR="005F7A7C" w:rsidRPr="007B2B1F" w:rsidRDefault="005F7A7C" w:rsidP="005F7A7C">
      <w:pPr>
        <w:pStyle w:val="H1G"/>
      </w:pPr>
      <w:r>
        <w:tab/>
      </w:r>
      <w:r>
        <w:tab/>
        <w:t>Justification</w:t>
      </w:r>
    </w:p>
    <w:p w14:paraId="793DF1CC" w14:textId="3CD69169" w:rsidR="005F7A7C" w:rsidRPr="00AC70A1" w:rsidRDefault="005F7A7C" w:rsidP="000A15B8">
      <w:pPr>
        <w:pStyle w:val="SingleTxtG"/>
        <w:rPr>
          <w:lang w:val="en-US"/>
        </w:rPr>
      </w:pPr>
      <w:r>
        <w:t>13.</w:t>
      </w:r>
      <w:r w:rsidR="000A15B8">
        <w:tab/>
      </w:r>
      <w:r>
        <w:t xml:space="preserve">The amendment to </w:t>
      </w:r>
      <w:r w:rsidR="003D5C42">
        <w:t xml:space="preserve">standard </w:t>
      </w:r>
      <w:r>
        <w:t>ISO</w:t>
      </w:r>
      <w:r w:rsidR="00C30E09">
        <w:t> </w:t>
      </w:r>
      <w:r>
        <w:t>11119-2:2020 was implemented to align the</w:t>
      </w:r>
      <w:r w:rsidRPr="008B0D93">
        <w:t xml:space="preserve"> criteria for cycling to 2/3 test pressure in 8.5.8.5.2 with the cycle testing requirements for cylinders</w:t>
      </w:r>
      <w:r>
        <w:t>,</w:t>
      </w:r>
      <w:r w:rsidRPr="008B0D93">
        <w:t xml:space="preserve"> </w:t>
      </w:r>
      <w:r>
        <w:t>greater than</w:t>
      </w:r>
      <w:r w:rsidRPr="008B0D93">
        <w:t xml:space="preserve"> 50 l</w:t>
      </w:r>
      <w:r>
        <w:t xml:space="preserve"> water capacity,</w:t>
      </w:r>
      <w:r w:rsidRPr="008B0D93">
        <w:t xml:space="preserve"> </w:t>
      </w:r>
      <w:r>
        <w:t>in</w:t>
      </w:r>
      <w:r w:rsidRPr="008B0D93">
        <w:t xml:space="preserve"> 8.5.8.4.2.</w:t>
      </w:r>
    </w:p>
    <w:p w14:paraId="2A900F9C" w14:textId="77777777" w:rsidR="005F7A7C" w:rsidRPr="00B81BB8" w:rsidRDefault="005F7A7C" w:rsidP="002F6C58">
      <w:pPr>
        <w:pStyle w:val="H1G"/>
      </w:pPr>
      <w:r>
        <w:tab/>
      </w:r>
      <w:r>
        <w:tab/>
      </w:r>
      <w:r w:rsidRPr="00720D0C">
        <w:t xml:space="preserve">Proposal </w:t>
      </w:r>
      <w:r>
        <w:t>5</w:t>
      </w:r>
    </w:p>
    <w:p w14:paraId="73B3A5F1" w14:textId="630295F6" w:rsidR="005F7A7C" w:rsidRDefault="005F7A7C" w:rsidP="002F6C58">
      <w:pPr>
        <w:pStyle w:val="SingleTxtG"/>
      </w:pPr>
      <w:r>
        <w:t>14.</w:t>
      </w:r>
      <w:r>
        <w:tab/>
      </w:r>
      <w:r w:rsidRPr="00754077">
        <w:t xml:space="preserve">In the table in </w:t>
      </w:r>
      <w:r w:rsidRPr="0037796D">
        <w:t>6.2.</w:t>
      </w:r>
      <w:r>
        <w:t>2.1.1</w:t>
      </w:r>
      <w:r w:rsidRPr="00754077">
        <w:t xml:space="preserve">, in the row starting </w:t>
      </w:r>
      <w:r w:rsidRPr="009A025F">
        <w:t>ISO</w:t>
      </w:r>
      <w:r w:rsidR="00C30E09">
        <w:t> </w:t>
      </w:r>
      <w:r>
        <w:t xml:space="preserve">11119-3:2020 </w:t>
      </w:r>
      <w:r w:rsidRPr="00754077">
        <w:t>replace “Until further notice” with “</w:t>
      </w:r>
      <w:r w:rsidRPr="006306B6">
        <w:t>Until 31 December 203</w:t>
      </w:r>
      <w:r>
        <w:t>0</w:t>
      </w:r>
      <w:r w:rsidRPr="006306B6">
        <w:t>”.</w:t>
      </w:r>
      <w:r w:rsidRPr="007D4E9C">
        <w:t xml:space="preserve"> In the table</w:t>
      </w:r>
      <w:r w:rsidRPr="00754077">
        <w:t xml:space="preserve"> in 6.2.2.</w:t>
      </w:r>
      <w:r>
        <w:t>1.1 add</w:t>
      </w:r>
      <w:r w:rsidRPr="00754077">
        <w:t xml:space="preserve"> the following new row beneath the row starting </w:t>
      </w:r>
      <w:r w:rsidRPr="00B81BB8">
        <w:t>ISO</w:t>
      </w:r>
      <w:r w:rsidR="00D00708">
        <w:t> </w:t>
      </w:r>
      <w:r w:rsidRPr="00B81BB8">
        <w:t>11119-</w:t>
      </w:r>
      <w:r>
        <w:t>3</w:t>
      </w:r>
      <w:r w:rsidRPr="00B81BB8">
        <w:t>:2020</w:t>
      </w:r>
      <w:r w:rsidR="00C30E09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AA6F5C" w14:paraId="36F75651" w14:textId="77777777" w:rsidTr="000402F4">
        <w:tc>
          <w:tcPr>
            <w:tcW w:w="1544" w:type="dxa"/>
            <w:shd w:val="clear" w:color="auto" w:fill="auto"/>
          </w:tcPr>
          <w:p w14:paraId="4DF1F953" w14:textId="1B2FA29B" w:rsidR="005F7A7C" w:rsidRPr="00AA6F5C" w:rsidRDefault="005F7A7C" w:rsidP="000402F4">
            <w:r w:rsidRPr="00D87D9E">
              <w:t>ISO</w:t>
            </w:r>
            <w:r w:rsidR="00C30E09">
              <w:t> </w:t>
            </w:r>
            <w:r>
              <w:t xml:space="preserve">11119-3:2020 + </w:t>
            </w:r>
            <w:proofErr w:type="spellStart"/>
            <w:r>
              <w:t>Amd</w:t>
            </w:r>
            <w:proofErr w:type="spellEnd"/>
            <w:r>
              <w:t xml:space="preserve"> 1 2023</w:t>
            </w:r>
          </w:p>
        </w:tc>
        <w:tc>
          <w:tcPr>
            <w:tcW w:w="4820" w:type="dxa"/>
            <w:shd w:val="clear" w:color="auto" w:fill="auto"/>
          </w:tcPr>
          <w:p w14:paraId="75D971F4" w14:textId="04A65768" w:rsidR="005F7A7C" w:rsidRPr="00AA6F5C" w:rsidRDefault="005F7A7C" w:rsidP="00E251CB">
            <w:pPr>
              <w:jc w:val="both"/>
            </w:pPr>
            <w:r w:rsidRPr="00A228CB">
              <w:rPr>
                <w:iCs/>
                <w:color w:val="000000"/>
              </w:rPr>
              <w:t>Gas cylinders – Refillable composite gas cylinders and</w:t>
            </w:r>
            <w:r w:rsidR="00205951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 xml:space="preserve">tubes – Design, </w:t>
            </w:r>
            <w:proofErr w:type="gramStart"/>
            <w:r w:rsidRPr="00A228CB">
              <w:rPr>
                <w:iCs/>
                <w:color w:val="000000"/>
              </w:rPr>
              <w:t>construction</w:t>
            </w:r>
            <w:proofErr w:type="gramEnd"/>
            <w:r w:rsidRPr="00A228CB">
              <w:rPr>
                <w:iCs/>
                <w:color w:val="000000"/>
              </w:rPr>
              <w:t xml:space="preserve"> and testing – Part 3: Fully</w:t>
            </w:r>
            <w:r w:rsidR="00205951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wrapped fibre reinforced composite gas cylinders and</w:t>
            </w:r>
            <w:r w:rsidR="00E251CB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tubes up to 450 l with non-load-sharing metallic or</w:t>
            </w:r>
            <w:r w:rsidR="00E251CB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non-metallic liners</w:t>
            </w:r>
          </w:p>
        </w:tc>
        <w:tc>
          <w:tcPr>
            <w:tcW w:w="1275" w:type="dxa"/>
            <w:shd w:val="clear" w:color="auto" w:fill="auto"/>
          </w:tcPr>
          <w:p w14:paraId="31F59F91" w14:textId="77777777" w:rsidR="005F7A7C" w:rsidRPr="00AA6F5C" w:rsidRDefault="005F7A7C" w:rsidP="000402F4">
            <w:r w:rsidRPr="00AA6F5C">
              <w:t>Until further notice</w:t>
            </w:r>
          </w:p>
        </w:tc>
      </w:tr>
    </w:tbl>
    <w:p w14:paraId="49B736B2" w14:textId="77777777" w:rsidR="005F7A7C" w:rsidRDefault="005F7A7C" w:rsidP="005F7A7C">
      <w:pPr>
        <w:spacing w:after="120"/>
        <w:ind w:left="1134" w:right="1134"/>
        <w:jc w:val="both"/>
      </w:pPr>
      <w:r>
        <w:tab/>
      </w:r>
    </w:p>
    <w:p w14:paraId="14BA1944" w14:textId="753FF5E0" w:rsidR="005F7A7C" w:rsidRDefault="005F7A7C" w:rsidP="002F6C58">
      <w:pPr>
        <w:pStyle w:val="SingleTxtG"/>
      </w:pPr>
      <w:r>
        <w:t>15.</w:t>
      </w:r>
      <w:r>
        <w:tab/>
      </w:r>
      <w:r w:rsidRPr="00B81BB8">
        <w:t>In the table in 6.2.2.1.</w:t>
      </w:r>
      <w:r>
        <w:t>2</w:t>
      </w:r>
      <w:r w:rsidRPr="00B81BB8">
        <w:t>, in the row starting ISO</w:t>
      </w:r>
      <w:r w:rsidR="00C30E09">
        <w:t> </w:t>
      </w:r>
      <w:r w:rsidRPr="00B81BB8">
        <w:t>11119-</w:t>
      </w:r>
      <w:r>
        <w:t>3</w:t>
      </w:r>
      <w:r w:rsidRPr="00B81BB8">
        <w:t xml:space="preserve">:2020 replace “Until further notice” </w:t>
      </w:r>
      <w:r w:rsidRPr="007D4E9C">
        <w:t xml:space="preserve">with </w:t>
      </w:r>
      <w:r w:rsidRPr="006306B6">
        <w:t>“Until 31 December 203</w:t>
      </w:r>
      <w:r>
        <w:t>0</w:t>
      </w:r>
      <w:r w:rsidRPr="006306B6">
        <w:t>”.</w:t>
      </w:r>
      <w:r w:rsidRPr="00B81BB8">
        <w:t xml:space="preserve"> In the table in 6.2.2.1.</w:t>
      </w:r>
      <w:r>
        <w:t>2</w:t>
      </w:r>
      <w:r w:rsidRPr="00B81BB8">
        <w:t xml:space="preserve"> add the following new row beneath the row starting ISO</w:t>
      </w:r>
      <w:r w:rsidR="00C30E09">
        <w:t> </w:t>
      </w:r>
      <w:r w:rsidRPr="00B81BB8">
        <w:t>11119-</w:t>
      </w:r>
      <w:r>
        <w:t>3</w:t>
      </w:r>
      <w:r w:rsidRPr="00B81BB8">
        <w:t>:2020</w:t>
      </w:r>
      <w:r w:rsidR="00C30E09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5F7A7C" w:rsidRPr="00AA6F5C" w14:paraId="7B2FF06D" w14:textId="77777777" w:rsidTr="000402F4">
        <w:tc>
          <w:tcPr>
            <w:tcW w:w="1544" w:type="dxa"/>
            <w:shd w:val="clear" w:color="auto" w:fill="auto"/>
          </w:tcPr>
          <w:p w14:paraId="42680DEF" w14:textId="43387AFA" w:rsidR="005F7A7C" w:rsidRPr="00AA6F5C" w:rsidRDefault="005F7A7C" w:rsidP="000402F4">
            <w:r w:rsidRPr="00D87D9E">
              <w:t>ISO</w:t>
            </w:r>
            <w:r w:rsidR="00C30E09">
              <w:t> </w:t>
            </w:r>
            <w:r>
              <w:t xml:space="preserve">11119-3:2020 + </w:t>
            </w:r>
            <w:proofErr w:type="spellStart"/>
            <w:r>
              <w:t>Amd</w:t>
            </w:r>
            <w:proofErr w:type="spellEnd"/>
            <w:r>
              <w:t xml:space="preserve"> 1 2023</w:t>
            </w:r>
          </w:p>
        </w:tc>
        <w:tc>
          <w:tcPr>
            <w:tcW w:w="4820" w:type="dxa"/>
            <w:shd w:val="clear" w:color="auto" w:fill="auto"/>
          </w:tcPr>
          <w:p w14:paraId="6CC9A885" w14:textId="7EB05D02" w:rsidR="005F7A7C" w:rsidRPr="00AA6F5C" w:rsidRDefault="005F7A7C" w:rsidP="007C684D">
            <w:pPr>
              <w:jc w:val="both"/>
            </w:pPr>
            <w:r w:rsidRPr="00A228CB">
              <w:rPr>
                <w:iCs/>
                <w:color w:val="000000"/>
              </w:rPr>
              <w:t>Gas cylinders – Refillable composite gas cylinders and</w:t>
            </w:r>
            <w:r w:rsidR="00E251CB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 xml:space="preserve">tubes – Design, </w:t>
            </w:r>
            <w:proofErr w:type="gramStart"/>
            <w:r w:rsidRPr="00A228CB">
              <w:rPr>
                <w:iCs/>
                <w:color w:val="000000"/>
              </w:rPr>
              <w:t>construction</w:t>
            </w:r>
            <w:proofErr w:type="gramEnd"/>
            <w:r w:rsidRPr="00A228CB">
              <w:rPr>
                <w:iCs/>
                <w:color w:val="000000"/>
              </w:rPr>
              <w:t xml:space="preserve"> and testing – Part 3: Fully</w:t>
            </w:r>
            <w:r w:rsidR="00E251CB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wrapped fibre reinforced composite gas cylinders and</w:t>
            </w:r>
            <w:r w:rsidR="00E251CB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tubes up to 450 l with non-load-sharing metallic or</w:t>
            </w:r>
            <w:r w:rsidR="00E251CB">
              <w:rPr>
                <w:iCs/>
                <w:color w:val="000000"/>
              </w:rPr>
              <w:t xml:space="preserve"> </w:t>
            </w:r>
            <w:r w:rsidRPr="00A228CB">
              <w:rPr>
                <w:iCs/>
                <w:color w:val="000000"/>
              </w:rPr>
              <w:t>non-metallic liners</w:t>
            </w:r>
          </w:p>
        </w:tc>
        <w:tc>
          <w:tcPr>
            <w:tcW w:w="1275" w:type="dxa"/>
            <w:shd w:val="clear" w:color="auto" w:fill="auto"/>
          </w:tcPr>
          <w:p w14:paraId="0F52EBE2" w14:textId="77777777" w:rsidR="005F7A7C" w:rsidRPr="00AA6F5C" w:rsidRDefault="005F7A7C" w:rsidP="000402F4">
            <w:r w:rsidRPr="00AA6F5C">
              <w:t>Until further notice</w:t>
            </w:r>
          </w:p>
        </w:tc>
      </w:tr>
    </w:tbl>
    <w:p w14:paraId="79276FB1" w14:textId="77777777" w:rsidR="005F7A7C" w:rsidRPr="007B2B1F" w:rsidRDefault="005F7A7C" w:rsidP="002F6C58">
      <w:pPr>
        <w:pStyle w:val="H1G"/>
      </w:pPr>
      <w:r>
        <w:tab/>
      </w:r>
      <w:r>
        <w:tab/>
      </w:r>
      <w:r w:rsidRPr="002F6C58">
        <w:t>Justification</w:t>
      </w:r>
    </w:p>
    <w:p w14:paraId="78F4E14B" w14:textId="35BC4CF8" w:rsidR="005F7A7C" w:rsidRDefault="005F7A7C" w:rsidP="002F6C58">
      <w:pPr>
        <w:pStyle w:val="SingleTxtG"/>
      </w:pPr>
      <w:r>
        <w:t>16.</w:t>
      </w:r>
      <w:r w:rsidR="002F6C58">
        <w:tab/>
      </w:r>
      <w:r>
        <w:t xml:space="preserve">The amendment to </w:t>
      </w:r>
      <w:r w:rsidR="003D5C42">
        <w:t xml:space="preserve">standard </w:t>
      </w:r>
      <w:r>
        <w:t>ISO</w:t>
      </w:r>
      <w:r w:rsidR="00461A7A">
        <w:t> </w:t>
      </w:r>
      <w:r>
        <w:t>11119-3:2020 is comprised of three changes, to correct anomalies in the published standard, as follows</w:t>
      </w:r>
      <w:r w:rsidR="00461A7A">
        <w:t>:</w:t>
      </w:r>
    </w:p>
    <w:p w14:paraId="6573EE29" w14:textId="2ABDF8B8" w:rsidR="005F7A7C" w:rsidRPr="00AC70A1" w:rsidRDefault="00834076" w:rsidP="001C4F0E">
      <w:pPr>
        <w:pStyle w:val="SingleTxtG"/>
        <w:tabs>
          <w:tab w:val="clear" w:pos="1701"/>
          <w:tab w:val="clear" w:pos="2268"/>
          <w:tab w:val="clear" w:pos="2835"/>
        </w:tabs>
        <w:suppressAutoHyphens/>
        <w:ind w:left="2421" w:hanging="567"/>
        <w:rPr>
          <w:lang w:val="en-US"/>
        </w:rPr>
      </w:pPr>
      <w:r>
        <w:t>–</w:t>
      </w:r>
      <w:r>
        <w:tab/>
      </w:r>
      <w:r w:rsidR="005F7A7C">
        <w:t>procedure of the drop test for cylinders up to and including 50 l water capacity with dedicated compressed gas service 8.5.9.4.1</w:t>
      </w:r>
      <w:r w:rsidR="00812012">
        <w:t>,</w:t>
      </w:r>
    </w:p>
    <w:p w14:paraId="2B8474BC" w14:textId="2373AED6" w:rsidR="005F7A7C" w:rsidRPr="00AC70A1" w:rsidRDefault="00834076" w:rsidP="001C4F0E">
      <w:pPr>
        <w:pStyle w:val="SingleTxtG"/>
        <w:tabs>
          <w:tab w:val="clear" w:pos="1701"/>
          <w:tab w:val="clear" w:pos="2268"/>
          <w:tab w:val="clear" w:pos="2835"/>
        </w:tabs>
        <w:suppressAutoHyphens/>
        <w:ind w:left="2421" w:hanging="567"/>
        <w:rPr>
          <w:lang w:val="en-US"/>
        </w:rPr>
      </w:pPr>
      <w:r>
        <w:t>–</w:t>
      </w:r>
      <w:r>
        <w:tab/>
      </w:r>
      <w:r w:rsidR="005F7A7C">
        <w:t>criteria of the drop test for cylinders up to and including 50 l water capacity with dedicated compressed gas service 8.5.9.4.2</w:t>
      </w:r>
      <w:r w:rsidR="008F21F3">
        <w:t>,</w:t>
      </w:r>
    </w:p>
    <w:p w14:paraId="137F21F9" w14:textId="6BE15A96" w:rsidR="005F7A7C" w:rsidRDefault="00834076" w:rsidP="00E543C8">
      <w:pPr>
        <w:pStyle w:val="SingleTxtG"/>
        <w:tabs>
          <w:tab w:val="clear" w:pos="1701"/>
          <w:tab w:val="clear" w:pos="2268"/>
          <w:tab w:val="clear" w:pos="2835"/>
        </w:tabs>
        <w:suppressAutoHyphens/>
        <w:ind w:left="2410" w:hanging="556"/>
      </w:pPr>
      <w:r>
        <w:t>–</w:t>
      </w:r>
      <w:r>
        <w:tab/>
      </w:r>
      <w:r w:rsidR="005F7A7C">
        <w:t>criteria of the impact test for tubes over 150 l water capacity 8.5.9.5.2</w:t>
      </w:r>
      <w:r w:rsidR="008F21F3">
        <w:t xml:space="preserve"> and</w:t>
      </w:r>
    </w:p>
    <w:p w14:paraId="7994D873" w14:textId="63934B20" w:rsidR="005F7A7C" w:rsidRDefault="00B23E46" w:rsidP="00B23E46">
      <w:pPr>
        <w:pStyle w:val="SingleTxtG"/>
        <w:tabs>
          <w:tab w:val="clear" w:pos="1701"/>
          <w:tab w:val="clear" w:pos="2268"/>
          <w:tab w:val="clear" w:pos="2835"/>
        </w:tabs>
        <w:suppressAutoHyphens/>
        <w:ind w:left="2410" w:hanging="556"/>
        <w:rPr>
          <w:lang w:val="en-US"/>
        </w:rPr>
      </w:pPr>
      <w:r>
        <w:t>–</w:t>
      </w:r>
      <w:r>
        <w:tab/>
        <w:t xml:space="preserve">a </w:t>
      </w:r>
      <w:r w:rsidRPr="00834076">
        <w:t>change</w:t>
      </w:r>
      <w:r>
        <w:t xml:space="preserve"> in section A to specify how to cycle the cylinders after the drop test in 8.5.9.4.1.</w:t>
      </w:r>
    </w:p>
    <w:p w14:paraId="61E47A20" w14:textId="152E1626" w:rsidR="00B23E46" w:rsidRPr="00B23E46" w:rsidRDefault="00B23E46" w:rsidP="00B23E4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23E46" w:rsidRPr="00B23E46" w:rsidSect="009511F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7B4C" w14:textId="77777777" w:rsidR="00AB6355" w:rsidRPr="00C47B2E" w:rsidRDefault="00AB6355" w:rsidP="00C47B2E">
      <w:pPr>
        <w:pStyle w:val="Footer"/>
      </w:pPr>
    </w:p>
  </w:endnote>
  <w:endnote w:type="continuationSeparator" w:id="0">
    <w:p w14:paraId="51626B21" w14:textId="77777777" w:rsidR="00AB6355" w:rsidRPr="00C47B2E" w:rsidRDefault="00AB6355" w:rsidP="00C47B2E">
      <w:pPr>
        <w:pStyle w:val="Footer"/>
      </w:pPr>
    </w:p>
  </w:endnote>
  <w:endnote w:type="continuationNotice" w:id="1">
    <w:p w14:paraId="7B409F35" w14:textId="77777777" w:rsidR="00AB6355" w:rsidRPr="00C47B2E" w:rsidRDefault="00AB635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921" w14:textId="4618E84A" w:rsidR="00D94B05" w:rsidRPr="009511FA" w:rsidRDefault="009511FA" w:rsidP="00D85308">
    <w:pPr>
      <w:pStyle w:val="Footer"/>
      <w:tabs>
        <w:tab w:val="right" w:pos="9639"/>
      </w:tabs>
      <w:rPr>
        <w:sz w:val="18"/>
      </w:rPr>
    </w:pPr>
    <w:r w:rsidRPr="009511FA">
      <w:rPr>
        <w:b/>
        <w:sz w:val="18"/>
      </w:rPr>
      <w:fldChar w:fldCharType="begin"/>
    </w:r>
    <w:r w:rsidRPr="009511FA">
      <w:rPr>
        <w:b/>
        <w:sz w:val="18"/>
      </w:rPr>
      <w:instrText xml:space="preserve"> PAGE  \* MERGEFORMAT </w:instrText>
    </w:r>
    <w:r w:rsidRPr="009511FA">
      <w:rPr>
        <w:b/>
        <w:sz w:val="18"/>
      </w:rPr>
      <w:fldChar w:fldCharType="separate"/>
    </w:r>
    <w:r w:rsidRPr="009511FA">
      <w:rPr>
        <w:b/>
        <w:noProof/>
        <w:sz w:val="18"/>
      </w:rPr>
      <w:t>2</w:t>
    </w:r>
    <w:r w:rsidRPr="009511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AB9A" w14:textId="7E9A9BDB" w:rsidR="00D94B05" w:rsidRPr="009511FA" w:rsidRDefault="009511FA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9511FA">
      <w:rPr>
        <w:b/>
        <w:bCs/>
        <w:sz w:val="18"/>
      </w:rPr>
      <w:fldChar w:fldCharType="begin"/>
    </w:r>
    <w:r w:rsidRPr="009511FA">
      <w:rPr>
        <w:b/>
        <w:bCs/>
        <w:sz w:val="18"/>
      </w:rPr>
      <w:instrText xml:space="preserve"> PAGE  \* MERGEFORMAT </w:instrText>
    </w:r>
    <w:r w:rsidRPr="009511FA">
      <w:rPr>
        <w:b/>
        <w:bCs/>
        <w:sz w:val="18"/>
      </w:rPr>
      <w:fldChar w:fldCharType="separate"/>
    </w:r>
    <w:r w:rsidRPr="009511FA">
      <w:rPr>
        <w:b/>
        <w:bCs/>
        <w:noProof/>
        <w:sz w:val="18"/>
      </w:rPr>
      <w:t>3</w:t>
    </w:r>
    <w:r w:rsidRPr="009511F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0A2C" w14:textId="50F617E1" w:rsidR="006E1E57" w:rsidRDefault="006E1E57" w:rsidP="006E1E5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BFEFF63" wp14:editId="50983A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A1D62" w14:textId="2703D00E" w:rsidR="006E1E57" w:rsidRPr="006E1E57" w:rsidRDefault="006E1E57" w:rsidP="006E1E57">
    <w:pPr>
      <w:pStyle w:val="Footer"/>
      <w:ind w:right="1134"/>
      <w:rPr>
        <w:sz w:val="20"/>
      </w:rPr>
    </w:pPr>
    <w:r>
      <w:rPr>
        <w:sz w:val="20"/>
      </w:rPr>
      <w:t>GE.24-06240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53772D" wp14:editId="73F3A6C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693E" w14:textId="77777777" w:rsidR="00AB6355" w:rsidRPr="00C47B2E" w:rsidRDefault="00AB635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E822628" w14:textId="77777777" w:rsidR="00AB6355" w:rsidRPr="00C47B2E" w:rsidRDefault="00AB635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5BDB8A2" w14:textId="77777777" w:rsidR="00AB6355" w:rsidRPr="00C47B2E" w:rsidRDefault="00AB6355" w:rsidP="00C47B2E">
      <w:pPr>
        <w:pStyle w:val="Footer"/>
      </w:pPr>
    </w:p>
  </w:footnote>
  <w:footnote w:id="2">
    <w:p w14:paraId="6FD295C5" w14:textId="409E595E" w:rsidR="00091D49" w:rsidRPr="00091D49" w:rsidRDefault="00091D4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091D4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876A6F" w:rsidRPr="0082113E">
        <w:t>A/78/6 (Sect. 20), table 20.5</w:t>
      </w:r>
      <w:r w:rsidR="00876A6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AEF4" w14:textId="3BD4293E" w:rsidR="009511FA" w:rsidRPr="009511FA" w:rsidRDefault="009511FA">
    <w:pPr>
      <w:pStyle w:val="Header"/>
    </w:pPr>
    <w:r>
      <w:t>ST/SG/AC.10/C.3/2024/11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6AD8" w14:textId="6B2C6AED" w:rsidR="00D94B05" w:rsidRPr="009511FA" w:rsidRDefault="009511FA" w:rsidP="009511FA">
    <w:pPr>
      <w:pStyle w:val="Header"/>
      <w:jc w:val="right"/>
    </w:pPr>
    <w:r>
      <w:t>ST/SG/AC.10/C.3/2024/11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1030"/>
    <w:multiLevelType w:val="hybridMultilevel"/>
    <w:tmpl w:val="448E690E"/>
    <w:lvl w:ilvl="0" w:tplc="554E2B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7"/>
  </w:num>
  <w:num w:numId="5" w16cid:durableId="1816027029">
    <w:abstractNumId w:val="8"/>
  </w:num>
  <w:num w:numId="6" w16cid:durableId="1836190579">
    <w:abstractNumId w:val="10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9"/>
  </w:num>
  <w:num w:numId="10" w16cid:durableId="525103391">
    <w:abstractNumId w:val="1"/>
  </w:num>
  <w:num w:numId="11" w16cid:durableId="297342166">
    <w:abstractNumId w:val="9"/>
  </w:num>
  <w:num w:numId="12" w16cid:durableId="1280380300">
    <w:abstractNumId w:val="2"/>
  </w:num>
  <w:num w:numId="13" w16cid:durableId="1988699530">
    <w:abstractNumId w:val="2"/>
  </w:num>
  <w:num w:numId="14" w16cid:durableId="24977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FA"/>
    <w:rsid w:val="00006AC8"/>
    <w:rsid w:val="00011450"/>
    <w:rsid w:val="00022A94"/>
    <w:rsid w:val="00046E92"/>
    <w:rsid w:val="00063C90"/>
    <w:rsid w:val="00070000"/>
    <w:rsid w:val="00077E0C"/>
    <w:rsid w:val="00091D49"/>
    <w:rsid w:val="000A15B8"/>
    <w:rsid w:val="00101B98"/>
    <w:rsid w:val="00140B1E"/>
    <w:rsid w:val="001514D1"/>
    <w:rsid w:val="001C4F0E"/>
    <w:rsid w:val="001C6BEB"/>
    <w:rsid w:val="001C7233"/>
    <w:rsid w:val="00204390"/>
    <w:rsid w:val="0020549A"/>
    <w:rsid w:val="00205951"/>
    <w:rsid w:val="0022479E"/>
    <w:rsid w:val="00247E2C"/>
    <w:rsid w:val="00272B92"/>
    <w:rsid w:val="002A32CB"/>
    <w:rsid w:val="002D5B2C"/>
    <w:rsid w:val="002D6C53"/>
    <w:rsid w:val="002E07CC"/>
    <w:rsid w:val="002F5595"/>
    <w:rsid w:val="002F6C58"/>
    <w:rsid w:val="00334F6A"/>
    <w:rsid w:val="00342AC8"/>
    <w:rsid w:val="00343302"/>
    <w:rsid w:val="00383ABC"/>
    <w:rsid w:val="003979DE"/>
    <w:rsid w:val="003B1248"/>
    <w:rsid w:val="003B4550"/>
    <w:rsid w:val="003B7D85"/>
    <w:rsid w:val="003D2A18"/>
    <w:rsid w:val="003D5C42"/>
    <w:rsid w:val="003E38C4"/>
    <w:rsid w:val="003E3B41"/>
    <w:rsid w:val="00413386"/>
    <w:rsid w:val="004555C8"/>
    <w:rsid w:val="00461253"/>
    <w:rsid w:val="00461A7A"/>
    <w:rsid w:val="004648F8"/>
    <w:rsid w:val="004858F5"/>
    <w:rsid w:val="004A0C34"/>
    <w:rsid w:val="004A2814"/>
    <w:rsid w:val="004C0622"/>
    <w:rsid w:val="004F73D0"/>
    <w:rsid w:val="005042C2"/>
    <w:rsid w:val="005110FA"/>
    <w:rsid w:val="00587AD6"/>
    <w:rsid w:val="00591C14"/>
    <w:rsid w:val="005A36F3"/>
    <w:rsid w:val="005C0133"/>
    <w:rsid w:val="005D508A"/>
    <w:rsid w:val="005E716E"/>
    <w:rsid w:val="005F7A7C"/>
    <w:rsid w:val="006476E1"/>
    <w:rsid w:val="006604DF"/>
    <w:rsid w:val="00671529"/>
    <w:rsid w:val="006E1E57"/>
    <w:rsid w:val="006F1EF5"/>
    <w:rsid w:val="006F3B96"/>
    <w:rsid w:val="0070489D"/>
    <w:rsid w:val="007200A1"/>
    <w:rsid w:val="007268F9"/>
    <w:rsid w:val="00750282"/>
    <w:rsid w:val="00764440"/>
    <w:rsid w:val="0077101B"/>
    <w:rsid w:val="007762AC"/>
    <w:rsid w:val="007B6459"/>
    <w:rsid w:val="007C52B0"/>
    <w:rsid w:val="007C5CD8"/>
    <w:rsid w:val="007C6033"/>
    <w:rsid w:val="007C684D"/>
    <w:rsid w:val="007D30E3"/>
    <w:rsid w:val="00812012"/>
    <w:rsid w:val="008147C8"/>
    <w:rsid w:val="0081753A"/>
    <w:rsid w:val="00834076"/>
    <w:rsid w:val="008477D0"/>
    <w:rsid w:val="00857D23"/>
    <w:rsid w:val="00876A6F"/>
    <w:rsid w:val="008B1C35"/>
    <w:rsid w:val="008F21F3"/>
    <w:rsid w:val="009350B4"/>
    <w:rsid w:val="009411B4"/>
    <w:rsid w:val="00946F1D"/>
    <w:rsid w:val="009511FA"/>
    <w:rsid w:val="009573C6"/>
    <w:rsid w:val="00970338"/>
    <w:rsid w:val="009A0A7F"/>
    <w:rsid w:val="009D0139"/>
    <w:rsid w:val="009D717D"/>
    <w:rsid w:val="009E5573"/>
    <w:rsid w:val="009F5CDC"/>
    <w:rsid w:val="00A0391C"/>
    <w:rsid w:val="00A072D7"/>
    <w:rsid w:val="00A775CF"/>
    <w:rsid w:val="00AB280D"/>
    <w:rsid w:val="00AB6355"/>
    <w:rsid w:val="00AD1A9C"/>
    <w:rsid w:val="00AD7C0E"/>
    <w:rsid w:val="00AE0AB0"/>
    <w:rsid w:val="00AF5DE1"/>
    <w:rsid w:val="00B06045"/>
    <w:rsid w:val="00B206DD"/>
    <w:rsid w:val="00B23E46"/>
    <w:rsid w:val="00B36ED1"/>
    <w:rsid w:val="00B52EF4"/>
    <w:rsid w:val="00B777AD"/>
    <w:rsid w:val="00BA6BC2"/>
    <w:rsid w:val="00BD2928"/>
    <w:rsid w:val="00C03015"/>
    <w:rsid w:val="00C0358D"/>
    <w:rsid w:val="00C30E09"/>
    <w:rsid w:val="00C35A27"/>
    <w:rsid w:val="00C47B2E"/>
    <w:rsid w:val="00D00708"/>
    <w:rsid w:val="00D01FA5"/>
    <w:rsid w:val="00D429FA"/>
    <w:rsid w:val="00D63CD2"/>
    <w:rsid w:val="00D85308"/>
    <w:rsid w:val="00D87DC2"/>
    <w:rsid w:val="00D93887"/>
    <w:rsid w:val="00D94B05"/>
    <w:rsid w:val="00DC7379"/>
    <w:rsid w:val="00DD3A94"/>
    <w:rsid w:val="00DE14F9"/>
    <w:rsid w:val="00DE5907"/>
    <w:rsid w:val="00E02C2B"/>
    <w:rsid w:val="00E21C27"/>
    <w:rsid w:val="00E251CB"/>
    <w:rsid w:val="00E26BCF"/>
    <w:rsid w:val="00E4618B"/>
    <w:rsid w:val="00E52109"/>
    <w:rsid w:val="00E543C8"/>
    <w:rsid w:val="00E75317"/>
    <w:rsid w:val="00EB5A49"/>
    <w:rsid w:val="00EC0CE6"/>
    <w:rsid w:val="00EC7C1D"/>
    <w:rsid w:val="00ED6C48"/>
    <w:rsid w:val="00EE3045"/>
    <w:rsid w:val="00F26186"/>
    <w:rsid w:val="00F65F5D"/>
    <w:rsid w:val="00F8315A"/>
    <w:rsid w:val="00F86A3A"/>
    <w:rsid w:val="00FA42DA"/>
    <w:rsid w:val="00FD5B44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55C90"/>
  <w15:docId w15:val="{6155F3F5-F40E-48F9-A2E4-DC771EE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lainText">
    <w:name w:val="Plain Text"/>
    <w:basedOn w:val="Normal"/>
    <w:link w:val="PlainTextChar"/>
    <w:semiHidden/>
    <w:rsid w:val="005F7A7C"/>
    <w:pPr>
      <w:suppressAutoHyphens/>
    </w:pPr>
    <w:rPr>
      <w:rFonts w:eastAsia="Times New Roman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5F7A7C"/>
    <w:rPr>
      <w:rFonts w:eastAsia="Times New Roman" w:cs="Courier New"/>
      <w:lang w:eastAsia="en-US"/>
    </w:rPr>
  </w:style>
  <w:style w:type="character" w:customStyle="1" w:styleId="H1GChar">
    <w:name w:val="_ H_1_G Char"/>
    <w:link w:val="H1G"/>
    <w:rsid w:val="005F7A7C"/>
    <w:rPr>
      <w:b/>
      <w:sz w:val="24"/>
    </w:rPr>
  </w:style>
  <w:style w:type="character" w:customStyle="1" w:styleId="HChGChar">
    <w:name w:val="_ H _Ch_G Char"/>
    <w:link w:val="HChG"/>
    <w:locked/>
    <w:rsid w:val="005F7A7C"/>
    <w:rPr>
      <w:b/>
      <w:sz w:val="28"/>
    </w:rPr>
  </w:style>
  <w:style w:type="character" w:customStyle="1" w:styleId="SingleTxtGChar">
    <w:name w:val="_ Single Txt_G Char"/>
    <w:link w:val="SingleTxtG"/>
    <w:rsid w:val="005F7A7C"/>
  </w:style>
  <w:style w:type="paragraph" w:styleId="Revision">
    <w:name w:val="Revision"/>
    <w:hidden/>
    <w:uiPriority w:val="99"/>
    <w:semiHidden/>
    <w:rsid w:val="001C72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A1316-1DF8-4E4C-B068-94E14AF03D17}"/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4</Pages>
  <Words>1398</Words>
  <Characters>7636</Characters>
  <Application>Microsoft Office Word</Application>
  <DocSecurity>0</DocSecurity>
  <Lines>199</Lines>
  <Paragraphs>92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ST/SG/AC.10/C.3/2024/11</dc:title>
  <dc:subject>2406240</dc:subject>
  <dc:creator>Alicia DORCA-GARCIA</dc:creator>
  <cp:keywords/>
  <dc:description/>
  <cp:lastModifiedBy>Don Canete Martin</cp:lastModifiedBy>
  <cp:revision>2</cp:revision>
  <dcterms:created xsi:type="dcterms:W3CDTF">2024-04-05T13:59:00Z</dcterms:created>
  <dcterms:modified xsi:type="dcterms:W3CDTF">2024-04-05T13:59:00Z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