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C7572" w14:paraId="54338C83" w14:textId="77777777" w:rsidTr="00A27C92">
        <w:trPr>
          <w:trHeight w:hRule="exact" w:val="851"/>
        </w:trPr>
        <w:tc>
          <w:tcPr>
            <w:tcW w:w="9639" w:type="dxa"/>
            <w:gridSpan w:val="2"/>
            <w:tcBorders>
              <w:bottom w:val="single" w:sz="4" w:space="0" w:color="auto"/>
            </w:tcBorders>
            <w:shd w:val="clear" w:color="auto" w:fill="auto"/>
            <w:vAlign w:val="bottom"/>
          </w:tcPr>
          <w:p w14:paraId="4C542C47" w14:textId="16E5A587" w:rsidR="002C7572" w:rsidRPr="002C7572" w:rsidRDefault="002C7572" w:rsidP="002C7572">
            <w:pPr>
              <w:jc w:val="right"/>
              <w:rPr>
                <w:lang w:val="en-US"/>
              </w:rPr>
            </w:pPr>
            <w:r w:rsidRPr="002C7572">
              <w:rPr>
                <w:sz w:val="40"/>
                <w:lang w:val="en-US"/>
              </w:rPr>
              <w:t>E</w:t>
            </w:r>
            <w:r w:rsidRPr="002C7572">
              <w:rPr>
                <w:lang w:val="en-US"/>
              </w:rPr>
              <w:t>/ECE/324/Rev.1/Add.78/Rev.5/Amend.4−</w:t>
            </w:r>
            <w:r w:rsidRPr="002C7572">
              <w:rPr>
                <w:sz w:val="40"/>
                <w:szCs w:val="40"/>
                <w:lang w:val="en-US"/>
              </w:rPr>
              <w:t>E</w:t>
            </w:r>
            <w:r w:rsidRPr="002C7572">
              <w:rPr>
                <w:lang w:val="en-US"/>
              </w:rPr>
              <w:t>/ECE/TRANS/505/Rev.1/Add.78/Rev.5/Amend.4</w:t>
            </w:r>
          </w:p>
        </w:tc>
      </w:tr>
      <w:tr w:rsidR="00421A10" w:rsidRPr="00DB58B5" w14:paraId="49DA1EDC" w14:textId="77777777" w:rsidTr="00A27C92">
        <w:trPr>
          <w:trHeight w:hRule="exact" w:val="2835"/>
        </w:trPr>
        <w:tc>
          <w:tcPr>
            <w:tcW w:w="6804" w:type="dxa"/>
            <w:tcBorders>
              <w:top w:val="single" w:sz="4" w:space="0" w:color="auto"/>
              <w:bottom w:val="single" w:sz="12" w:space="0" w:color="auto"/>
            </w:tcBorders>
            <w:shd w:val="clear" w:color="auto" w:fill="auto"/>
          </w:tcPr>
          <w:p w14:paraId="58A26CEF" w14:textId="77777777" w:rsidR="00421A10" w:rsidRPr="002C7572"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A39E384" w14:textId="77777777" w:rsidR="00421A10" w:rsidRPr="00DB58B5" w:rsidRDefault="002C7572" w:rsidP="00A27C92">
            <w:pPr>
              <w:spacing w:before="480" w:line="240" w:lineRule="exact"/>
            </w:pPr>
            <w:r>
              <w:t>12 février 2024</w:t>
            </w:r>
          </w:p>
        </w:tc>
      </w:tr>
    </w:tbl>
    <w:p w14:paraId="4FDECAF1" w14:textId="77777777" w:rsidR="00421A10" w:rsidRPr="006549FF" w:rsidRDefault="0029791D" w:rsidP="0029791D">
      <w:pPr>
        <w:pStyle w:val="HChG"/>
      </w:pPr>
      <w:r>
        <w:tab/>
      </w:r>
      <w:r>
        <w:tab/>
      </w:r>
      <w:r w:rsidR="00421A10" w:rsidRPr="006549FF">
        <w:t>Accord</w:t>
      </w:r>
    </w:p>
    <w:p w14:paraId="311C6468" w14:textId="0C86D3E7" w:rsidR="00421A10" w:rsidRPr="00583D68" w:rsidRDefault="0029791D" w:rsidP="0029791D">
      <w:pPr>
        <w:pStyle w:val="H1G"/>
      </w:pPr>
      <w:r>
        <w:tab/>
      </w:r>
      <w:r>
        <w:tab/>
      </w:r>
      <w:r w:rsidR="00421A10" w:rsidRPr="00583D68">
        <w:t xml:space="preserve">Concernant l’adoption </w:t>
      </w:r>
      <w:r w:rsidR="002C7572" w:rsidRPr="002C7572">
        <w:rPr>
          <w:lang w:val="fr-FR"/>
        </w:rPr>
        <w:t xml:space="preserve">de Règlements techniques harmonisés de l’ONU applicables aux véhicules à roues et aux équipements et pièces susceptibles d’être montés ou utilisés sur les véhicules à roues </w:t>
      </w:r>
      <w:r w:rsidR="001E2AF7">
        <w:rPr>
          <w:lang w:val="fr-FR"/>
        </w:rPr>
        <w:br/>
      </w:r>
      <w:r w:rsidR="002C7572" w:rsidRPr="002C7572">
        <w:rPr>
          <w:lang w:val="fr-FR"/>
        </w:rPr>
        <w:t>et les conditions de reconnaissance réciproque des homologations délivrées conformément à ces Règlements</w:t>
      </w:r>
      <w:r w:rsidR="00442E31" w:rsidRPr="002C7572">
        <w:rPr>
          <w:rStyle w:val="Appelnotedebasdep"/>
          <w:b w:val="0"/>
          <w:bCs/>
          <w:sz w:val="20"/>
          <w:vertAlign w:val="baseline"/>
        </w:rPr>
        <w:footnoteReference w:customMarkFollows="1" w:id="2"/>
        <w:t>*</w:t>
      </w:r>
    </w:p>
    <w:p w14:paraId="2944AFFE" w14:textId="07017B63" w:rsidR="00421A10" w:rsidRPr="00A12483" w:rsidRDefault="002C7572" w:rsidP="0029791D">
      <w:pPr>
        <w:pStyle w:val="SingleTxtG"/>
        <w:jc w:val="left"/>
        <w:rPr>
          <w:b/>
          <w:sz w:val="24"/>
          <w:szCs w:val="24"/>
        </w:rPr>
      </w:pPr>
      <w:r w:rsidRPr="002C7572">
        <w:rPr>
          <w:lang w:val="fr-FR"/>
        </w:rPr>
        <w:t>(Révision 3, comprenant les amendements entrés en vigueur le 14 septembre 2017)</w:t>
      </w:r>
    </w:p>
    <w:p w14:paraId="4B205E51" w14:textId="77777777" w:rsidR="00421A10" w:rsidRPr="006549FF" w:rsidRDefault="0029791D" w:rsidP="0029791D">
      <w:pPr>
        <w:jc w:val="center"/>
      </w:pPr>
      <w:r>
        <w:t>_______________</w:t>
      </w:r>
    </w:p>
    <w:p w14:paraId="33CF285C" w14:textId="4EAA2437" w:rsidR="00421A10" w:rsidRPr="006549FF" w:rsidRDefault="0029791D" w:rsidP="0029791D">
      <w:pPr>
        <w:pStyle w:val="HChG"/>
      </w:pPr>
      <w:r>
        <w:tab/>
      </w:r>
      <w:r>
        <w:tab/>
      </w:r>
      <w:r w:rsidR="002C7572" w:rsidRPr="002C7572">
        <w:rPr>
          <w:lang w:val="fr-FR"/>
        </w:rPr>
        <w:t xml:space="preserve">Additif 78 </w:t>
      </w:r>
      <w:r w:rsidR="001E2AF7">
        <w:rPr>
          <w:lang w:val="fr-FR"/>
        </w:rPr>
        <w:t>−</w:t>
      </w:r>
      <w:r w:rsidR="002C7572" w:rsidRPr="002C7572">
        <w:rPr>
          <w:lang w:val="fr-FR"/>
        </w:rPr>
        <w:t xml:space="preserve"> Règlement ONU n</w:t>
      </w:r>
      <w:r w:rsidR="002C7572" w:rsidRPr="002C7572">
        <w:rPr>
          <w:vertAlign w:val="superscript"/>
          <w:lang w:val="fr-FR"/>
        </w:rPr>
        <w:t>o</w:t>
      </w:r>
      <w:r w:rsidR="002C7572" w:rsidRPr="002C7572">
        <w:rPr>
          <w:lang w:val="fr-FR"/>
        </w:rPr>
        <w:t> 79</w:t>
      </w:r>
    </w:p>
    <w:p w14:paraId="2D4C3095" w14:textId="50AEBA59" w:rsidR="00421A10" w:rsidRPr="006549FF" w:rsidRDefault="0029791D" w:rsidP="0029791D">
      <w:pPr>
        <w:pStyle w:val="H1G"/>
      </w:pPr>
      <w:r>
        <w:tab/>
      </w:r>
      <w:r>
        <w:tab/>
      </w:r>
      <w:r w:rsidR="002C7572" w:rsidRPr="002C7572">
        <w:rPr>
          <w:lang w:val="fr-FR"/>
        </w:rPr>
        <w:t xml:space="preserve">Révision 5 </w:t>
      </w:r>
      <w:r w:rsidR="001E2AF7">
        <w:rPr>
          <w:lang w:val="fr-FR"/>
        </w:rPr>
        <w:t>−</w:t>
      </w:r>
      <w:r w:rsidR="002C7572" w:rsidRPr="002C7572">
        <w:rPr>
          <w:lang w:val="fr-FR"/>
        </w:rPr>
        <w:t xml:space="preserve"> Amendement 4</w:t>
      </w:r>
    </w:p>
    <w:p w14:paraId="5EF091D4" w14:textId="745E6D7B" w:rsidR="00421A10" w:rsidRPr="004A7E44" w:rsidRDefault="002C7572" w:rsidP="0029791D">
      <w:pPr>
        <w:pStyle w:val="SingleTxtG"/>
        <w:spacing w:after="0"/>
      </w:pPr>
      <w:r w:rsidRPr="002C7572">
        <w:rPr>
          <w:lang w:val="fr-FR"/>
        </w:rPr>
        <w:t xml:space="preserve">Complément 4 à la série 04 d’amendements </w:t>
      </w:r>
      <w:r w:rsidR="001E2AF7">
        <w:rPr>
          <w:lang w:val="fr-FR"/>
        </w:rPr>
        <w:t>−</w:t>
      </w:r>
      <w:r w:rsidRPr="002C7572">
        <w:rPr>
          <w:lang w:val="fr-FR"/>
        </w:rPr>
        <w:t xml:space="preserve"> Date d’entrée en vigueur : 5 janvier 2024</w:t>
      </w:r>
    </w:p>
    <w:p w14:paraId="70D9AA4D" w14:textId="659B0DBA" w:rsidR="00421A10" w:rsidRDefault="0029791D" w:rsidP="0029791D">
      <w:pPr>
        <w:pStyle w:val="H1G"/>
      </w:pPr>
      <w:r>
        <w:tab/>
      </w:r>
      <w:r>
        <w:tab/>
      </w:r>
      <w:r w:rsidR="00421A10" w:rsidRPr="007619D3">
        <w:t xml:space="preserve">Prescriptions uniformes relatives </w:t>
      </w:r>
      <w:r w:rsidR="002C7572" w:rsidRPr="002C7572">
        <w:rPr>
          <w:lang w:val="fr-FR"/>
        </w:rPr>
        <w:t xml:space="preserve">à l’homologation des véhicules </w:t>
      </w:r>
      <w:r w:rsidR="001E2AF7">
        <w:rPr>
          <w:lang w:val="fr-FR"/>
        </w:rPr>
        <w:br/>
      </w:r>
      <w:r w:rsidR="002C7572" w:rsidRPr="002C7572">
        <w:rPr>
          <w:lang w:val="fr-FR"/>
        </w:rPr>
        <w:t>en ce qui concerne l’équipement de direction</w:t>
      </w:r>
      <w:r w:rsidR="002C7572" w:rsidRPr="002C7572">
        <w:t xml:space="preserve"> </w:t>
      </w:r>
    </w:p>
    <w:p w14:paraId="69675098" w14:textId="31FF8150" w:rsidR="002C7572" w:rsidRDefault="002C7572" w:rsidP="002C7572">
      <w:pPr>
        <w:pStyle w:val="SingleTxtG"/>
        <w:ind w:firstLine="567"/>
      </w:pPr>
      <w:r w:rsidRPr="002C7572">
        <w:rPr>
          <w:lang w:val="fr-FR"/>
        </w:rPr>
        <w:t>Le présent document est communiqué uniquement à titre d’information. Le texte authentique, juridiquement contraignant, est celui du document ECE/TRANS/WP.29/</w:t>
      </w:r>
      <w:r>
        <w:rPr>
          <w:lang w:val="fr-FR"/>
        </w:rPr>
        <w:br/>
      </w:r>
      <w:r w:rsidRPr="002C7572">
        <w:rPr>
          <w:lang w:val="fr-FR"/>
        </w:rPr>
        <w:t>2023/69.</w:t>
      </w:r>
      <w:r w:rsidR="00442E31">
        <w:rPr>
          <w:noProof/>
          <w:lang w:eastAsia="fr-CH"/>
        </w:rPr>
        <mc:AlternateContent>
          <mc:Choice Requires="wps">
            <w:drawing>
              <wp:anchor distT="0" distB="0" distL="114300" distR="114300" simplePos="0" relativeHeight="251658240" behindDoc="0" locked="0" layoutInCell="1" allowOverlap="1" wp14:anchorId="7BFFBC7E" wp14:editId="1CEF303A">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62030F19" w14:textId="77777777" w:rsidR="00442E31" w:rsidRPr="0029791D" w:rsidRDefault="00442E31" w:rsidP="00C9521D">
                            <w:pPr>
                              <w:ind w:left="1134" w:right="1134"/>
                              <w:jc w:val="center"/>
                            </w:pPr>
                            <w:r>
                              <w:t>_______________</w:t>
                            </w:r>
                          </w:p>
                          <w:p w14:paraId="2A670E9F" w14:textId="77777777" w:rsidR="00442E31" w:rsidRDefault="00442E31" w:rsidP="00C9521D">
                            <w:pPr>
                              <w:jc w:val="center"/>
                              <w:rPr>
                                <w:b/>
                                <w:bCs/>
                                <w:sz w:val="22"/>
                              </w:rPr>
                            </w:pPr>
                            <w:r>
                              <w:rPr>
                                <w:noProof/>
                                <w:lang w:eastAsia="fr-CH"/>
                              </w:rPr>
                              <w:drawing>
                                <wp:inline distT="0" distB="0" distL="0" distR="0" wp14:anchorId="365F47A8" wp14:editId="004CB72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EA8A9C0"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FBC7E"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62030F19" w14:textId="77777777" w:rsidR="00442E31" w:rsidRPr="0029791D" w:rsidRDefault="00442E31" w:rsidP="00C9521D">
                      <w:pPr>
                        <w:ind w:left="1134" w:right="1134"/>
                        <w:jc w:val="center"/>
                      </w:pPr>
                      <w:r>
                        <w:t>_______________</w:t>
                      </w:r>
                    </w:p>
                    <w:p w14:paraId="2A670E9F" w14:textId="77777777" w:rsidR="00442E31" w:rsidRDefault="00442E31" w:rsidP="00C9521D">
                      <w:pPr>
                        <w:jc w:val="center"/>
                        <w:rPr>
                          <w:b/>
                          <w:bCs/>
                          <w:sz w:val="22"/>
                        </w:rPr>
                      </w:pPr>
                      <w:r>
                        <w:rPr>
                          <w:noProof/>
                          <w:lang w:eastAsia="fr-CH"/>
                        </w:rPr>
                        <w:drawing>
                          <wp:inline distT="0" distB="0" distL="0" distR="0" wp14:anchorId="365F47A8" wp14:editId="004CB72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EA8A9C0"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3B8BC48A" w14:textId="15F413BB" w:rsidR="002C7572" w:rsidRDefault="002C7572">
      <w:pPr>
        <w:suppressAutoHyphens w:val="0"/>
        <w:kinsoku/>
        <w:overflowPunct/>
        <w:autoSpaceDE/>
        <w:autoSpaceDN/>
        <w:adjustRightInd/>
        <w:snapToGrid/>
        <w:spacing w:line="240" w:lineRule="auto"/>
      </w:pPr>
      <w:r>
        <w:br w:type="page"/>
      </w:r>
    </w:p>
    <w:p w14:paraId="56A21EA6" w14:textId="77777777" w:rsidR="002C7572" w:rsidRPr="00E523DA" w:rsidRDefault="002C7572" w:rsidP="002C7572">
      <w:pPr>
        <w:pStyle w:val="SingleTxtG"/>
        <w:rPr>
          <w:lang w:val="fr-FR"/>
        </w:rPr>
      </w:pPr>
      <w:r w:rsidRPr="00367AA7">
        <w:rPr>
          <w:i/>
          <w:iCs/>
          <w:lang w:val="fr-FR"/>
        </w:rPr>
        <w:lastRenderedPageBreak/>
        <w:t>Paragraphe 5.6.4.2.3</w:t>
      </w:r>
      <w:r>
        <w:rPr>
          <w:lang w:val="fr-FR"/>
        </w:rPr>
        <w:t>, lire :</w:t>
      </w:r>
    </w:p>
    <w:p w14:paraId="247EB068" w14:textId="77777777" w:rsidR="002C7572" w:rsidRPr="00E523DA" w:rsidRDefault="002C7572" w:rsidP="002C7572">
      <w:pPr>
        <w:pStyle w:val="SingleTxtG"/>
        <w:ind w:left="2268" w:hanging="1134"/>
        <w:rPr>
          <w:lang w:val="fr-FR"/>
        </w:rPr>
      </w:pPr>
      <w:bookmarkStart w:id="0" w:name="_Hlk113608140"/>
      <w:r>
        <w:rPr>
          <w:lang w:val="fr-FR"/>
        </w:rPr>
        <w:t>« 5.6.4.2.3</w:t>
      </w:r>
      <w:r>
        <w:rPr>
          <w:lang w:val="fr-FR"/>
        </w:rPr>
        <w:tab/>
        <w:t>Le système ne doit être activé (mode veille) qu’après une action délibérée du conducteur.</w:t>
      </w:r>
      <w:bookmarkEnd w:id="0"/>
    </w:p>
    <w:p w14:paraId="2B42410D" w14:textId="77777777" w:rsidR="002C7572" w:rsidRPr="00E523DA" w:rsidRDefault="002C7572" w:rsidP="002C7572">
      <w:pPr>
        <w:pStyle w:val="SingleTxtG"/>
        <w:ind w:left="2268"/>
        <w:rPr>
          <w:lang w:val="fr-FR"/>
        </w:rPr>
      </w:pPr>
      <w:r>
        <w:rPr>
          <w:lang w:val="fr-FR"/>
        </w:rPr>
        <w:t>L’activation par le conducteur ne doit être possible que sur des routes interdites aux piétons et aux cyclistes et qui, de par leur conception, sont équipées d’une séparation physique entre les sens de circulations opposés et comportent au moins deux voies dans le sens de circulation du véhicule considéré. Ces conditions doivent être vérifiées par au moins deux moyens indépendants.</w:t>
      </w:r>
    </w:p>
    <w:p w14:paraId="27C65D33" w14:textId="77777777" w:rsidR="002C7572" w:rsidRPr="00E523DA" w:rsidRDefault="002C7572" w:rsidP="002C7572">
      <w:pPr>
        <w:pStyle w:val="SingleTxtG"/>
        <w:ind w:left="2268"/>
        <w:rPr>
          <w:lang w:val="fr-FR"/>
        </w:rPr>
      </w:pPr>
      <w:r>
        <w:rPr>
          <w:lang w:val="fr-FR"/>
        </w:rPr>
        <w:t>Si le véhicule quitte un type de route sur lequel l’utilisation d’une ACSF de catégorie C est autorisée pour emprunter une route sur laquelle elle est interdite, le système doit être automatiquement désactivé (mode arrêt), à moins que l’absence d’une deuxième voie dans le sens de la circulation soit la seule condition non remplie parmi celles mentionnées ci-dessus (par exemple, sur une bretelle de raccordement entre deux autoroutes).</w:t>
      </w:r>
    </w:p>
    <w:p w14:paraId="7FF24052" w14:textId="77777777" w:rsidR="002C7572" w:rsidRPr="00E523DA" w:rsidRDefault="002C7572" w:rsidP="002C7572">
      <w:pPr>
        <w:pStyle w:val="SingleTxtG"/>
        <w:ind w:left="2268"/>
        <w:rPr>
          <w:lang w:val="fr-FR"/>
        </w:rPr>
      </w:pPr>
      <w:r>
        <w:rPr>
          <w:lang w:val="fr-FR"/>
        </w:rPr>
        <w:t>Nonobstant les critères d’activation et de transition ci-dessus, si le conducteur demande l’activation du système sur tout type de route par une action délibérée effectuée par le même moyen que celui utilisé pour l’ACSF de catégorie B1, l’ACSF de catégorie C peut passer automatiquement en mode veille :</w:t>
      </w:r>
    </w:p>
    <w:p w14:paraId="0B9A7EFB" w14:textId="77777777" w:rsidR="002C7572" w:rsidRPr="00E523DA" w:rsidRDefault="002C7572" w:rsidP="002C7572">
      <w:pPr>
        <w:pStyle w:val="SingleTxtG"/>
        <w:ind w:left="2835" w:hanging="567"/>
        <w:rPr>
          <w:lang w:val="fr-FR"/>
        </w:rPr>
      </w:pPr>
      <w:r>
        <w:rPr>
          <w:lang w:val="fr-FR"/>
        </w:rPr>
        <w:t>a)</w:t>
      </w:r>
      <w:r>
        <w:rPr>
          <w:lang w:val="fr-FR"/>
        </w:rPr>
        <w:tab/>
        <w:t>Lorsque le système a vérifié que le type de route remplit les conditions décrites ci-dessus ; et</w:t>
      </w:r>
    </w:p>
    <w:p w14:paraId="410619F5" w14:textId="77777777" w:rsidR="002C7572" w:rsidRPr="00E523DA" w:rsidRDefault="002C7572" w:rsidP="002C7572">
      <w:pPr>
        <w:pStyle w:val="SingleTxtG"/>
        <w:ind w:left="2835" w:hanging="567"/>
        <w:rPr>
          <w:lang w:val="fr-FR"/>
        </w:rPr>
      </w:pPr>
      <w:r>
        <w:rPr>
          <w:lang w:val="fr-FR"/>
        </w:rPr>
        <w:t>b)</w:t>
      </w:r>
      <w:r>
        <w:rPr>
          <w:lang w:val="fr-FR"/>
        </w:rPr>
        <w:tab/>
        <w:t>Afin d’éviter de distraire le conducteur, une fois que le véhicule a rejoint une voie de circulation normale. ».</w:t>
      </w:r>
    </w:p>
    <w:p w14:paraId="221E9D61" w14:textId="77777777" w:rsidR="002C7572" w:rsidRPr="00E523DA" w:rsidRDefault="002C7572" w:rsidP="002C7572">
      <w:pPr>
        <w:pStyle w:val="SingleTxtG"/>
        <w:rPr>
          <w:lang w:val="fr-FR"/>
        </w:rPr>
      </w:pPr>
      <w:r>
        <w:rPr>
          <w:i/>
          <w:iCs/>
          <w:lang w:val="fr-FR"/>
        </w:rPr>
        <w:t>Paragraphe 5.6.4.5.2</w:t>
      </w:r>
      <w:r>
        <w:rPr>
          <w:lang w:val="fr-FR"/>
        </w:rPr>
        <w:t>, lire :</w:t>
      </w:r>
    </w:p>
    <w:p w14:paraId="0B884FC2" w14:textId="77777777" w:rsidR="002C7572" w:rsidRPr="00E523DA" w:rsidRDefault="002C7572" w:rsidP="002C7572">
      <w:pPr>
        <w:pStyle w:val="SingleTxtG"/>
        <w:ind w:left="2268" w:hanging="1134"/>
        <w:rPr>
          <w:rFonts w:asciiTheme="majorBidi" w:hAnsiTheme="majorBidi" w:cstheme="majorBidi"/>
          <w:lang w:val="fr-FR"/>
        </w:rPr>
      </w:pPr>
      <w:r>
        <w:rPr>
          <w:lang w:val="fr-FR"/>
        </w:rPr>
        <w:t>« 5.6.4.5.2</w:t>
      </w:r>
      <w:r>
        <w:rPr>
          <w:lang w:val="fr-FR"/>
        </w:rPr>
        <w:tab/>
        <w:t>Lorsque le système est en mode veille (c’est-à-dire prêt à intervenir), le conducteur doit en être informé par un signal visuel.</w:t>
      </w:r>
    </w:p>
    <w:p w14:paraId="07687DD4" w14:textId="77777777" w:rsidR="002C7572" w:rsidRPr="00E523DA" w:rsidRDefault="002C7572" w:rsidP="002C7572">
      <w:pPr>
        <w:pStyle w:val="SingleTxtG"/>
        <w:ind w:left="2268"/>
        <w:rPr>
          <w:rFonts w:asciiTheme="majorBidi" w:hAnsiTheme="majorBidi" w:cstheme="majorBidi"/>
          <w:lang w:val="fr-FR"/>
        </w:rPr>
      </w:pPr>
      <w:r>
        <w:rPr>
          <w:lang w:val="fr-FR"/>
        </w:rPr>
        <w:t xml:space="preserve">Si le système passe automatiquement en mode veille, comme défini au paragraphe 5.6.4.2.3, la transition doit être indiquée au conducteur de façon visible et compréhensible. Cette indication doit être différente du signal visuel du mode veille lui-même (par exemple, affichage d’un autre message contextuel ou témoin clignotant), sauf si un signal indiquant que le système est en mode arrêt s’affiche au moins après l’activation. ». </w:t>
      </w:r>
    </w:p>
    <w:p w14:paraId="4FA5A8F3" w14:textId="5CDF649E" w:rsidR="005F0207" w:rsidRPr="002C7572" w:rsidRDefault="002C7572" w:rsidP="002C7572">
      <w:pPr>
        <w:spacing w:before="60"/>
        <w:jc w:val="center"/>
        <w:rPr>
          <w:lang w:val="fr-FR"/>
        </w:rPr>
      </w:pPr>
      <w:r w:rsidRPr="00E523DA">
        <w:rPr>
          <w:u w:val="single"/>
          <w:lang w:val="fr-FR"/>
        </w:rPr>
        <w:tab/>
      </w:r>
      <w:r w:rsidRPr="00E523DA">
        <w:rPr>
          <w:u w:val="single"/>
          <w:lang w:val="fr-FR"/>
        </w:rPr>
        <w:tab/>
      </w:r>
      <w:r w:rsidRPr="00E523DA">
        <w:rPr>
          <w:u w:val="single"/>
          <w:lang w:val="fr-FR"/>
        </w:rPr>
        <w:tab/>
      </w:r>
    </w:p>
    <w:sectPr w:rsidR="005F0207" w:rsidRPr="002C7572" w:rsidSect="002C7572">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01EC" w14:textId="77777777" w:rsidR="00E14B99" w:rsidRDefault="00E14B99"/>
  </w:endnote>
  <w:endnote w:type="continuationSeparator" w:id="0">
    <w:p w14:paraId="237B8A66" w14:textId="77777777" w:rsidR="00E14B99" w:rsidRDefault="00E14B99">
      <w:pPr>
        <w:pStyle w:val="Pieddepage"/>
      </w:pPr>
    </w:p>
  </w:endnote>
  <w:endnote w:type="continuationNotice" w:id="1">
    <w:p w14:paraId="22E2B597" w14:textId="77777777" w:rsidR="00E14B99" w:rsidRPr="00C451B9" w:rsidRDefault="00E14B9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33B1" w14:textId="77777777" w:rsidR="002C7572" w:rsidRPr="002C7572" w:rsidRDefault="002C7572" w:rsidP="002C7572">
    <w:pPr>
      <w:pStyle w:val="Pieddepage"/>
      <w:tabs>
        <w:tab w:val="right" w:pos="9638"/>
      </w:tabs>
    </w:pPr>
    <w:r w:rsidRPr="002C7572">
      <w:rPr>
        <w:b/>
        <w:sz w:val="18"/>
      </w:rPr>
      <w:fldChar w:fldCharType="begin"/>
    </w:r>
    <w:r w:rsidRPr="002C7572">
      <w:rPr>
        <w:b/>
        <w:sz w:val="18"/>
      </w:rPr>
      <w:instrText xml:space="preserve"> PAGE  \* MERGEFORMAT </w:instrText>
    </w:r>
    <w:r w:rsidRPr="002C7572">
      <w:rPr>
        <w:b/>
        <w:sz w:val="18"/>
      </w:rPr>
      <w:fldChar w:fldCharType="separate"/>
    </w:r>
    <w:r w:rsidRPr="002C7572">
      <w:rPr>
        <w:b/>
        <w:noProof/>
        <w:sz w:val="18"/>
      </w:rPr>
      <w:t>2</w:t>
    </w:r>
    <w:r w:rsidRPr="002C7572">
      <w:rPr>
        <w:b/>
        <w:sz w:val="18"/>
      </w:rPr>
      <w:fldChar w:fldCharType="end"/>
    </w:r>
    <w:r>
      <w:rPr>
        <w:b/>
        <w:sz w:val="18"/>
      </w:rPr>
      <w:tab/>
    </w:r>
    <w:r>
      <w:t>GE.24-02509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D0D3" w14:textId="77777777" w:rsidR="002C7572" w:rsidRPr="002C7572" w:rsidRDefault="002C7572" w:rsidP="002C7572">
    <w:pPr>
      <w:pStyle w:val="Pieddepage"/>
      <w:tabs>
        <w:tab w:val="right" w:pos="9638"/>
      </w:tabs>
      <w:rPr>
        <w:b/>
        <w:sz w:val="18"/>
      </w:rPr>
    </w:pPr>
    <w:r>
      <w:t>GE.24-02509</w:t>
    </w:r>
    <w:r>
      <w:tab/>
    </w:r>
    <w:r w:rsidRPr="002C7572">
      <w:rPr>
        <w:b/>
        <w:sz w:val="18"/>
      </w:rPr>
      <w:fldChar w:fldCharType="begin"/>
    </w:r>
    <w:r w:rsidRPr="002C7572">
      <w:rPr>
        <w:b/>
        <w:sz w:val="18"/>
      </w:rPr>
      <w:instrText xml:space="preserve"> PAGE  \* MERGEFORMAT </w:instrText>
    </w:r>
    <w:r w:rsidRPr="002C7572">
      <w:rPr>
        <w:b/>
        <w:sz w:val="18"/>
      </w:rPr>
      <w:fldChar w:fldCharType="separate"/>
    </w:r>
    <w:r w:rsidRPr="002C7572">
      <w:rPr>
        <w:b/>
        <w:noProof/>
        <w:sz w:val="18"/>
      </w:rPr>
      <w:t>3</w:t>
    </w:r>
    <w:r w:rsidRPr="002C75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D57F" w14:textId="20F8505D" w:rsidR="00467F2C" w:rsidRPr="002C7572" w:rsidRDefault="002C7572" w:rsidP="002C7572">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595C427" wp14:editId="3D9309F9">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24-02509  (F)</w:t>
    </w:r>
    <w:r>
      <w:rPr>
        <w:noProof/>
        <w:sz w:val="20"/>
      </w:rPr>
      <w:drawing>
        <wp:anchor distT="0" distB="0" distL="114300" distR="114300" simplePos="0" relativeHeight="251660288" behindDoc="0" locked="0" layoutInCell="1" allowOverlap="1" wp14:anchorId="507DC3A8" wp14:editId="03C7D435">
          <wp:simplePos x="0" y="0"/>
          <wp:positionH relativeFrom="margin">
            <wp:posOffset>5489575</wp:posOffset>
          </wp:positionH>
          <wp:positionV relativeFrom="margin">
            <wp:posOffset>8891905</wp:posOffset>
          </wp:positionV>
          <wp:extent cx="628650" cy="628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130524    140524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2F10" w14:textId="77777777" w:rsidR="00E14B99" w:rsidRPr="00D27D5E" w:rsidRDefault="00E14B99" w:rsidP="00D27D5E">
      <w:pPr>
        <w:tabs>
          <w:tab w:val="right" w:pos="2155"/>
        </w:tabs>
        <w:spacing w:after="80"/>
        <w:ind w:left="680"/>
        <w:rPr>
          <w:u w:val="single"/>
        </w:rPr>
      </w:pPr>
      <w:r>
        <w:rPr>
          <w:u w:val="single"/>
        </w:rPr>
        <w:tab/>
      </w:r>
    </w:p>
  </w:footnote>
  <w:footnote w:type="continuationSeparator" w:id="0">
    <w:p w14:paraId="7C99EDFA" w14:textId="77777777" w:rsidR="00E14B99" w:rsidRPr="00D171D4" w:rsidRDefault="00E14B99" w:rsidP="00D171D4">
      <w:pPr>
        <w:tabs>
          <w:tab w:val="right" w:pos="2155"/>
        </w:tabs>
        <w:spacing w:after="80"/>
        <w:ind w:left="680"/>
        <w:rPr>
          <w:u w:val="single"/>
        </w:rPr>
      </w:pPr>
      <w:r w:rsidRPr="00D171D4">
        <w:rPr>
          <w:u w:val="single"/>
        </w:rPr>
        <w:tab/>
      </w:r>
    </w:p>
  </w:footnote>
  <w:footnote w:type="continuationNotice" w:id="1">
    <w:p w14:paraId="43E71EB0" w14:textId="77777777" w:rsidR="00E14B99" w:rsidRPr="00C451B9" w:rsidRDefault="00E14B99" w:rsidP="00C451B9">
      <w:pPr>
        <w:spacing w:line="240" w:lineRule="auto"/>
        <w:rPr>
          <w:sz w:val="2"/>
          <w:szCs w:val="2"/>
        </w:rPr>
      </w:pPr>
    </w:p>
  </w:footnote>
  <w:footnote w:id="2">
    <w:p w14:paraId="2424B65E"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2F750812" w14:textId="77777777" w:rsidR="00591072" w:rsidRPr="00591072" w:rsidRDefault="00591072" w:rsidP="00591072">
      <w:pPr>
        <w:pStyle w:val="Notedebasdepage"/>
      </w:pPr>
      <w:r w:rsidRPr="00017DA7">
        <w:tab/>
      </w:r>
      <w:r w:rsidRPr="00017DA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7C35ECD"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5D18A428"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89BC" w14:textId="18B3C318" w:rsidR="002C7572" w:rsidRPr="002C7572" w:rsidRDefault="002C7572">
    <w:pPr>
      <w:pStyle w:val="En-tte"/>
      <w:rPr>
        <w:lang w:val="en-US"/>
      </w:rPr>
    </w:pPr>
    <w:r>
      <w:fldChar w:fldCharType="begin"/>
    </w:r>
    <w:r w:rsidRPr="002C7572">
      <w:rPr>
        <w:lang w:val="en-US"/>
      </w:rPr>
      <w:instrText xml:space="preserve"> TITLE  \* MERGEFORMAT </w:instrText>
    </w:r>
    <w:r>
      <w:fldChar w:fldCharType="separate"/>
    </w:r>
    <w:r w:rsidR="00614AE4">
      <w:rPr>
        <w:lang w:val="en-US"/>
      </w:rPr>
      <w:t>E/ECE/324/Rev.1/Add.78/Rev.5/Amend.4</w:t>
    </w:r>
    <w:r>
      <w:fldChar w:fldCharType="end"/>
    </w:r>
    <w:r w:rsidRPr="002C7572">
      <w:rPr>
        <w:lang w:val="en-US"/>
      </w:rPr>
      <w:br/>
    </w:r>
    <w:r>
      <w:fldChar w:fldCharType="begin"/>
    </w:r>
    <w:r w:rsidRPr="002C7572">
      <w:rPr>
        <w:lang w:val="en-US"/>
      </w:rPr>
      <w:instrText xml:space="preserve"> KEYWORDS  \* MERGEFORMAT </w:instrText>
    </w:r>
    <w:r>
      <w:fldChar w:fldCharType="separate"/>
    </w:r>
    <w:r w:rsidR="00614AE4">
      <w:rPr>
        <w:lang w:val="en-US"/>
      </w:rPr>
      <w:t>E/ECE/TRANS/505/Rev.1/Add.78/Rev.5/Amend.4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0741" w14:textId="394633AD" w:rsidR="002C7572" w:rsidRPr="002C7572" w:rsidRDefault="002C7572" w:rsidP="002C7572">
    <w:pPr>
      <w:pStyle w:val="En-tte"/>
      <w:jc w:val="right"/>
      <w:rPr>
        <w:lang w:val="en-US"/>
      </w:rPr>
    </w:pPr>
    <w:r>
      <w:fldChar w:fldCharType="begin"/>
    </w:r>
    <w:r w:rsidRPr="002C7572">
      <w:rPr>
        <w:lang w:val="en-US"/>
      </w:rPr>
      <w:instrText xml:space="preserve"> TITLE  \* MERGEFORMAT </w:instrText>
    </w:r>
    <w:r>
      <w:fldChar w:fldCharType="separate"/>
    </w:r>
    <w:r w:rsidR="00614AE4">
      <w:rPr>
        <w:lang w:val="en-US"/>
      </w:rPr>
      <w:t>E/ECE/324/Rev.1/Add.78/Rev.5/Amend.4</w:t>
    </w:r>
    <w:r>
      <w:fldChar w:fldCharType="end"/>
    </w:r>
    <w:r w:rsidRPr="002C7572">
      <w:rPr>
        <w:lang w:val="en-US"/>
      </w:rPr>
      <w:br/>
    </w:r>
    <w:r>
      <w:fldChar w:fldCharType="begin"/>
    </w:r>
    <w:r w:rsidRPr="002C7572">
      <w:rPr>
        <w:lang w:val="en-US"/>
      </w:rPr>
      <w:instrText xml:space="preserve"> KEYWORDS  \* MERGEFORMAT </w:instrText>
    </w:r>
    <w:r>
      <w:fldChar w:fldCharType="separate"/>
    </w:r>
    <w:r w:rsidR="00614AE4">
      <w:rPr>
        <w:lang w:val="en-US"/>
      </w:rPr>
      <w:t xml:space="preserve"> E/ECE/TRANS/505/Rev.1/Add.78/Rev.5/Amend.4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3736326">
    <w:abstractNumId w:val="2"/>
  </w:num>
  <w:num w:numId="2" w16cid:durableId="831869209">
    <w:abstractNumId w:val="1"/>
  </w:num>
  <w:num w:numId="3" w16cid:durableId="279606460">
    <w:abstractNumId w:val="0"/>
  </w:num>
  <w:num w:numId="4" w16cid:durableId="1853374090">
    <w:abstractNumId w:val="2"/>
  </w:num>
  <w:num w:numId="5" w16cid:durableId="1592858748">
    <w:abstractNumId w:val="1"/>
  </w:num>
  <w:num w:numId="6" w16cid:durableId="13326813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99"/>
    <w:rsid w:val="0001470D"/>
    <w:rsid w:val="00016165"/>
    <w:rsid w:val="00016AC5"/>
    <w:rsid w:val="00017DA7"/>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2AF7"/>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7572"/>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D335A"/>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4AE4"/>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B99"/>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F26E52"/>
  <w15:docId w15:val="{BE9B9610-6634-49CB-A272-BDE97548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6CDE9-468E-4FE0-BE83-B116BD978A98}"/>
</file>

<file path=customXml/itemProps2.xml><?xml version="1.0" encoding="utf-8"?>
<ds:datastoreItem xmlns:ds="http://schemas.openxmlformats.org/officeDocument/2006/customXml" ds:itemID="{6F813686-7955-44D9-A5A6-A9A7892B5BA4}"/>
</file>

<file path=docProps/app.xml><?xml version="1.0" encoding="utf-8"?>
<Properties xmlns="http://schemas.openxmlformats.org/officeDocument/2006/extended-properties" xmlns:vt="http://schemas.openxmlformats.org/officeDocument/2006/docPropsVTypes">
  <Template>E_ECE_324.dotm</Template>
  <TotalTime>2</TotalTime>
  <Pages>2</Pages>
  <Words>402</Words>
  <Characters>2619</Characters>
  <Application>Microsoft Office Word</Application>
  <DocSecurity>0</DocSecurity>
  <Lines>261</Lines>
  <Paragraphs>177</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E/ECE/324/Rev.1/Add.78/Rev.5/Amend.4</dc:title>
  <dc:subject/>
  <dc:creator>Sandrine CLERE</dc:creator>
  <cp:keywords> E/ECE/TRANS/505/Rev.1/Add.78/Rev.5/Amend.4</cp:keywords>
  <cp:lastModifiedBy>Sandrine Clere</cp:lastModifiedBy>
  <cp:revision>3</cp:revision>
  <cp:lastPrinted>2024-05-14T09:01:00Z</cp:lastPrinted>
  <dcterms:created xsi:type="dcterms:W3CDTF">2024-05-14T09:01:00Z</dcterms:created>
  <dcterms:modified xsi:type="dcterms:W3CDTF">2024-05-14T09:03:00Z</dcterms:modified>
</cp:coreProperties>
</file>