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20BF" w14:textId="342CDF49" w:rsidR="00C6680A" w:rsidRDefault="00C6680A" w:rsidP="004C07C1">
      <w:pPr>
        <w:pStyle w:val="HChG"/>
        <w:ind w:left="0" w:firstLine="0"/>
      </w:pPr>
      <w:r>
        <w:t xml:space="preserve">Proposal for </w:t>
      </w:r>
      <w:r w:rsidR="00EA1070">
        <w:t>amendments</w:t>
      </w:r>
      <w:r w:rsidR="00113BD2">
        <w:t xml:space="preserve"> to </w:t>
      </w:r>
      <w:r w:rsidR="004C07C1" w:rsidRPr="004C07C1">
        <w:rPr>
          <w:i/>
        </w:rPr>
        <w:t>“Guidelines and recommendations for ADS safety requirements, assessments and test methods to inform regulatory development</w:t>
      </w:r>
      <w:r w:rsidR="0013212D">
        <w:rPr>
          <w:i/>
        </w:rPr>
        <w:t>.</w:t>
      </w:r>
      <w:r w:rsidR="004C07C1" w:rsidRPr="004C07C1">
        <w:rPr>
          <w:i/>
        </w:rPr>
        <w:t>”</w:t>
      </w:r>
    </w:p>
    <w:p w14:paraId="6AFB2884" w14:textId="040FF0AD" w:rsidR="00D532BA" w:rsidRDefault="00D532BA" w:rsidP="004B67AC">
      <w:pPr>
        <w:rPr>
          <w:lang w:val="en-GB"/>
        </w:rPr>
      </w:pPr>
      <w:r w:rsidRPr="00D532BA">
        <w:rPr>
          <w:lang w:val="en-GB"/>
        </w:rPr>
        <w:t>Proposed changes relate to the baseline</w:t>
      </w:r>
      <w:r w:rsidR="007402D5">
        <w:rPr>
          <w:lang w:val="en-GB"/>
        </w:rPr>
        <w:t xml:space="preserve"> </w:t>
      </w:r>
      <w:r w:rsidR="004C07C1" w:rsidRPr="004C07C1">
        <w:rPr>
          <w:lang w:val="en-GB"/>
        </w:rPr>
        <w:t>GRVA-18-50</w:t>
      </w:r>
      <w:r w:rsidR="004B67AC">
        <w:rPr>
          <w:lang w:val="en-GB"/>
        </w:rPr>
        <w:t xml:space="preserve">. </w:t>
      </w:r>
      <w:r w:rsidRPr="00D532BA">
        <w:rPr>
          <w:lang w:val="en-GB"/>
        </w:rPr>
        <w:t>Text marked red and crossed out is suggested for deletion</w:t>
      </w:r>
      <w:r w:rsidR="004B67AC">
        <w:rPr>
          <w:lang w:val="en-GB"/>
        </w:rPr>
        <w:t xml:space="preserve">. </w:t>
      </w:r>
      <w:r w:rsidR="00FA2F23">
        <w:rPr>
          <w:lang w:val="en-GB"/>
        </w:rPr>
        <w:t xml:space="preserve">New </w:t>
      </w:r>
      <w:r w:rsidRPr="00D532BA">
        <w:rPr>
          <w:lang w:val="en-GB"/>
        </w:rPr>
        <w:t xml:space="preserve">suggested content in </w:t>
      </w:r>
      <w:r w:rsidR="00FA2F23">
        <w:rPr>
          <w:lang w:val="en-GB"/>
        </w:rPr>
        <w:t xml:space="preserve">blue </w:t>
      </w:r>
      <w:r w:rsidR="00FD144C">
        <w:rPr>
          <w:lang w:val="en-GB"/>
        </w:rPr>
        <w:t xml:space="preserve">italic </w:t>
      </w:r>
      <w:r w:rsidRPr="00D532BA">
        <w:rPr>
          <w:lang w:val="en-GB"/>
        </w:rPr>
        <w:t>font</w:t>
      </w:r>
      <w:r w:rsidR="004B67AC">
        <w:rPr>
          <w:lang w:val="en-GB"/>
        </w:rPr>
        <w:t>.</w:t>
      </w:r>
    </w:p>
    <w:p w14:paraId="31A2E980" w14:textId="77777777" w:rsidR="00D532BA" w:rsidRDefault="00D532BA">
      <w:pPr>
        <w:rPr>
          <w:lang w:val="en-GB"/>
        </w:rPr>
      </w:pPr>
    </w:p>
    <w:p w14:paraId="2422633C" w14:textId="70E06B1F" w:rsidR="00C6680A" w:rsidRDefault="00C6680A" w:rsidP="00C6680A">
      <w:pPr>
        <w:pStyle w:val="HChG"/>
        <w:numPr>
          <w:ilvl w:val="0"/>
          <w:numId w:val="1"/>
        </w:numPr>
        <w:ind w:left="709"/>
      </w:pPr>
      <w:r>
        <w:t>Proposal</w:t>
      </w:r>
      <w:r w:rsidR="00E226CE">
        <w:t>s</w:t>
      </w:r>
    </w:p>
    <w:p w14:paraId="64A61C92" w14:textId="6892D245" w:rsidR="00AD52A2" w:rsidRDefault="00AD52A2" w:rsidP="00E10049">
      <w:pPr>
        <w:ind w:firstLine="708"/>
        <w:rPr>
          <w:lang w:val="en-GB"/>
        </w:rPr>
      </w:pPr>
      <w:r w:rsidRPr="00E10049">
        <w:rPr>
          <w:lang w:val="en-GB"/>
        </w:rPr>
        <w:t xml:space="preserve">Amended text in </w:t>
      </w:r>
      <w:r w:rsidR="004C07C1">
        <w:rPr>
          <w:lang w:val="en-GB"/>
        </w:rPr>
        <w:t>Section 8. In-Service Monitoring and Reporting</w:t>
      </w:r>
      <w:r w:rsidR="007014C1">
        <w:rPr>
          <w:lang w:val="en-GB"/>
        </w:rPr>
        <w:t>,</w:t>
      </w:r>
      <w:r w:rsidR="00331ACC">
        <w:rPr>
          <w:lang w:val="en-GB"/>
        </w:rPr>
        <w:t xml:space="preserve"> </w:t>
      </w:r>
      <w:r w:rsidR="00331ACC" w:rsidRPr="00331ACC">
        <w:rPr>
          <w:lang w:val="en-GB"/>
        </w:rPr>
        <w:t xml:space="preserve">and Annex 8: </w:t>
      </w:r>
      <w:r w:rsidR="00331ACC" w:rsidRPr="00331ACC">
        <w:rPr>
          <w:lang w:val="en-GB"/>
        </w:rPr>
        <w:tab/>
        <w:t>ISMR reporting templates</w:t>
      </w:r>
    </w:p>
    <w:p w14:paraId="022F534F" w14:textId="77777777" w:rsidR="006306F6" w:rsidRPr="006306F6" w:rsidRDefault="006306F6" w:rsidP="006306F6">
      <w:pPr>
        <w:spacing w:before="240" w:after="120"/>
        <w:rPr>
          <w:noProof/>
        </w:rPr>
      </w:pPr>
      <w:r w:rsidRPr="006306F6">
        <w:rPr>
          <w:iCs/>
          <w:noProof/>
        </w:rPr>
        <w:t>Recommended reporting by the manufacturer</w:t>
      </w:r>
    </w:p>
    <w:p w14:paraId="695D3765" w14:textId="382307CA" w:rsidR="006306F6" w:rsidRPr="006306F6" w:rsidRDefault="006306F6" w:rsidP="006306F6"/>
    <w:p w14:paraId="420450A5" w14:textId="77777777" w:rsidR="006306F6" w:rsidRPr="006306F6" w:rsidRDefault="006306F6" w:rsidP="006306F6">
      <w:pPr>
        <w:rPr>
          <w:lang w:val="en-GB"/>
        </w:rPr>
      </w:pPr>
      <w:r w:rsidRPr="006306F6">
        <w:rPr>
          <w:lang w:val="en-GB"/>
        </w:rPr>
        <w:t>The periodic report should provide evidence of the in-service ADS safety performance. In particular, it should demonstrate that:</w:t>
      </w:r>
    </w:p>
    <w:p w14:paraId="3A969CE3" w14:textId="77777777" w:rsidR="006306F6" w:rsidRPr="006306F6" w:rsidRDefault="006306F6" w:rsidP="006306F6">
      <w:pPr>
        <w:rPr>
          <w:lang w:val="en-GB"/>
        </w:rPr>
      </w:pPr>
      <w:r w:rsidRPr="006306F6">
        <w:rPr>
          <w:lang w:val="en-GB"/>
        </w:rPr>
        <w:t>•</w:t>
      </w:r>
      <w:r w:rsidRPr="006306F6">
        <w:rPr>
          <w:lang w:val="en-GB"/>
        </w:rPr>
        <w:tab/>
        <w:t>No inconsistencies have been detected compared to the ADS safety performance declared prior to market introduction.</w:t>
      </w:r>
    </w:p>
    <w:p w14:paraId="3F0D8D3A" w14:textId="77777777" w:rsidR="006306F6" w:rsidRPr="006306F6" w:rsidRDefault="006306F6" w:rsidP="006306F6">
      <w:pPr>
        <w:rPr>
          <w:lang w:val="en-GB"/>
        </w:rPr>
      </w:pPr>
      <w:r w:rsidRPr="006306F6">
        <w:rPr>
          <w:lang w:val="en-GB"/>
        </w:rPr>
        <w:t>•</w:t>
      </w:r>
      <w:r w:rsidRPr="006306F6">
        <w:rPr>
          <w:lang w:val="en-GB"/>
        </w:rPr>
        <w:tab/>
        <w:t>The ADS fulfils the performance requirements and as evaluated in the test methods.</w:t>
      </w:r>
    </w:p>
    <w:p w14:paraId="32EEB204" w14:textId="05EFBEF8" w:rsidR="006306F6" w:rsidRDefault="006306F6" w:rsidP="006306F6">
      <w:pPr>
        <w:rPr>
          <w:lang w:val="en-GB"/>
        </w:rPr>
      </w:pPr>
      <w:r w:rsidRPr="006306F6">
        <w:rPr>
          <w:lang w:val="en-GB"/>
        </w:rPr>
        <w:t>•</w:t>
      </w:r>
      <w:r w:rsidRPr="006306F6">
        <w:rPr>
          <w:lang w:val="en-GB"/>
        </w:rPr>
        <w:tab/>
        <w:t xml:space="preserve">Any newly discovered significant ADS safety performance issues that pose an unreasonable risk to safety have been adequately addressed and how this was achieved </w:t>
      </w:r>
      <w:r w:rsidRPr="006306F6">
        <w:rPr>
          <w:i/>
          <w:color w:val="4472C4" w:themeColor="accent1"/>
          <w:lang w:val="en-GB"/>
        </w:rPr>
        <w:t>including modifications made by the ADS manufacturer.</w:t>
      </w:r>
    </w:p>
    <w:p w14:paraId="71064D41" w14:textId="5CAFEAA5" w:rsidR="006306F6" w:rsidRDefault="006306F6" w:rsidP="006306F6">
      <w:pPr>
        <w:rPr>
          <w:lang w:val="en-GB"/>
        </w:rPr>
      </w:pPr>
    </w:p>
    <w:p w14:paraId="4B8EBCC5" w14:textId="77777777" w:rsidR="00046E4A" w:rsidRDefault="00046E4A" w:rsidP="00046E4A">
      <w:pPr>
        <w:spacing w:before="240" w:after="120"/>
        <w:rPr>
          <w:noProof/>
        </w:rPr>
      </w:pPr>
      <w:r w:rsidRPr="00692D4B">
        <w:rPr>
          <w:i/>
          <w:iCs/>
          <w:noProof/>
        </w:rPr>
        <w:t>Occurrence reporting</w:t>
      </w:r>
    </w:p>
    <w:p w14:paraId="63C9B0C1" w14:textId="77777777" w:rsidR="00046E4A" w:rsidRDefault="00046E4A" w:rsidP="006306F6">
      <w:pPr>
        <w:rPr>
          <w:lang w:val="en-GB"/>
        </w:rPr>
      </w:pPr>
    </w:p>
    <w:tbl>
      <w:tblPr>
        <w:tblStyle w:val="TableGrid"/>
        <w:tblW w:w="0" w:type="auto"/>
        <w:tblLook w:val="04A0" w:firstRow="1" w:lastRow="0" w:firstColumn="1" w:lastColumn="0" w:noHBand="0" w:noVBand="1"/>
      </w:tblPr>
      <w:tblGrid>
        <w:gridCol w:w="5580"/>
        <w:gridCol w:w="2238"/>
        <w:gridCol w:w="1188"/>
      </w:tblGrid>
      <w:tr w:rsidR="006306F6" w:rsidRPr="00FF77F6" w14:paraId="57C7EA16" w14:textId="77777777" w:rsidTr="0081723A">
        <w:trPr>
          <w:trHeight w:val="432"/>
        </w:trPr>
        <w:tc>
          <w:tcPr>
            <w:tcW w:w="0" w:type="auto"/>
            <w:tcBorders>
              <w:top w:val="single" w:sz="8" w:space="0" w:color="auto"/>
              <w:left w:val="single" w:sz="8" w:space="0" w:color="auto"/>
              <w:bottom w:val="single" w:sz="12" w:space="0" w:color="auto"/>
              <w:right w:val="single" w:sz="8" w:space="0" w:color="auto"/>
            </w:tcBorders>
            <w:shd w:val="clear" w:color="auto" w:fill="auto"/>
            <w:tcMar>
              <w:left w:w="108" w:type="dxa"/>
              <w:right w:w="108" w:type="dxa"/>
            </w:tcMar>
            <w:vAlign w:val="center"/>
          </w:tcPr>
          <w:p w14:paraId="0544031A" w14:textId="77777777" w:rsidR="004C07C1" w:rsidRPr="00FF77F6" w:rsidRDefault="004C07C1" w:rsidP="0081723A">
            <w:pPr>
              <w:spacing w:before="80" w:after="80"/>
              <w:rPr>
                <w:rFonts w:eastAsia="Times New Roman" w:cs="Times New Roman"/>
                <w:i/>
                <w:iCs/>
                <w:sz w:val="16"/>
                <w:szCs w:val="16"/>
              </w:rPr>
            </w:pPr>
            <w:r w:rsidRPr="00FF77F6">
              <w:rPr>
                <w:rFonts w:eastAsia="Times New Roman" w:cs="Times New Roman"/>
                <w:i/>
                <w:iCs/>
                <w:sz w:val="16"/>
                <w:szCs w:val="16"/>
              </w:rPr>
              <w:t>Occurrence</w:t>
            </w:r>
          </w:p>
        </w:tc>
        <w:tc>
          <w:tcPr>
            <w:tcW w:w="0" w:type="auto"/>
            <w:tcBorders>
              <w:top w:val="single" w:sz="8" w:space="0" w:color="auto"/>
              <w:left w:val="single" w:sz="8" w:space="0" w:color="auto"/>
              <w:bottom w:val="single" w:sz="12" w:space="0" w:color="auto"/>
              <w:right w:val="single" w:sz="8" w:space="0" w:color="auto"/>
            </w:tcBorders>
            <w:shd w:val="clear" w:color="auto" w:fill="auto"/>
            <w:tcMar>
              <w:left w:w="108" w:type="dxa"/>
              <w:right w:w="108" w:type="dxa"/>
            </w:tcMar>
            <w:vAlign w:val="center"/>
          </w:tcPr>
          <w:p w14:paraId="1D379DB7" w14:textId="77777777" w:rsidR="004C07C1" w:rsidRPr="00FF77F6" w:rsidRDefault="004C07C1" w:rsidP="0081723A">
            <w:pPr>
              <w:spacing w:before="80" w:after="80"/>
              <w:rPr>
                <w:rFonts w:eastAsia="Times New Roman" w:cs="Times New Roman"/>
                <w:i/>
                <w:iCs/>
                <w:sz w:val="16"/>
                <w:szCs w:val="16"/>
              </w:rPr>
            </w:pPr>
            <w:r w:rsidRPr="00FF77F6">
              <w:rPr>
                <w:rFonts w:eastAsia="Times New Roman" w:cs="Times New Roman"/>
                <w:i/>
                <w:iCs/>
                <w:sz w:val="16"/>
                <w:szCs w:val="16"/>
              </w:rPr>
              <w:t xml:space="preserve">Short-term reporting </w:t>
            </w:r>
          </w:p>
          <w:p w14:paraId="79AA41D4" w14:textId="77777777" w:rsidR="004C07C1" w:rsidRPr="00FF77F6" w:rsidRDefault="004C07C1" w:rsidP="0081723A">
            <w:pPr>
              <w:spacing w:before="80" w:after="80"/>
              <w:rPr>
                <w:rFonts w:eastAsia="Times New Roman" w:cs="Times New Roman"/>
                <w:i/>
                <w:iCs/>
                <w:sz w:val="16"/>
                <w:szCs w:val="16"/>
              </w:rPr>
            </w:pPr>
            <w:r w:rsidRPr="00FF77F6">
              <w:rPr>
                <w:rFonts w:eastAsia="Times New Roman" w:cs="Times New Roman"/>
                <w:i/>
                <w:iCs/>
                <w:sz w:val="16"/>
                <w:szCs w:val="16"/>
              </w:rPr>
              <w:t>[1 Month]</w:t>
            </w:r>
          </w:p>
        </w:tc>
        <w:tc>
          <w:tcPr>
            <w:tcW w:w="0" w:type="auto"/>
            <w:tcBorders>
              <w:top w:val="single" w:sz="8" w:space="0" w:color="auto"/>
              <w:left w:val="single" w:sz="8" w:space="0" w:color="auto"/>
              <w:bottom w:val="single" w:sz="12" w:space="0" w:color="auto"/>
              <w:right w:val="single" w:sz="8" w:space="0" w:color="auto"/>
            </w:tcBorders>
            <w:shd w:val="clear" w:color="auto" w:fill="auto"/>
            <w:tcMar>
              <w:left w:w="108" w:type="dxa"/>
              <w:right w:w="108" w:type="dxa"/>
            </w:tcMar>
            <w:vAlign w:val="center"/>
          </w:tcPr>
          <w:p w14:paraId="13AC65BE" w14:textId="77777777" w:rsidR="004C07C1" w:rsidRPr="00FF77F6" w:rsidRDefault="004C07C1" w:rsidP="0081723A">
            <w:pPr>
              <w:spacing w:before="80" w:after="80"/>
              <w:rPr>
                <w:rFonts w:eastAsia="Times New Roman" w:cs="Times New Roman"/>
                <w:i/>
                <w:iCs/>
                <w:sz w:val="16"/>
                <w:szCs w:val="16"/>
              </w:rPr>
            </w:pPr>
            <w:r w:rsidRPr="00FF77F6">
              <w:rPr>
                <w:rFonts w:eastAsia="Times New Roman" w:cs="Times New Roman"/>
                <w:i/>
                <w:iCs/>
                <w:sz w:val="16"/>
                <w:szCs w:val="16"/>
              </w:rPr>
              <w:t>Periodic Reporting [1 Year]</w:t>
            </w:r>
          </w:p>
        </w:tc>
      </w:tr>
      <w:tr w:rsidR="006306F6" w:rsidRPr="00FF77F6" w14:paraId="7E2BFA30" w14:textId="77777777" w:rsidTr="0081723A">
        <w:trPr>
          <w:trHeight w:val="432"/>
        </w:trPr>
        <w:tc>
          <w:tcPr>
            <w:tcW w:w="0" w:type="auto"/>
            <w:tcBorders>
              <w:top w:val="single" w:sz="12" w:space="0" w:color="auto"/>
              <w:left w:val="single" w:sz="8" w:space="0" w:color="auto"/>
              <w:bottom w:val="single" w:sz="8" w:space="0" w:color="auto"/>
              <w:right w:val="single" w:sz="8" w:space="0" w:color="auto"/>
            </w:tcBorders>
            <w:shd w:val="clear" w:color="auto" w:fill="auto"/>
            <w:tcMar>
              <w:left w:w="108" w:type="dxa"/>
              <w:right w:w="108" w:type="dxa"/>
            </w:tcMar>
          </w:tcPr>
          <w:p w14:paraId="2B6C3372" w14:textId="77777777" w:rsidR="004C07C1" w:rsidRPr="00FF77F6" w:rsidRDefault="004C07C1" w:rsidP="0081723A">
            <w:pPr>
              <w:spacing w:before="40" w:after="120"/>
              <w:ind w:left="360" w:hanging="360"/>
              <w:rPr>
                <w:rFonts w:eastAsia="Times New Roman" w:cs="Times New Roman"/>
                <w:sz w:val="20"/>
                <w:szCs w:val="20"/>
              </w:rPr>
            </w:pPr>
            <w:r w:rsidRPr="00FF77F6">
              <w:rPr>
                <w:rFonts w:eastAsia="Times New Roman" w:cs="Times New Roman"/>
                <w:sz w:val="20"/>
                <w:szCs w:val="20"/>
              </w:rPr>
              <w:t>1)</w:t>
            </w:r>
            <w:r w:rsidRPr="00FF77F6">
              <w:rPr>
                <w:rFonts w:eastAsia="Times New Roman" w:cs="Times New Roman"/>
                <w:sz w:val="20"/>
                <w:szCs w:val="20"/>
              </w:rPr>
              <w:tab/>
              <w:t>Occurrence related to ADS performance of the DDT</w:t>
            </w:r>
          </w:p>
        </w:tc>
        <w:tc>
          <w:tcPr>
            <w:tcW w:w="0" w:type="auto"/>
            <w:tcBorders>
              <w:top w:val="single" w:sz="12" w:space="0" w:color="auto"/>
              <w:left w:val="single" w:sz="8" w:space="0" w:color="auto"/>
              <w:bottom w:val="single" w:sz="8" w:space="0" w:color="auto"/>
              <w:right w:val="single" w:sz="8" w:space="0" w:color="auto"/>
            </w:tcBorders>
            <w:shd w:val="clear" w:color="auto" w:fill="auto"/>
            <w:tcMar>
              <w:left w:w="108" w:type="dxa"/>
              <w:right w:w="108" w:type="dxa"/>
            </w:tcMar>
          </w:tcPr>
          <w:p w14:paraId="70FE7401" w14:textId="77777777" w:rsidR="004C07C1" w:rsidRPr="00FF77F6" w:rsidRDefault="004C07C1" w:rsidP="0081723A">
            <w:pPr>
              <w:spacing w:before="40" w:after="120"/>
              <w:rPr>
                <w:rFonts w:eastAsia="Times New Roman" w:cs="Times New Roman"/>
                <w:sz w:val="20"/>
                <w:szCs w:val="20"/>
              </w:rPr>
            </w:pPr>
          </w:p>
        </w:tc>
        <w:tc>
          <w:tcPr>
            <w:tcW w:w="0" w:type="auto"/>
            <w:tcBorders>
              <w:top w:val="single" w:sz="12" w:space="0" w:color="auto"/>
              <w:left w:val="single" w:sz="8" w:space="0" w:color="auto"/>
              <w:bottom w:val="single" w:sz="8" w:space="0" w:color="auto"/>
              <w:right w:val="single" w:sz="8" w:space="0" w:color="auto"/>
            </w:tcBorders>
            <w:shd w:val="clear" w:color="auto" w:fill="auto"/>
            <w:tcMar>
              <w:left w:w="108" w:type="dxa"/>
              <w:right w:w="108" w:type="dxa"/>
            </w:tcMar>
          </w:tcPr>
          <w:p w14:paraId="6CB5312A" w14:textId="77777777" w:rsidR="004C07C1" w:rsidRPr="00FF77F6" w:rsidRDefault="004C07C1" w:rsidP="0081723A">
            <w:pPr>
              <w:spacing w:before="40" w:after="120"/>
              <w:rPr>
                <w:rFonts w:eastAsia="Times New Roman" w:cs="Times New Roman"/>
                <w:sz w:val="20"/>
                <w:szCs w:val="20"/>
              </w:rPr>
            </w:pPr>
          </w:p>
        </w:tc>
      </w:tr>
      <w:tr w:rsidR="006306F6" w:rsidRPr="00FF77F6" w14:paraId="5B2E1D60" w14:textId="77777777" w:rsidTr="0081723A">
        <w:trPr>
          <w:trHeight w:val="432"/>
        </w:trPr>
        <w:tc>
          <w:tcPr>
            <w:tcW w:w="0" w:type="auto"/>
            <w:tcBorders>
              <w:top w:val="single" w:sz="12" w:space="0" w:color="auto"/>
              <w:left w:val="single" w:sz="8" w:space="0" w:color="auto"/>
              <w:bottom w:val="single" w:sz="8" w:space="0" w:color="auto"/>
              <w:right w:val="single" w:sz="8" w:space="0" w:color="auto"/>
            </w:tcBorders>
            <w:shd w:val="clear" w:color="auto" w:fill="auto"/>
            <w:tcMar>
              <w:left w:w="108" w:type="dxa"/>
              <w:right w:w="108" w:type="dxa"/>
            </w:tcMar>
          </w:tcPr>
          <w:p w14:paraId="7829ECDC" w14:textId="41974E3B" w:rsidR="004C07C1" w:rsidRPr="00FF77F6" w:rsidRDefault="004C07C1" w:rsidP="00FA2F23">
            <w:pPr>
              <w:spacing w:before="40" w:after="120"/>
              <w:ind w:left="360" w:hanging="360"/>
              <w:rPr>
                <w:rFonts w:eastAsia="Times New Roman" w:cs="Times New Roman"/>
                <w:sz w:val="20"/>
                <w:szCs w:val="20"/>
              </w:rPr>
            </w:pPr>
            <w:r w:rsidRPr="00FF77F6">
              <w:rPr>
                <w:rFonts w:eastAsia="Times New Roman" w:cs="Times New Roman"/>
                <w:sz w:val="20"/>
                <w:szCs w:val="20"/>
              </w:rPr>
              <w:t xml:space="preserve">1.a. </w:t>
            </w:r>
            <w:r>
              <w:rPr>
                <w:rFonts w:eastAsia="Times New Roman" w:cs="Times New Roman"/>
                <w:sz w:val="20"/>
                <w:szCs w:val="20"/>
              </w:rPr>
              <w:tab/>
            </w:r>
            <w:r w:rsidRPr="00FA2F23">
              <w:rPr>
                <w:rFonts w:eastAsia="Times New Roman" w:cs="Times New Roman"/>
                <w:strike/>
                <w:color w:val="FF0000"/>
                <w:sz w:val="20"/>
                <w:szCs w:val="20"/>
              </w:rPr>
              <w:t>Safety</w:t>
            </w:r>
            <w:r w:rsidRPr="00FF77F6">
              <w:rPr>
                <w:rFonts w:eastAsia="Times New Roman" w:cs="Times New Roman"/>
                <w:sz w:val="20"/>
                <w:szCs w:val="20"/>
              </w:rPr>
              <w:t xml:space="preserve"> critical occurrences known to the ADS manufacturer or OEM</w:t>
            </w:r>
            <w:r w:rsidR="00FA2F23" w:rsidRPr="00FA2F23">
              <w:rPr>
                <w:rFonts w:eastAsia="Times New Roman" w:cs="Times New Roman"/>
                <w:i/>
                <w:color w:val="4472C4" w:themeColor="accent1"/>
                <w:sz w:val="20"/>
                <w:szCs w:val="20"/>
                <w:vertAlign w:val="superscript"/>
              </w:rPr>
              <w:t>1</w:t>
            </w:r>
          </w:p>
        </w:tc>
        <w:tc>
          <w:tcPr>
            <w:tcW w:w="0" w:type="auto"/>
            <w:tcBorders>
              <w:top w:val="single" w:sz="12" w:space="0" w:color="auto"/>
              <w:left w:val="single" w:sz="8" w:space="0" w:color="auto"/>
              <w:bottom w:val="single" w:sz="8" w:space="0" w:color="auto"/>
              <w:right w:val="single" w:sz="8" w:space="0" w:color="auto"/>
            </w:tcBorders>
            <w:shd w:val="clear" w:color="auto" w:fill="auto"/>
            <w:tcMar>
              <w:left w:w="108" w:type="dxa"/>
              <w:right w:w="108" w:type="dxa"/>
            </w:tcMar>
          </w:tcPr>
          <w:p w14:paraId="7B70A3A3" w14:textId="77777777" w:rsidR="004C07C1" w:rsidRPr="00FF77F6" w:rsidRDefault="004C07C1" w:rsidP="0081723A">
            <w:pPr>
              <w:spacing w:before="40" w:after="120"/>
              <w:rPr>
                <w:rFonts w:eastAsia="Times New Roman" w:cs="Times New Roman"/>
                <w:sz w:val="20"/>
                <w:szCs w:val="20"/>
              </w:rPr>
            </w:pPr>
            <w:r w:rsidRPr="00FF77F6">
              <w:rPr>
                <w:rFonts w:eastAsia="Times New Roman" w:cs="Times New Roman"/>
                <w:sz w:val="20"/>
                <w:szCs w:val="20"/>
              </w:rPr>
              <w:t>X</w:t>
            </w:r>
          </w:p>
          <w:p w14:paraId="2B429DD3" w14:textId="77777777" w:rsidR="004C07C1" w:rsidRPr="00FF77F6" w:rsidRDefault="004C07C1" w:rsidP="0081723A">
            <w:pPr>
              <w:spacing w:before="40" w:after="120"/>
              <w:rPr>
                <w:rFonts w:eastAsia="Times New Roman" w:cs="Times New Roman"/>
                <w:sz w:val="20"/>
                <w:szCs w:val="20"/>
              </w:rPr>
            </w:pPr>
            <w:r w:rsidRPr="00FF77F6">
              <w:rPr>
                <w:rFonts w:eastAsia="Times New Roman" w:cs="Times New Roman"/>
                <w:sz w:val="20"/>
                <w:szCs w:val="20"/>
              </w:rPr>
              <w:t xml:space="preserve"> </w:t>
            </w:r>
          </w:p>
        </w:tc>
        <w:tc>
          <w:tcPr>
            <w:tcW w:w="0" w:type="auto"/>
            <w:tcBorders>
              <w:top w:val="single" w:sz="12" w:space="0" w:color="auto"/>
              <w:left w:val="single" w:sz="8" w:space="0" w:color="auto"/>
              <w:bottom w:val="single" w:sz="8" w:space="0" w:color="auto"/>
              <w:right w:val="single" w:sz="8" w:space="0" w:color="auto"/>
            </w:tcBorders>
            <w:shd w:val="clear" w:color="auto" w:fill="auto"/>
            <w:tcMar>
              <w:left w:w="108" w:type="dxa"/>
              <w:right w:w="108" w:type="dxa"/>
            </w:tcMar>
          </w:tcPr>
          <w:p w14:paraId="35AD7A00" w14:textId="77777777" w:rsidR="004C07C1" w:rsidRPr="00FF77F6" w:rsidRDefault="004C07C1" w:rsidP="0081723A">
            <w:pPr>
              <w:spacing w:before="40" w:after="120"/>
              <w:rPr>
                <w:rFonts w:eastAsia="Times New Roman" w:cs="Times New Roman"/>
                <w:sz w:val="20"/>
                <w:szCs w:val="20"/>
              </w:rPr>
            </w:pPr>
            <w:r w:rsidRPr="00FF77F6">
              <w:rPr>
                <w:rFonts w:eastAsia="Times New Roman" w:cs="Times New Roman"/>
                <w:sz w:val="20"/>
                <w:szCs w:val="20"/>
              </w:rPr>
              <w:t>X</w:t>
            </w:r>
          </w:p>
        </w:tc>
      </w:tr>
      <w:tr w:rsidR="006306F6" w:rsidRPr="00FF77F6" w14:paraId="33C73C03" w14:textId="77777777" w:rsidTr="0081723A">
        <w:trPr>
          <w:trHeight w:val="432"/>
        </w:trPr>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1329E1BE" w14:textId="77777777" w:rsidR="004C07C1" w:rsidRPr="00FF77F6" w:rsidRDefault="004C07C1" w:rsidP="0081723A">
            <w:pPr>
              <w:spacing w:before="40" w:after="120"/>
              <w:ind w:left="360" w:hanging="360"/>
              <w:rPr>
                <w:rFonts w:eastAsia="Times New Roman" w:cs="Times New Roman"/>
                <w:sz w:val="20"/>
                <w:szCs w:val="20"/>
              </w:rPr>
            </w:pPr>
            <w:r w:rsidRPr="00FF77F6">
              <w:rPr>
                <w:rFonts w:eastAsia="Times New Roman" w:cs="Times New Roman"/>
                <w:sz w:val="20"/>
                <w:szCs w:val="20"/>
              </w:rPr>
              <w:t xml:space="preserve">1.b. </w:t>
            </w:r>
            <w:r>
              <w:rPr>
                <w:rFonts w:eastAsia="Times New Roman" w:cs="Times New Roman"/>
                <w:sz w:val="20"/>
                <w:szCs w:val="20"/>
              </w:rPr>
              <w:tab/>
            </w:r>
            <w:r w:rsidRPr="00FF77F6">
              <w:rPr>
                <w:rFonts w:eastAsia="Times New Roman" w:cs="Times New Roman"/>
                <w:sz w:val="20"/>
                <w:szCs w:val="20"/>
              </w:rPr>
              <w:t>Occurrences related to ADS operation outside its ODD</w:t>
            </w:r>
          </w:p>
        </w:tc>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8C5DEC9" w14:textId="77777777" w:rsidR="004C07C1" w:rsidRPr="00FF77F6" w:rsidRDefault="004C07C1" w:rsidP="0081723A">
            <w:pPr>
              <w:spacing w:before="40" w:after="120"/>
              <w:rPr>
                <w:rFonts w:eastAsia="Times New Roman" w:cs="Times New Roman"/>
                <w:sz w:val="20"/>
                <w:szCs w:val="20"/>
              </w:rPr>
            </w:pPr>
            <w:r w:rsidRPr="00FF77F6">
              <w:rPr>
                <w:rFonts w:eastAsia="Times New Roman" w:cs="Times New Roman"/>
                <w:sz w:val="20"/>
                <w:szCs w:val="20"/>
              </w:rPr>
              <w:t>X</w:t>
            </w:r>
          </w:p>
        </w:tc>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A0097AA" w14:textId="77777777" w:rsidR="004C07C1" w:rsidRPr="00FF77F6" w:rsidRDefault="004C07C1" w:rsidP="0081723A">
            <w:pPr>
              <w:spacing w:before="40" w:after="120"/>
              <w:rPr>
                <w:rFonts w:eastAsia="Times New Roman" w:cs="Times New Roman"/>
                <w:sz w:val="20"/>
                <w:szCs w:val="20"/>
              </w:rPr>
            </w:pPr>
            <w:r w:rsidRPr="00FF77F6">
              <w:rPr>
                <w:rFonts w:eastAsia="Times New Roman" w:cs="Times New Roman"/>
                <w:sz w:val="20"/>
                <w:szCs w:val="20"/>
              </w:rPr>
              <w:t>X</w:t>
            </w:r>
          </w:p>
        </w:tc>
      </w:tr>
      <w:tr w:rsidR="006306F6" w:rsidRPr="00FF77F6" w14:paraId="23C77FA9" w14:textId="77777777" w:rsidTr="0081723A">
        <w:trPr>
          <w:trHeight w:val="432"/>
        </w:trPr>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D55FE1A" w14:textId="77777777" w:rsidR="004C07C1" w:rsidRPr="00FF77F6" w:rsidRDefault="004C07C1" w:rsidP="0081723A">
            <w:pPr>
              <w:spacing w:before="40" w:after="120"/>
              <w:ind w:left="360" w:hanging="360"/>
              <w:rPr>
                <w:rFonts w:eastAsia="Times New Roman" w:cs="Times New Roman"/>
                <w:sz w:val="20"/>
                <w:szCs w:val="20"/>
              </w:rPr>
            </w:pPr>
            <w:r w:rsidRPr="00FF77F6">
              <w:rPr>
                <w:rFonts w:eastAsia="Times New Roman" w:cs="Times New Roman"/>
                <w:sz w:val="20"/>
                <w:szCs w:val="20"/>
              </w:rPr>
              <w:t xml:space="preserve">1.c. </w:t>
            </w:r>
            <w:r>
              <w:rPr>
                <w:rFonts w:eastAsia="Times New Roman" w:cs="Times New Roman"/>
                <w:sz w:val="20"/>
                <w:szCs w:val="20"/>
              </w:rPr>
              <w:tab/>
            </w:r>
            <w:r w:rsidRPr="00FF77F6">
              <w:rPr>
                <w:rFonts w:eastAsia="Times New Roman" w:cs="Times New Roman"/>
                <w:sz w:val="20"/>
                <w:szCs w:val="20"/>
              </w:rPr>
              <w:t>ADS failure to achieve a minimal risk condition when necessary</w:t>
            </w:r>
          </w:p>
        </w:tc>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702226E" w14:textId="77777777" w:rsidR="004C07C1" w:rsidRPr="00FF77F6" w:rsidRDefault="004C07C1" w:rsidP="0081723A">
            <w:pPr>
              <w:spacing w:before="40" w:after="120"/>
              <w:rPr>
                <w:rFonts w:eastAsia="Times New Roman" w:cs="Times New Roman"/>
                <w:sz w:val="20"/>
                <w:szCs w:val="20"/>
              </w:rPr>
            </w:pPr>
            <w:r w:rsidRPr="00FF77F6">
              <w:rPr>
                <w:rFonts w:eastAsia="Times New Roman" w:cs="Times New Roman"/>
                <w:sz w:val="20"/>
                <w:szCs w:val="20"/>
              </w:rPr>
              <w:t>X</w:t>
            </w:r>
          </w:p>
        </w:tc>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57EFC0E2" w14:textId="77777777" w:rsidR="004C07C1" w:rsidRPr="00FF77F6" w:rsidRDefault="004C07C1" w:rsidP="0081723A">
            <w:pPr>
              <w:spacing w:before="40" w:after="120"/>
              <w:rPr>
                <w:rFonts w:eastAsia="Times New Roman" w:cs="Times New Roman"/>
                <w:sz w:val="20"/>
                <w:szCs w:val="20"/>
              </w:rPr>
            </w:pPr>
            <w:r w:rsidRPr="00FF77F6">
              <w:rPr>
                <w:rFonts w:eastAsia="Times New Roman" w:cs="Times New Roman"/>
                <w:sz w:val="20"/>
                <w:szCs w:val="20"/>
              </w:rPr>
              <w:t>X</w:t>
            </w:r>
          </w:p>
        </w:tc>
      </w:tr>
      <w:tr w:rsidR="006306F6" w:rsidRPr="00FF77F6" w14:paraId="50C5D875" w14:textId="77777777" w:rsidTr="0081723A">
        <w:trPr>
          <w:trHeight w:val="432"/>
        </w:trPr>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7793CE7" w14:textId="77777777" w:rsidR="004C07C1" w:rsidRPr="00FF77F6" w:rsidRDefault="004C07C1" w:rsidP="0081723A">
            <w:pPr>
              <w:spacing w:before="40" w:after="120"/>
              <w:ind w:left="360" w:hanging="360"/>
              <w:rPr>
                <w:rFonts w:eastAsia="Times New Roman" w:cs="Times New Roman"/>
                <w:sz w:val="20"/>
                <w:szCs w:val="20"/>
              </w:rPr>
            </w:pPr>
            <w:r w:rsidRPr="00FF77F6">
              <w:rPr>
                <w:rFonts w:eastAsia="Times New Roman" w:cs="Times New Roman"/>
                <w:sz w:val="20"/>
                <w:szCs w:val="20"/>
              </w:rPr>
              <w:t xml:space="preserve">1.d. Communication-related occurrences  </w:t>
            </w:r>
          </w:p>
        </w:tc>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12240D6" w14:textId="77777777" w:rsidR="004C07C1" w:rsidRPr="00FF77F6" w:rsidRDefault="004C07C1" w:rsidP="0081723A">
            <w:pPr>
              <w:spacing w:before="40" w:after="120"/>
              <w:rPr>
                <w:rFonts w:eastAsia="Times New Roman" w:cs="Times New Roman"/>
                <w:sz w:val="20"/>
                <w:szCs w:val="20"/>
              </w:rPr>
            </w:pPr>
            <w:r w:rsidRPr="00FF77F6">
              <w:rPr>
                <w:rFonts w:eastAsia="Times New Roman" w:cs="Times New Roman"/>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5A1E2031" w14:textId="77777777" w:rsidR="004C07C1" w:rsidRPr="00FF77F6" w:rsidRDefault="004C07C1" w:rsidP="0081723A">
            <w:pPr>
              <w:spacing w:before="40" w:after="120"/>
              <w:rPr>
                <w:rFonts w:eastAsia="Times New Roman" w:cs="Times New Roman"/>
                <w:sz w:val="20"/>
                <w:szCs w:val="20"/>
              </w:rPr>
            </w:pPr>
            <w:r w:rsidRPr="00FF77F6">
              <w:rPr>
                <w:rFonts w:eastAsia="Times New Roman" w:cs="Times New Roman"/>
                <w:sz w:val="20"/>
                <w:szCs w:val="20"/>
              </w:rPr>
              <w:t>X</w:t>
            </w:r>
          </w:p>
        </w:tc>
      </w:tr>
      <w:tr w:rsidR="006306F6" w:rsidRPr="00FF77F6" w14:paraId="6ADA002A" w14:textId="77777777" w:rsidTr="0081723A">
        <w:trPr>
          <w:trHeight w:val="432"/>
        </w:trPr>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510DE67B" w14:textId="77777777" w:rsidR="004C07C1" w:rsidRPr="00FF77F6" w:rsidRDefault="004C07C1" w:rsidP="0081723A">
            <w:pPr>
              <w:spacing w:before="40" w:after="120"/>
              <w:ind w:left="360" w:hanging="360"/>
              <w:rPr>
                <w:rFonts w:eastAsia="Times New Roman" w:cs="Times New Roman"/>
                <w:sz w:val="20"/>
                <w:szCs w:val="20"/>
              </w:rPr>
            </w:pPr>
            <w:r w:rsidRPr="00FF77F6">
              <w:rPr>
                <w:rFonts w:eastAsia="Times New Roman" w:cs="Times New Roman"/>
                <w:sz w:val="20"/>
                <w:szCs w:val="20"/>
              </w:rPr>
              <w:lastRenderedPageBreak/>
              <w:t>1.e. Cybersecurity-related occurrences</w:t>
            </w:r>
          </w:p>
        </w:tc>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1D4FDEB1" w14:textId="77777777" w:rsidR="004C07C1" w:rsidRPr="00FF77F6" w:rsidRDefault="004C07C1" w:rsidP="0081723A">
            <w:pPr>
              <w:spacing w:before="40" w:after="120"/>
              <w:rPr>
                <w:rFonts w:eastAsia="Times New Roman" w:cs="Times New Roman"/>
                <w:sz w:val="20"/>
                <w:szCs w:val="20"/>
              </w:rPr>
            </w:pPr>
            <w:r w:rsidRPr="00FF77F6">
              <w:rPr>
                <w:rFonts w:eastAsia="Times New Roman" w:cs="Times New Roman"/>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1C1EF642" w14:textId="77777777" w:rsidR="004C07C1" w:rsidRPr="00FF77F6" w:rsidRDefault="004C07C1" w:rsidP="0081723A">
            <w:pPr>
              <w:spacing w:before="40" w:after="120"/>
              <w:rPr>
                <w:rFonts w:eastAsia="Times New Roman" w:cs="Times New Roman"/>
                <w:sz w:val="20"/>
                <w:szCs w:val="20"/>
              </w:rPr>
            </w:pPr>
            <w:r w:rsidRPr="00FF77F6">
              <w:rPr>
                <w:rFonts w:eastAsia="Times New Roman" w:cs="Times New Roman"/>
                <w:sz w:val="20"/>
                <w:szCs w:val="20"/>
              </w:rPr>
              <w:t>X</w:t>
            </w:r>
          </w:p>
        </w:tc>
      </w:tr>
      <w:tr w:rsidR="006306F6" w:rsidRPr="00FF77F6" w14:paraId="16A91139" w14:textId="77777777" w:rsidTr="0081723A">
        <w:trPr>
          <w:trHeight w:val="432"/>
        </w:trPr>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40E0F65" w14:textId="35AB5CB8" w:rsidR="004C07C1" w:rsidRPr="00FF77F6" w:rsidRDefault="004C07C1" w:rsidP="00FA2F23">
            <w:pPr>
              <w:spacing w:before="40" w:after="120"/>
              <w:ind w:left="360" w:hanging="360"/>
              <w:rPr>
                <w:rFonts w:eastAsia="Times New Roman" w:cs="Times New Roman"/>
                <w:sz w:val="20"/>
                <w:szCs w:val="20"/>
              </w:rPr>
            </w:pPr>
            <w:r w:rsidRPr="00FF77F6">
              <w:rPr>
                <w:rFonts w:eastAsia="Times New Roman" w:cs="Times New Roman"/>
                <w:sz w:val="20"/>
                <w:szCs w:val="20"/>
              </w:rPr>
              <w:t xml:space="preserve">1.f. </w:t>
            </w:r>
            <w:r w:rsidRPr="00FA2F23">
              <w:rPr>
                <w:rFonts w:eastAsia="Times New Roman" w:cs="Times New Roman"/>
                <w:strike/>
                <w:color w:val="FF0000"/>
                <w:sz w:val="20"/>
                <w:szCs w:val="20"/>
              </w:rPr>
              <w:t>Interaction with remote operator if applicable</w:t>
            </w:r>
            <w:r w:rsidRPr="00FA2F23">
              <w:rPr>
                <w:rFonts w:eastAsia="Times New Roman" w:cs="Times New Roman"/>
                <w:color w:val="FF0000"/>
                <w:sz w:val="20"/>
                <w:szCs w:val="20"/>
              </w:rPr>
              <w:t xml:space="preserve">  </w:t>
            </w:r>
            <w:r w:rsidR="00FA2F23" w:rsidRPr="00FA2F23">
              <w:rPr>
                <w:rFonts w:eastAsia="Times New Roman" w:cs="Times New Roman"/>
                <w:i/>
                <w:color w:val="4472C4" w:themeColor="accent1"/>
                <w:sz w:val="20"/>
                <w:szCs w:val="20"/>
              </w:rPr>
              <w:t xml:space="preserve">Events where an activated ADS feature required interaction with a remote assistant </w:t>
            </w:r>
            <w:r w:rsidR="00FA2F23">
              <w:rPr>
                <w:rFonts w:eastAsia="Times New Roman" w:cs="Times New Roman"/>
                <w:i/>
                <w:color w:val="4472C4" w:themeColor="accent1"/>
                <w:sz w:val="20"/>
                <w:szCs w:val="20"/>
              </w:rPr>
              <w:t>to navigate a driving situation (</w:t>
            </w:r>
            <w:r w:rsidR="006306F6">
              <w:rPr>
                <w:rFonts w:eastAsia="Times New Roman" w:cs="Times New Roman"/>
                <w:i/>
                <w:color w:val="4472C4" w:themeColor="accent1"/>
                <w:sz w:val="20"/>
                <w:szCs w:val="20"/>
              </w:rPr>
              <w:t>if applicable</w:t>
            </w:r>
            <w:r w:rsidR="00FA2F23">
              <w:rPr>
                <w:rFonts w:eastAsia="Times New Roman" w:cs="Times New Roman"/>
                <w:i/>
                <w:color w:val="4472C4" w:themeColor="accent1"/>
                <w:sz w:val="20"/>
                <w:szCs w:val="20"/>
              </w:rPr>
              <w:t xml:space="preserve">) </w:t>
            </w:r>
            <w:r w:rsidR="00FA2F23" w:rsidRPr="00FA2F23">
              <w:rPr>
                <w:rFonts w:eastAsia="Times New Roman" w:cs="Times New Roman"/>
                <w:i/>
                <w:color w:val="4472C4" w:themeColor="accent1"/>
                <w:sz w:val="20"/>
                <w:szCs w:val="20"/>
                <w:vertAlign w:val="superscript"/>
              </w:rPr>
              <w:t>2</w:t>
            </w:r>
          </w:p>
        </w:tc>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A7153BB" w14:textId="77777777" w:rsidR="004C07C1" w:rsidRPr="00FF77F6" w:rsidRDefault="004C07C1" w:rsidP="0081723A">
            <w:pPr>
              <w:spacing w:before="40" w:after="120"/>
              <w:rPr>
                <w:rFonts w:eastAsia="Times New Roman" w:cs="Times New Roman"/>
                <w:sz w:val="20"/>
                <w:szCs w:val="20"/>
              </w:rPr>
            </w:pPr>
            <w:r w:rsidRPr="00FF77F6">
              <w:rPr>
                <w:rFonts w:eastAsia="Times New Roman" w:cs="Times New Roman"/>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8A6160E" w14:textId="77777777" w:rsidR="004C07C1" w:rsidRPr="00FF77F6" w:rsidRDefault="004C07C1" w:rsidP="0081723A">
            <w:pPr>
              <w:spacing w:before="40" w:after="120"/>
              <w:rPr>
                <w:rFonts w:eastAsia="Times New Roman" w:cs="Times New Roman"/>
                <w:sz w:val="20"/>
                <w:szCs w:val="20"/>
              </w:rPr>
            </w:pPr>
            <w:r w:rsidRPr="00FF77F6">
              <w:rPr>
                <w:rFonts w:eastAsia="Times New Roman" w:cs="Times New Roman"/>
                <w:sz w:val="20"/>
                <w:szCs w:val="20"/>
              </w:rPr>
              <w:t>X</w:t>
            </w:r>
          </w:p>
        </w:tc>
      </w:tr>
      <w:tr w:rsidR="006306F6" w:rsidRPr="00FF77F6" w14:paraId="14B95360" w14:textId="77777777" w:rsidTr="0081723A">
        <w:trPr>
          <w:trHeight w:val="432"/>
        </w:trPr>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F066E2D" w14:textId="77777777" w:rsidR="004C07C1" w:rsidRPr="00FF77F6" w:rsidRDefault="004C07C1" w:rsidP="0081723A">
            <w:pPr>
              <w:spacing w:before="40" w:after="120"/>
              <w:ind w:left="360" w:hanging="360"/>
              <w:rPr>
                <w:rFonts w:eastAsia="Times New Roman" w:cs="Times New Roman"/>
                <w:sz w:val="20"/>
                <w:szCs w:val="20"/>
              </w:rPr>
            </w:pPr>
            <w:r w:rsidRPr="00FF77F6">
              <w:rPr>
                <w:rFonts w:eastAsia="Times New Roman" w:cs="Times New Roman"/>
                <w:sz w:val="20"/>
                <w:szCs w:val="20"/>
              </w:rPr>
              <w:t>2)</w:t>
            </w:r>
            <w:r w:rsidRPr="00FF77F6">
              <w:rPr>
                <w:rFonts w:eastAsia="Times New Roman" w:cs="Times New Roman"/>
                <w:sz w:val="20"/>
                <w:szCs w:val="20"/>
              </w:rPr>
              <w:tab/>
              <w:t>Occurrences related to ADS interaction with ADS vehicle users</w:t>
            </w:r>
          </w:p>
        </w:tc>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4BDB692" w14:textId="77777777" w:rsidR="004C07C1" w:rsidRPr="00FF77F6" w:rsidRDefault="004C07C1" w:rsidP="0081723A">
            <w:pPr>
              <w:spacing w:before="40" w:after="120"/>
              <w:rPr>
                <w:rFonts w:eastAsia="Times New Roman" w:cs="Times New Roman"/>
                <w:sz w:val="20"/>
                <w:szCs w:val="20"/>
              </w:rPr>
            </w:pPr>
          </w:p>
        </w:tc>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5D11F38D" w14:textId="77777777" w:rsidR="004C07C1" w:rsidRPr="00FF77F6" w:rsidRDefault="004C07C1" w:rsidP="0081723A">
            <w:pPr>
              <w:spacing w:before="40" w:after="120"/>
              <w:rPr>
                <w:rFonts w:eastAsia="Times New Roman" w:cs="Times New Roman"/>
                <w:sz w:val="20"/>
                <w:szCs w:val="20"/>
              </w:rPr>
            </w:pPr>
          </w:p>
        </w:tc>
      </w:tr>
      <w:tr w:rsidR="006306F6" w:rsidRPr="00FF77F6" w14:paraId="5A4A0412" w14:textId="77777777" w:rsidTr="0081723A">
        <w:trPr>
          <w:trHeight w:val="432"/>
        </w:trPr>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4C0339D" w14:textId="7821BA28" w:rsidR="004C07C1" w:rsidRPr="00FF77F6" w:rsidRDefault="004C07C1" w:rsidP="0081723A">
            <w:pPr>
              <w:spacing w:before="40" w:after="120"/>
              <w:ind w:left="360" w:hanging="360"/>
              <w:rPr>
                <w:rFonts w:eastAsia="Times New Roman" w:cs="Times New Roman"/>
                <w:sz w:val="20"/>
                <w:szCs w:val="20"/>
              </w:rPr>
            </w:pPr>
            <w:r w:rsidRPr="00FF77F6">
              <w:rPr>
                <w:rFonts w:eastAsia="Times New Roman" w:cs="Times New Roman"/>
                <w:sz w:val="20"/>
                <w:szCs w:val="20"/>
              </w:rPr>
              <w:t xml:space="preserve">2.a. </w:t>
            </w:r>
            <w:r w:rsidRPr="006306F6">
              <w:rPr>
                <w:rFonts w:eastAsia="Times New Roman" w:cs="Times New Roman"/>
                <w:strike/>
                <w:color w:val="FF0000"/>
                <w:sz w:val="20"/>
                <w:szCs w:val="20"/>
              </w:rPr>
              <w:t xml:space="preserve">Driver </w:t>
            </w:r>
            <w:r w:rsidR="006306F6">
              <w:rPr>
                <w:rFonts w:eastAsia="Times New Roman" w:cs="Times New Roman"/>
                <w:strike/>
                <w:color w:val="FF0000"/>
                <w:sz w:val="20"/>
                <w:szCs w:val="20"/>
              </w:rPr>
              <w:t xml:space="preserve"> </w:t>
            </w:r>
            <w:r w:rsidR="006306F6" w:rsidRPr="006306F6">
              <w:rPr>
                <w:rFonts w:eastAsia="Times New Roman" w:cs="Times New Roman"/>
                <w:i/>
                <w:color w:val="4472C4" w:themeColor="accent1"/>
                <w:sz w:val="20"/>
                <w:szCs w:val="20"/>
              </w:rPr>
              <w:t>Fall-back user</w:t>
            </w:r>
            <w:r w:rsidR="006306F6" w:rsidRPr="006306F6">
              <w:rPr>
                <w:rFonts w:eastAsia="Times New Roman" w:cs="Times New Roman"/>
                <w:color w:val="4472C4" w:themeColor="accent1"/>
                <w:sz w:val="20"/>
                <w:szCs w:val="20"/>
              </w:rPr>
              <w:t xml:space="preserve"> </w:t>
            </w:r>
            <w:r w:rsidRPr="006306F6">
              <w:rPr>
                <w:rFonts w:eastAsia="Times New Roman" w:cs="Times New Roman"/>
                <w:sz w:val="20"/>
                <w:szCs w:val="20"/>
              </w:rPr>
              <w:t xml:space="preserve">unavailability </w:t>
            </w:r>
            <w:r w:rsidRPr="00FF77F6">
              <w:rPr>
                <w:rFonts w:eastAsia="Times New Roman" w:cs="Times New Roman"/>
                <w:sz w:val="20"/>
                <w:szCs w:val="20"/>
              </w:rPr>
              <w:t>(where applicable)</w:t>
            </w:r>
            <w:r w:rsidR="006306F6" w:rsidRPr="00FA2F23">
              <w:rPr>
                <w:rFonts w:eastAsia="Times New Roman" w:cs="Times New Roman"/>
                <w:i/>
                <w:color w:val="4472C4" w:themeColor="accent1"/>
                <w:sz w:val="20"/>
                <w:szCs w:val="20"/>
                <w:vertAlign w:val="superscript"/>
              </w:rPr>
              <w:t xml:space="preserve"> </w:t>
            </w:r>
            <w:r w:rsidR="006306F6">
              <w:rPr>
                <w:rFonts w:eastAsia="Times New Roman" w:cs="Times New Roman"/>
                <w:i/>
                <w:color w:val="4472C4" w:themeColor="accent1"/>
                <w:sz w:val="20"/>
                <w:szCs w:val="20"/>
                <w:vertAlign w:val="superscript"/>
              </w:rPr>
              <w:t>3</w:t>
            </w:r>
            <w:r w:rsidRPr="00FF77F6">
              <w:rPr>
                <w:rFonts w:eastAsia="Times New Roman" w:cs="Times New Roman"/>
                <w:sz w:val="20"/>
                <w:szCs w:val="20"/>
              </w:rPr>
              <w:t xml:space="preserve"> </w:t>
            </w:r>
            <w:r w:rsidRPr="006306F6">
              <w:rPr>
                <w:rFonts w:eastAsia="Times New Roman" w:cs="Times New Roman"/>
                <w:strike/>
                <w:color w:val="FF0000"/>
                <w:sz w:val="20"/>
                <w:szCs w:val="20"/>
              </w:rPr>
              <w:t>and other user-related occurrences</w:t>
            </w:r>
          </w:p>
        </w:tc>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C88C82D" w14:textId="77777777" w:rsidR="004C07C1" w:rsidRPr="00FF77F6" w:rsidRDefault="004C07C1" w:rsidP="0081723A">
            <w:pPr>
              <w:spacing w:before="40" w:after="120"/>
              <w:rPr>
                <w:rFonts w:eastAsia="Times New Roman" w:cs="Times New Roman"/>
                <w:sz w:val="20"/>
                <w:szCs w:val="20"/>
              </w:rPr>
            </w:pPr>
            <w:r w:rsidRPr="00FF77F6">
              <w:rPr>
                <w:rFonts w:eastAsia="Times New Roman" w:cs="Times New Roman"/>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67464C1" w14:textId="77777777" w:rsidR="004C07C1" w:rsidRPr="00FF77F6" w:rsidRDefault="004C07C1" w:rsidP="0081723A">
            <w:pPr>
              <w:spacing w:before="40" w:after="120"/>
              <w:rPr>
                <w:rFonts w:eastAsia="Times New Roman" w:cs="Times New Roman"/>
                <w:sz w:val="20"/>
                <w:szCs w:val="20"/>
              </w:rPr>
            </w:pPr>
            <w:r w:rsidRPr="00FF77F6">
              <w:rPr>
                <w:rFonts w:eastAsia="Times New Roman" w:cs="Times New Roman"/>
                <w:sz w:val="20"/>
                <w:szCs w:val="20"/>
              </w:rPr>
              <w:t>X</w:t>
            </w:r>
          </w:p>
        </w:tc>
      </w:tr>
      <w:tr w:rsidR="006306F6" w:rsidRPr="00FF77F6" w14:paraId="304F0328" w14:textId="77777777" w:rsidTr="0081723A">
        <w:trPr>
          <w:trHeight w:val="432"/>
        </w:trPr>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48B1D13" w14:textId="77777777" w:rsidR="004C07C1" w:rsidRPr="00FF77F6" w:rsidRDefault="004C07C1" w:rsidP="0081723A">
            <w:pPr>
              <w:spacing w:before="40" w:after="120"/>
              <w:ind w:left="360" w:hanging="360"/>
              <w:rPr>
                <w:rFonts w:eastAsia="Times New Roman" w:cs="Times New Roman"/>
                <w:sz w:val="20"/>
                <w:szCs w:val="20"/>
              </w:rPr>
            </w:pPr>
            <w:r w:rsidRPr="00FF77F6">
              <w:rPr>
                <w:rFonts w:eastAsia="Times New Roman" w:cs="Times New Roman"/>
                <w:sz w:val="20"/>
                <w:szCs w:val="20"/>
              </w:rPr>
              <w:t>2.b. Occurrences related to Transfer of Control failure</w:t>
            </w:r>
          </w:p>
        </w:tc>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7E74961" w14:textId="77777777" w:rsidR="004C07C1" w:rsidRPr="00FF77F6" w:rsidRDefault="004C07C1" w:rsidP="0081723A">
            <w:pPr>
              <w:spacing w:before="40" w:after="120"/>
              <w:rPr>
                <w:rFonts w:eastAsia="Times New Roman" w:cs="Times New Roman"/>
                <w:sz w:val="20"/>
                <w:szCs w:val="20"/>
              </w:rPr>
            </w:pPr>
            <w:r w:rsidRPr="00FF77F6">
              <w:rPr>
                <w:rFonts w:eastAsia="Times New Roman" w:cs="Times New Roman"/>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EF6E229" w14:textId="77777777" w:rsidR="004C07C1" w:rsidRPr="00FF77F6" w:rsidRDefault="004C07C1" w:rsidP="0081723A">
            <w:pPr>
              <w:spacing w:before="40" w:after="120"/>
              <w:rPr>
                <w:rFonts w:eastAsia="Times New Roman" w:cs="Times New Roman"/>
                <w:sz w:val="20"/>
                <w:szCs w:val="20"/>
              </w:rPr>
            </w:pPr>
            <w:r w:rsidRPr="00FF77F6">
              <w:rPr>
                <w:rFonts w:eastAsia="Times New Roman" w:cs="Times New Roman"/>
                <w:sz w:val="20"/>
                <w:szCs w:val="20"/>
              </w:rPr>
              <w:t>X</w:t>
            </w:r>
          </w:p>
        </w:tc>
      </w:tr>
      <w:tr w:rsidR="006306F6" w:rsidRPr="00FF77F6" w14:paraId="0468D9EA" w14:textId="77777777" w:rsidTr="0081723A">
        <w:trPr>
          <w:trHeight w:val="432"/>
        </w:trPr>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238DB36" w14:textId="18E9F5F0" w:rsidR="004C07C1" w:rsidRPr="00FF77F6" w:rsidRDefault="004C07C1" w:rsidP="0081723A">
            <w:pPr>
              <w:spacing w:before="40" w:after="120"/>
              <w:ind w:left="360" w:hanging="360"/>
              <w:rPr>
                <w:rFonts w:eastAsia="Times New Roman" w:cs="Times New Roman"/>
                <w:sz w:val="20"/>
                <w:szCs w:val="20"/>
              </w:rPr>
            </w:pPr>
            <w:r w:rsidRPr="00FF77F6">
              <w:rPr>
                <w:rFonts w:eastAsia="Times New Roman" w:cs="Times New Roman"/>
                <w:sz w:val="20"/>
                <w:szCs w:val="20"/>
              </w:rPr>
              <w:t>2.c. Prevention of takeover under unsafe conditions</w:t>
            </w:r>
            <w:r w:rsidR="006306F6" w:rsidRPr="006306F6">
              <w:rPr>
                <w:rFonts w:eastAsia="Times New Roman" w:cs="Times New Roman"/>
                <w:i/>
                <w:color w:val="4472C4" w:themeColor="accent1"/>
                <w:sz w:val="20"/>
                <w:szCs w:val="20"/>
              </w:rPr>
              <w:t xml:space="preserve"> (where applicable)</w:t>
            </w:r>
            <w:r w:rsidR="006306F6">
              <w:rPr>
                <w:rFonts w:eastAsia="Times New Roman" w:cs="Times New Roman"/>
                <w:i/>
                <w:color w:val="4472C4" w:themeColor="accent1"/>
                <w:sz w:val="20"/>
                <w:szCs w:val="20"/>
                <w:vertAlign w:val="superscript"/>
              </w:rPr>
              <w:t>4</w:t>
            </w:r>
          </w:p>
        </w:tc>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A3EA3F9" w14:textId="77777777" w:rsidR="004C07C1" w:rsidRPr="00FF77F6" w:rsidRDefault="004C07C1" w:rsidP="0081723A">
            <w:pPr>
              <w:spacing w:before="40" w:after="120"/>
              <w:rPr>
                <w:rFonts w:eastAsia="Times New Roman" w:cs="Times New Roman"/>
                <w:sz w:val="20"/>
                <w:szCs w:val="20"/>
              </w:rPr>
            </w:pPr>
            <w:r w:rsidRPr="00FF77F6">
              <w:rPr>
                <w:rFonts w:eastAsia="Times New Roman" w:cs="Times New Roman"/>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10255CE1" w14:textId="77777777" w:rsidR="004C07C1" w:rsidRPr="00FF77F6" w:rsidRDefault="004C07C1" w:rsidP="0081723A">
            <w:pPr>
              <w:spacing w:before="40" w:after="120"/>
              <w:rPr>
                <w:rFonts w:eastAsia="Times New Roman" w:cs="Times New Roman"/>
                <w:sz w:val="20"/>
                <w:szCs w:val="20"/>
              </w:rPr>
            </w:pPr>
            <w:r w:rsidRPr="00FF77F6">
              <w:rPr>
                <w:rFonts w:eastAsia="Times New Roman" w:cs="Times New Roman"/>
                <w:sz w:val="20"/>
                <w:szCs w:val="20"/>
              </w:rPr>
              <w:t>X</w:t>
            </w:r>
          </w:p>
        </w:tc>
      </w:tr>
      <w:tr w:rsidR="006306F6" w:rsidRPr="00FF77F6" w14:paraId="01816CE3" w14:textId="77777777" w:rsidTr="0081723A">
        <w:trPr>
          <w:trHeight w:val="432"/>
        </w:trPr>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57CA5FF" w14:textId="77777777" w:rsidR="004C07C1" w:rsidRPr="00FF77F6" w:rsidRDefault="004C07C1" w:rsidP="0081723A">
            <w:pPr>
              <w:spacing w:before="40" w:after="120"/>
              <w:ind w:left="360" w:hanging="360"/>
              <w:rPr>
                <w:rFonts w:eastAsia="Times New Roman" w:cs="Times New Roman"/>
                <w:sz w:val="20"/>
                <w:szCs w:val="20"/>
              </w:rPr>
            </w:pPr>
            <w:r w:rsidRPr="00FF77F6">
              <w:rPr>
                <w:rFonts w:eastAsia="Times New Roman" w:cs="Times New Roman"/>
                <w:sz w:val="20"/>
                <w:szCs w:val="20"/>
              </w:rPr>
              <w:t>3.a. Occurrences related ADS failure</w:t>
            </w:r>
          </w:p>
        </w:tc>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59F9061F" w14:textId="77777777" w:rsidR="004C07C1" w:rsidRPr="00FF77F6" w:rsidRDefault="004C07C1" w:rsidP="0081723A">
            <w:pPr>
              <w:spacing w:before="40" w:after="120"/>
              <w:rPr>
                <w:rFonts w:eastAsia="Times New Roman" w:cs="Times New Roman"/>
                <w:sz w:val="20"/>
                <w:szCs w:val="20"/>
              </w:rPr>
            </w:pPr>
            <w:r w:rsidRPr="00FF77F6">
              <w:rPr>
                <w:rFonts w:eastAsia="Times New Roman" w:cs="Times New Roman"/>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16CAEF9" w14:textId="77777777" w:rsidR="004C07C1" w:rsidRPr="00FF77F6" w:rsidRDefault="004C07C1" w:rsidP="0081723A">
            <w:pPr>
              <w:spacing w:before="40" w:after="120"/>
              <w:rPr>
                <w:rFonts w:eastAsia="Times New Roman" w:cs="Times New Roman"/>
                <w:sz w:val="20"/>
                <w:szCs w:val="20"/>
              </w:rPr>
            </w:pPr>
            <w:r w:rsidRPr="00FF77F6">
              <w:rPr>
                <w:rFonts w:eastAsia="Times New Roman" w:cs="Times New Roman"/>
                <w:sz w:val="20"/>
                <w:szCs w:val="20"/>
              </w:rPr>
              <w:t>X</w:t>
            </w:r>
          </w:p>
        </w:tc>
      </w:tr>
      <w:tr w:rsidR="006306F6" w:rsidRPr="00FF77F6" w14:paraId="1377A2F4" w14:textId="77777777" w:rsidTr="0081723A">
        <w:trPr>
          <w:trHeight w:val="432"/>
        </w:trPr>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5D3AFF8E" w14:textId="53CAEC10" w:rsidR="004C07C1" w:rsidRPr="00FF77F6" w:rsidRDefault="004C07C1" w:rsidP="0081723A">
            <w:pPr>
              <w:spacing w:before="40" w:after="120"/>
              <w:ind w:left="360" w:hanging="360"/>
              <w:rPr>
                <w:rFonts w:eastAsia="Times New Roman" w:cs="Times New Roman"/>
                <w:b/>
                <w:bCs/>
                <w:sz w:val="20"/>
                <w:szCs w:val="20"/>
              </w:rPr>
            </w:pPr>
            <w:r w:rsidRPr="00FF77F6">
              <w:rPr>
                <w:rFonts w:eastAsia="Times New Roman" w:cs="Times New Roman"/>
                <w:sz w:val="20"/>
                <w:szCs w:val="20"/>
              </w:rPr>
              <w:t>3.b. Maintenance and repair problems</w:t>
            </w:r>
            <w:r w:rsidR="006306F6">
              <w:rPr>
                <w:rFonts w:eastAsia="Times New Roman" w:cs="Times New Roman"/>
                <w:sz w:val="20"/>
                <w:szCs w:val="20"/>
              </w:rPr>
              <w:t xml:space="preserve"> </w:t>
            </w:r>
            <w:r w:rsidR="006306F6" w:rsidRPr="006306F6">
              <w:rPr>
                <w:rFonts w:eastAsia="Times New Roman" w:cs="Times New Roman"/>
                <w:i/>
                <w:color w:val="4472C4" w:themeColor="accent1"/>
                <w:sz w:val="20"/>
                <w:szCs w:val="20"/>
              </w:rPr>
              <w:t>to ADS and its components</w:t>
            </w:r>
          </w:p>
        </w:tc>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B6AC22E" w14:textId="77777777" w:rsidR="004C07C1" w:rsidRPr="00FF77F6" w:rsidRDefault="004C07C1" w:rsidP="0081723A">
            <w:pPr>
              <w:spacing w:before="40" w:after="120"/>
              <w:rPr>
                <w:rFonts w:eastAsia="Times New Roman" w:cs="Times New Roman"/>
                <w:sz w:val="20"/>
                <w:szCs w:val="20"/>
              </w:rPr>
            </w:pPr>
            <w:r w:rsidRPr="00FF77F6">
              <w:rPr>
                <w:rFonts w:eastAsia="Times New Roman" w:cs="Times New Roman"/>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9A82A9E" w14:textId="77777777" w:rsidR="004C07C1" w:rsidRPr="00FF77F6" w:rsidRDefault="004C07C1" w:rsidP="0081723A">
            <w:pPr>
              <w:spacing w:before="40" w:after="120"/>
              <w:rPr>
                <w:rFonts w:eastAsia="Times New Roman" w:cs="Times New Roman"/>
                <w:sz w:val="20"/>
                <w:szCs w:val="20"/>
              </w:rPr>
            </w:pPr>
            <w:r w:rsidRPr="00FF77F6">
              <w:rPr>
                <w:rFonts w:eastAsia="Times New Roman" w:cs="Times New Roman"/>
                <w:sz w:val="20"/>
                <w:szCs w:val="20"/>
              </w:rPr>
              <w:t>X</w:t>
            </w:r>
          </w:p>
        </w:tc>
      </w:tr>
      <w:tr w:rsidR="006306F6" w:rsidRPr="00FF77F6" w14:paraId="7A2EFEAE" w14:textId="77777777" w:rsidTr="0081723A">
        <w:trPr>
          <w:trHeight w:val="432"/>
        </w:trPr>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FB31CEA" w14:textId="77777777" w:rsidR="004C07C1" w:rsidRPr="00FF77F6" w:rsidRDefault="004C07C1" w:rsidP="0081723A">
            <w:pPr>
              <w:spacing w:before="40" w:after="120"/>
              <w:ind w:left="360" w:hanging="360"/>
              <w:rPr>
                <w:rFonts w:eastAsia="Times New Roman" w:cs="Times New Roman"/>
                <w:sz w:val="20"/>
                <w:szCs w:val="20"/>
              </w:rPr>
            </w:pPr>
            <w:r w:rsidRPr="00FF77F6">
              <w:rPr>
                <w:rFonts w:eastAsia="Times New Roman" w:cs="Times New Roman"/>
                <w:sz w:val="20"/>
                <w:szCs w:val="20"/>
              </w:rPr>
              <w:t>3.c. Occurrences related to unauthorized modifications</w:t>
            </w:r>
          </w:p>
        </w:tc>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56938A4" w14:textId="77777777" w:rsidR="004C07C1" w:rsidRPr="00FF77F6" w:rsidRDefault="004C07C1" w:rsidP="0081723A">
            <w:pPr>
              <w:spacing w:before="40" w:after="120"/>
              <w:rPr>
                <w:rFonts w:eastAsia="Times New Roman" w:cs="Times New Roman"/>
                <w:sz w:val="20"/>
                <w:szCs w:val="20"/>
              </w:rPr>
            </w:pPr>
            <w:r w:rsidRPr="00FF77F6">
              <w:rPr>
                <w:rFonts w:eastAsia="Times New Roman" w:cs="Times New Roman"/>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0AEBA53" w14:textId="77777777" w:rsidR="004C07C1" w:rsidRPr="00FF77F6" w:rsidRDefault="004C07C1" w:rsidP="0081723A">
            <w:pPr>
              <w:spacing w:before="40" w:after="120"/>
              <w:rPr>
                <w:rFonts w:eastAsia="Times New Roman" w:cs="Times New Roman"/>
                <w:sz w:val="20"/>
                <w:szCs w:val="20"/>
              </w:rPr>
            </w:pPr>
            <w:r w:rsidRPr="00FF77F6">
              <w:rPr>
                <w:rFonts w:eastAsia="Times New Roman" w:cs="Times New Roman"/>
                <w:sz w:val="20"/>
                <w:szCs w:val="20"/>
              </w:rPr>
              <w:t>X</w:t>
            </w:r>
          </w:p>
        </w:tc>
      </w:tr>
      <w:tr w:rsidR="006306F6" w:rsidRPr="00FF77F6" w14:paraId="7BA08913" w14:textId="77777777" w:rsidTr="0081723A">
        <w:trPr>
          <w:trHeight w:val="432"/>
        </w:trPr>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7ED5537" w14:textId="77777777" w:rsidR="004C07C1" w:rsidRPr="006306F6" w:rsidRDefault="004C07C1" w:rsidP="0081723A">
            <w:pPr>
              <w:spacing w:before="40" w:after="120"/>
              <w:ind w:left="360" w:hanging="360"/>
              <w:rPr>
                <w:rFonts w:eastAsia="Times New Roman" w:cs="Times New Roman"/>
                <w:strike/>
                <w:color w:val="FF0000"/>
                <w:sz w:val="20"/>
                <w:szCs w:val="20"/>
              </w:rPr>
            </w:pPr>
            <w:r w:rsidRPr="006306F6">
              <w:rPr>
                <w:rFonts w:eastAsia="Times New Roman" w:cs="Times New Roman"/>
                <w:strike/>
                <w:color w:val="FF0000"/>
                <w:sz w:val="20"/>
                <w:szCs w:val="20"/>
              </w:rPr>
              <w:t>3.d. Modifications made by the ADS manufacturer or OEM to address an identified and significant ADS safety issue</w:t>
            </w:r>
          </w:p>
        </w:tc>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6EB107F" w14:textId="77777777" w:rsidR="004C07C1" w:rsidRPr="006306F6" w:rsidRDefault="004C07C1" w:rsidP="0081723A">
            <w:pPr>
              <w:spacing w:before="40" w:after="120"/>
              <w:rPr>
                <w:rFonts w:eastAsia="Times New Roman" w:cs="Times New Roman"/>
                <w:strike/>
                <w:color w:val="FF0000"/>
                <w:sz w:val="20"/>
                <w:szCs w:val="20"/>
              </w:rPr>
            </w:pPr>
            <w:r w:rsidRPr="006306F6">
              <w:rPr>
                <w:rFonts w:eastAsia="Times New Roman" w:cs="Times New Roman"/>
                <w:strike/>
                <w:color w:val="FF0000"/>
                <w:sz w:val="20"/>
                <w:szCs w:val="20"/>
              </w:rPr>
              <w:t>X (if the issue presented an unreasonable risk to safety)</w:t>
            </w:r>
          </w:p>
        </w:tc>
        <w:tc>
          <w:tcPr>
            <w:tcW w:w="0" w:type="auto"/>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2E4B92B" w14:textId="77777777" w:rsidR="004C07C1" w:rsidRPr="006306F6" w:rsidRDefault="004C07C1" w:rsidP="0081723A">
            <w:pPr>
              <w:spacing w:before="40" w:after="120"/>
              <w:rPr>
                <w:rFonts w:eastAsia="Times New Roman" w:cs="Times New Roman"/>
                <w:strike/>
                <w:color w:val="FF0000"/>
                <w:sz w:val="20"/>
                <w:szCs w:val="20"/>
              </w:rPr>
            </w:pPr>
            <w:r w:rsidRPr="006306F6">
              <w:rPr>
                <w:rFonts w:eastAsia="Times New Roman" w:cs="Times New Roman"/>
                <w:strike/>
                <w:color w:val="FF0000"/>
                <w:sz w:val="20"/>
                <w:szCs w:val="20"/>
              </w:rPr>
              <w:t>X</w:t>
            </w:r>
          </w:p>
        </w:tc>
      </w:tr>
      <w:tr w:rsidR="006306F6" w:rsidRPr="00FF77F6" w14:paraId="6453D25B" w14:textId="77777777" w:rsidTr="0081723A">
        <w:trPr>
          <w:trHeight w:val="432"/>
        </w:trPr>
        <w:tc>
          <w:tcPr>
            <w:tcW w:w="0" w:type="auto"/>
            <w:tcBorders>
              <w:top w:val="single" w:sz="8" w:space="0" w:color="auto"/>
              <w:left w:val="single" w:sz="8" w:space="0" w:color="auto"/>
              <w:bottom w:val="single" w:sz="12" w:space="0" w:color="auto"/>
              <w:right w:val="single" w:sz="8" w:space="0" w:color="auto"/>
            </w:tcBorders>
            <w:shd w:val="clear" w:color="auto" w:fill="auto"/>
            <w:tcMar>
              <w:left w:w="108" w:type="dxa"/>
              <w:right w:w="108" w:type="dxa"/>
            </w:tcMar>
          </w:tcPr>
          <w:p w14:paraId="58B791AA" w14:textId="77777777" w:rsidR="004C07C1" w:rsidRPr="00FF77F6" w:rsidRDefault="004C07C1" w:rsidP="0081723A">
            <w:pPr>
              <w:spacing w:before="40" w:after="120"/>
              <w:ind w:left="360" w:hanging="360"/>
              <w:rPr>
                <w:rFonts w:eastAsia="Times New Roman" w:cs="Times New Roman"/>
                <w:sz w:val="20"/>
                <w:szCs w:val="20"/>
              </w:rPr>
            </w:pPr>
            <w:r w:rsidRPr="00FF77F6">
              <w:rPr>
                <w:rFonts w:eastAsia="Times New Roman" w:cs="Times New Roman"/>
                <w:sz w:val="20"/>
                <w:szCs w:val="20"/>
              </w:rPr>
              <w:t>4. Occurrences related to the identification of new safety-relevant scenarios</w:t>
            </w:r>
          </w:p>
        </w:tc>
        <w:tc>
          <w:tcPr>
            <w:tcW w:w="0" w:type="auto"/>
            <w:tcBorders>
              <w:top w:val="single" w:sz="8" w:space="0" w:color="auto"/>
              <w:left w:val="single" w:sz="8" w:space="0" w:color="auto"/>
              <w:bottom w:val="single" w:sz="12" w:space="0" w:color="auto"/>
              <w:right w:val="single" w:sz="8" w:space="0" w:color="auto"/>
            </w:tcBorders>
            <w:shd w:val="clear" w:color="auto" w:fill="auto"/>
            <w:tcMar>
              <w:left w:w="108" w:type="dxa"/>
              <w:right w:w="108" w:type="dxa"/>
            </w:tcMar>
          </w:tcPr>
          <w:p w14:paraId="155C1907" w14:textId="77777777" w:rsidR="004C07C1" w:rsidRPr="00FF77F6" w:rsidRDefault="004C07C1" w:rsidP="0081723A">
            <w:pPr>
              <w:spacing w:before="40" w:after="120"/>
              <w:rPr>
                <w:rFonts w:eastAsia="Times New Roman" w:cs="Times New Roman"/>
                <w:sz w:val="20"/>
                <w:szCs w:val="20"/>
              </w:rPr>
            </w:pPr>
            <w:r w:rsidRPr="00FF77F6">
              <w:rPr>
                <w:rFonts w:eastAsia="Times New Roman" w:cs="Times New Roman"/>
                <w:sz w:val="20"/>
                <w:szCs w:val="20"/>
              </w:rPr>
              <w:t xml:space="preserve"> (already covered under 1.a, 1.b, 1.c and 3,d)</w:t>
            </w:r>
          </w:p>
        </w:tc>
        <w:tc>
          <w:tcPr>
            <w:tcW w:w="0" w:type="auto"/>
            <w:tcBorders>
              <w:top w:val="single" w:sz="8" w:space="0" w:color="auto"/>
              <w:left w:val="single" w:sz="8" w:space="0" w:color="auto"/>
              <w:bottom w:val="single" w:sz="12" w:space="0" w:color="auto"/>
              <w:right w:val="single" w:sz="8" w:space="0" w:color="auto"/>
            </w:tcBorders>
            <w:shd w:val="clear" w:color="auto" w:fill="auto"/>
            <w:tcMar>
              <w:left w:w="108" w:type="dxa"/>
              <w:right w:w="108" w:type="dxa"/>
            </w:tcMar>
          </w:tcPr>
          <w:p w14:paraId="0938D519" w14:textId="77777777" w:rsidR="004C07C1" w:rsidRPr="00FF77F6" w:rsidRDefault="004C07C1" w:rsidP="0081723A">
            <w:pPr>
              <w:spacing w:before="40" w:after="120"/>
              <w:rPr>
                <w:rFonts w:eastAsia="Times New Roman" w:cs="Times New Roman"/>
                <w:sz w:val="20"/>
                <w:szCs w:val="20"/>
              </w:rPr>
            </w:pPr>
            <w:r w:rsidRPr="00FF77F6">
              <w:rPr>
                <w:rFonts w:eastAsia="Times New Roman" w:cs="Times New Roman"/>
                <w:sz w:val="20"/>
                <w:szCs w:val="20"/>
              </w:rPr>
              <w:t>X</w:t>
            </w:r>
          </w:p>
        </w:tc>
      </w:tr>
    </w:tbl>
    <w:p w14:paraId="3C8E4477" w14:textId="747EA13C" w:rsidR="00FA2F23" w:rsidRPr="00FA2F23" w:rsidRDefault="00FA2F23" w:rsidP="00FA2F23">
      <w:pPr>
        <w:rPr>
          <w:rFonts w:eastAsia="Times New Roman" w:cs="Times New Roman"/>
          <w:i/>
          <w:color w:val="4472C4" w:themeColor="accent1"/>
          <w:sz w:val="20"/>
          <w:szCs w:val="20"/>
        </w:rPr>
      </w:pPr>
      <w:r w:rsidRPr="00FA2F23">
        <w:rPr>
          <w:rFonts w:eastAsia="Times New Roman" w:cs="Times New Roman"/>
          <w:i/>
          <w:color w:val="4472C4" w:themeColor="accent1"/>
          <w:sz w:val="20"/>
          <w:szCs w:val="20"/>
          <w:vertAlign w:val="superscript"/>
        </w:rPr>
        <w:t>1</w:t>
      </w:r>
      <w:r w:rsidRPr="00FA2F23">
        <w:rPr>
          <w:rFonts w:eastAsia="Times New Roman" w:cs="Times New Roman"/>
          <w:i/>
          <w:color w:val="4472C4" w:themeColor="accent1"/>
          <w:sz w:val="20"/>
          <w:szCs w:val="20"/>
        </w:rPr>
        <w:t xml:space="preserve"> If such an occurrence also belongs to one of the remaining sub-categories listed in the occurrence table, the following provisions apply: </w:t>
      </w:r>
    </w:p>
    <w:p w14:paraId="38E56C96" w14:textId="77777777" w:rsidR="00FA2F23" w:rsidRPr="00FA2F23" w:rsidRDefault="00FA2F23" w:rsidP="00FA2F23">
      <w:pPr>
        <w:pStyle w:val="ListParagraph"/>
        <w:numPr>
          <w:ilvl w:val="0"/>
          <w:numId w:val="16"/>
        </w:numPr>
        <w:rPr>
          <w:rFonts w:eastAsia="Times New Roman" w:cs="Times New Roman"/>
          <w:i/>
          <w:color w:val="4472C4" w:themeColor="accent1"/>
          <w:sz w:val="20"/>
          <w:szCs w:val="20"/>
        </w:rPr>
      </w:pPr>
      <w:r w:rsidRPr="00FA2F23">
        <w:rPr>
          <w:rFonts w:eastAsia="Times New Roman" w:cs="Times New Roman"/>
          <w:i/>
          <w:color w:val="4472C4" w:themeColor="accent1"/>
          <w:sz w:val="20"/>
          <w:szCs w:val="20"/>
        </w:rPr>
        <w:t>Short term report: there is no need to double-report such occurrence also as part of one of the remaining categories listed in the table.</w:t>
      </w:r>
    </w:p>
    <w:p w14:paraId="649CF605" w14:textId="6CEA4EE8" w:rsidR="004C07C1" w:rsidRPr="00FA2F23" w:rsidRDefault="00FA2F23" w:rsidP="00FA2F23">
      <w:pPr>
        <w:pStyle w:val="ListParagraph"/>
        <w:numPr>
          <w:ilvl w:val="0"/>
          <w:numId w:val="16"/>
        </w:numPr>
        <w:rPr>
          <w:i/>
          <w:color w:val="4472C4" w:themeColor="accent1"/>
          <w:lang w:val="en-GB"/>
        </w:rPr>
      </w:pPr>
      <w:r w:rsidRPr="00FA2F23">
        <w:rPr>
          <w:rFonts w:eastAsia="Times New Roman" w:cs="Times New Roman"/>
          <w:i/>
          <w:color w:val="4472C4" w:themeColor="accent1"/>
          <w:sz w:val="20"/>
          <w:szCs w:val="20"/>
        </w:rPr>
        <w:t>Periodic reporting: the occurrence should be double-reported both as part of critical occurrence and as occurrence belonging to one of the remaining categories listed in the table. However, the report shall specifically note this aspect.</w:t>
      </w:r>
    </w:p>
    <w:p w14:paraId="73E21B9B" w14:textId="32B30D3A" w:rsidR="00FA2F23" w:rsidRDefault="00FA2F23" w:rsidP="00FA2F23">
      <w:pPr>
        <w:rPr>
          <w:rFonts w:eastAsia="Times New Roman" w:cs="Times New Roman"/>
          <w:i/>
          <w:color w:val="4472C4" w:themeColor="accent1"/>
          <w:sz w:val="20"/>
          <w:szCs w:val="20"/>
        </w:rPr>
      </w:pPr>
      <w:r w:rsidRPr="00FA2F23">
        <w:rPr>
          <w:i/>
          <w:color w:val="4472C4" w:themeColor="accent1"/>
          <w:vertAlign w:val="superscript"/>
          <w:lang w:val="en-GB"/>
        </w:rPr>
        <w:t>2</w:t>
      </w:r>
      <w:r w:rsidRPr="00FA2F23">
        <w:rPr>
          <w:rFonts w:eastAsia="Times New Roman" w:cs="Times New Roman"/>
          <w:i/>
          <w:color w:val="4472C4" w:themeColor="accent1"/>
          <w:sz w:val="20"/>
          <w:szCs w:val="20"/>
        </w:rPr>
        <w:t>This occurrence does not cover remote driving, but rather events in which the ADS will require remote assistance to cope with very specific situations</w:t>
      </w:r>
      <w:r w:rsidR="006306F6">
        <w:rPr>
          <w:rFonts w:eastAsia="Times New Roman" w:cs="Times New Roman"/>
          <w:i/>
          <w:color w:val="4472C4" w:themeColor="accent1"/>
          <w:sz w:val="20"/>
          <w:szCs w:val="20"/>
        </w:rPr>
        <w:t>.</w:t>
      </w:r>
    </w:p>
    <w:p w14:paraId="3F33B963" w14:textId="3F0566BF" w:rsidR="006306F6" w:rsidRPr="006306F6" w:rsidRDefault="006306F6" w:rsidP="006306F6">
      <w:pPr>
        <w:rPr>
          <w:rFonts w:eastAsia="Times New Roman" w:cs="Times New Roman"/>
          <w:i/>
          <w:color w:val="4472C4" w:themeColor="accent1"/>
          <w:sz w:val="20"/>
          <w:szCs w:val="20"/>
        </w:rPr>
      </w:pPr>
      <w:r>
        <w:rPr>
          <w:rFonts w:eastAsia="Times New Roman" w:cs="Times New Roman"/>
          <w:i/>
          <w:color w:val="4472C4" w:themeColor="accent1"/>
          <w:sz w:val="20"/>
          <w:szCs w:val="20"/>
          <w:vertAlign w:val="superscript"/>
        </w:rPr>
        <w:t>3</w:t>
      </w:r>
      <w:r w:rsidRPr="006306F6">
        <w:rPr>
          <w:rFonts w:eastAsia="Times New Roman" w:cs="Times New Roman"/>
          <w:i/>
          <w:color w:val="4472C4" w:themeColor="accent1"/>
          <w:sz w:val="20"/>
          <w:szCs w:val="20"/>
        </w:rPr>
        <w:t>At aggregate level, this information can provide useful information on the validity of the HMI concept and on the need to provide more effective procedures for keeping the fall-back user available</w:t>
      </w:r>
      <w:r>
        <w:rPr>
          <w:rFonts w:eastAsia="Times New Roman" w:cs="Times New Roman"/>
          <w:i/>
          <w:color w:val="4472C4" w:themeColor="accent1"/>
          <w:sz w:val="20"/>
          <w:szCs w:val="20"/>
        </w:rPr>
        <w:t>.</w:t>
      </w:r>
    </w:p>
    <w:p w14:paraId="1A8053CA" w14:textId="4D438786" w:rsidR="006306F6" w:rsidRPr="006306F6" w:rsidRDefault="006306F6" w:rsidP="006306F6">
      <w:pPr>
        <w:rPr>
          <w:rFonts w:eastAsia="Times New Roman" w:cs="Times New Roman"/>
          <w:i/>
          <w:color w:val="4472C4" w:themeColor="accent1"/>
          <w:sz w:val="20"/>
          <w:szCs w:val="20"/>
          <w:lang w:val="en-GB"/>
        </w:rPr>
      </w:pPr>
      <w:r>
        <w:rPr>
          <w:rFonts w:eastAsia="Times New Roman" w:cs="Times New Roman"/>
          <w:i/>
          <w:color w:val="4472C4" w:themeColor="accent1"/>
          <w:sz w:val="20"/>
          <w:szCs w:val="20"/>
          <w:vertAlign w:val="superscript"/>
        </w:rPr>
        <w:t>4</w:t>
      </w:r>
      <w:r w:rsidRPr="006306F6">
        <w:rPr>
          <w:rFonts w:eastAsia="Times New Roman" w:cs="Times New Roman"/>
          <w:i/>
          <w:iCs/>
          <w:color w:val="4472C4" w:themeColor="accent1"/>
          <w:sz w:val="20"/>
          <w:szCs w:val="20"/>
          <w:lang w:val="en-US"/>
        </w:rPr>
        <w:t>It is acknowledged that there is no obligation to implement such design solution. However, such information can provide useful information to evaluate the safety benefi</w:t>
      </w:r>
      <w:r>
        <w:rPr>
          <w:rFonts w:eastAsia="Times New Roman" w:cs="Times New Roman"/>
          <w:i/>
          <w:iCs/>
          <w:color w:val="4472C4" w:themeColor="accent1"/>
          <w:sz w:val="20"/>
          <w:szCs w:val="20"/>
          <w:lang w:val="en-US"/>
        </w:rPr>
        <w:t>t of implementing such solution.</w:t>
      </w:r>
      <w:r w:rsidRPr="006306F6">
        <w:rPr>
          <w:rFonts w:eastAsia="Times New Roman" w:cs="Times New Roman"/>
          <w:i/>
          <w:iCs/>
          <w:color w:val="4472C4" w:themeColor="accent1"/>
          <w:sz w:val="20"/>
          <w:szCs w:val="20"/>
          <w:lang w:val="en-US"/>
        </w:rPr>
        <w:t xml:space="preserve"> </w:t>
      </w:r>
    </w:p>
    <w:p w14:paraId="3FF770A7" w14:textId="77777777" w:rsidR="00330FFC" w:rsidRDefault="00330FFC" w:rsidP="00330FFC">
      <w:pPr>
        <w:spacing w:before="480" w:after="120"/>
        <w:ind w:left="1440" w:hanging="1440"/>
        <w:rPr>
          <w:b/>
          <w:bCs/>
          <w:noProof/>
        </w:rPr>
      </w:pPr>
    </w:p>
    <w:p w14:paraId="0F3BEFD7" w14:textId="77777777" w:rsidR="00330FFC" w:rsidRDefault="00330FFC" w:rsidP="00330FFC">
      <w:pPr>
        <w:spacing w:before="480" w:after="120"/>
        <w:ind w:left="1440" w:hanging="1440"/>
        <w:rPr>
          <w:b/>
          <w:bCs/>
          <w:noProof/>
        </w:rPr>
      </w:pPr>
    </w:p>
    <w:p w14:paraId="2CA4429F" w14:textId="77777777" w:rsidR="00330FFC" w:rsidRDefault="00330FFC" w:rsidP="00330FFC">
      <w:pPr>
        <w:spacing w:before="480" w:after="120"/>
        <w:ind w:left="1440" w:hanging="1440"/>
        <w:rPr>
          <w:b/>
          <w:bCs/>
          <w:noProof/>
        </w:rPr>
      </w:pPr>
    </w:p>
    <w:p w14:paraId="752A9AE7" w14:textId="77777777" w:rsidR="00330FFC" w:rsidRDefault="00330FFC" w:rsidP="00330FFC">
      <w:pPr>
        <w:spacing w:before="480" w:after="120"/>
        <w:ind w:left="1440" w:hanging="1440"/>
        <w:rPr>
          <w:b/>
          <w:bCs/>
          <w:noProof/>
        </w:rPr>
      </w:pPr>
    </w:p>
    <w:p w14:paraId="40CE210B" w14:textId="77777777" w:rsidR="00331ACC" w:rsidRPr="0008064C" w:rsidRDefault="00331ACC" w:rsidP="00331ACC">
      <w:pPr>
        <w:spacing w:before="480" w:after="120"/>
        <w:ind w:left="1440" w:hanging="1440"/>
        <w:rPr>
          <w:b/>
          <w:bCs/>
          <w:noProof/>
        </w:rPr>
      </w:pPr>
      <w:r w:rsidRPr="0008064C">
        <w:rPr>
          <w:b/>
          <w:bCs/>
          <w:noProof/>
        </w:rPr>
        <w:lastRenderedPageBreak/>
        <w:t xml:space="preserve">Annex 8: </w:t>
      </w:r>
      <w:r w:rsidRPr="0008064C">
        <w:rPr>
          <w:b/>
          <w:bCs/>
          <w:noProof/>
        </w:rPr>
        <w:tab/>
        <w:t>ISMR reporting templates</w:t>
      </w:r>
      <w:r>
        <w:rPr>
          <w:b/>
          <w:bCs/>
          <w:noProof/>
        </w:rPr>
        <w:t xml:space="preserve"> (Page 143)</w:t>
      </w:r>
    </w:p>
    <w:p w14:paraId="3ED67964" w14:textId="77777777" w:rsidR="00331ACC" w:rsidRDefault="00331ACC" w:rsidP="00331ACC">
      <w:r>
        <w:t xml:space="preserve">Periodic reporting table </w:t>
      </w:r>
    </w:p>
    <w:tbl>
      <w:tblPr>
        <w:tblStyle w:val="TableGrid"/>
        <w:tblpPr w:leftFromText="180" w:rightFromText="180" w:vertAnchor="page" w:horzAnchor="margin" w:tblpY="2737"/>
        <w:tblW w:w="7645" w:type="dxa"/>
        <w:tblLayout w:type="fixed"/>
        <w:tblLook w:val="04A0" w:firstRow="1" w:lastRow="0" w:firstColumn="1" w:lastColumn="0" w:noHBand="0" w:noVBand="1"/>
      </w:tblPr>
      <w:tblGrid>
        <w:gridCol w:w="3415"/>
        <w:gridCol w:w="2250"/>
        <w:gridCol w:w="1980"/>
      </w:tblGrid>
      <w:tr w:rsidR="00331ACC" w:rsidRPr="000E5ACD" w14:paraId="076987EE" w14:textId="77777777" w:rsidTr="00630FF3">
        <w:trPr>
          <w:trHeight w:val="340"/>
        </w:trPr>
        <w:tc>
          <w:tcPr>
            <w:tcW w:w="7645" w:type="dxa"/>
            <w:gridSpan w:val="3"/>
            <w:tcBorders>
              <w:top w:val="single" w:sz="4" w:space="0" w:color="auto"/>
              <w:left w:val="single" w:sz="4" w:space="0" w:color="auto"/>
              <w:bottom w:val="single" w:sz="18" w:space="0" w:color="auto"/>
              <w:right w:val="single" w:sz="4" w:space="0" w:color="auto"/>
            </w:tcBorders>
          </w:tcPr>
          <w:p w14:paraId="44FBB55D" w14:textId="77777777" w:rsidR="00331ACC" w:rsidRPr="000E5ACD" w:rsidRDefault="00331ACC" w:rsidP="00630FF3">
            <w:pPr>
              <w:pStyle w:val="SingleTxtG"/>
              <w:spacing w:after="0"/>
              <w:ind w:left="0" w:right="0"/>
              <w:rPr>
                <w:rFonts w:ascii="Calibri" w:eastAsia="Calibri" w:hAnsi="Calibri" w:cs="Calibri"/>
                <w:b/>
                <w:bCs/>
                <w:sz w:val="24"/>
                <w:szCs w:val="24"/>
              </w:rPr>
            </w:pPr>
            <w:r w:rsidRPr="000E5ACD">
              <w:rPr>
                <w:b/>
                <w:bCs/>
              </w:rPr>
              <w:t>OCCURRENCES ASSESSMENT</w:t>
            </w:r>
          </w:p>
        </w:tc>
      </w:tr>
      <w:tr w:rsidR="00331ACC" w:rsidRPr="000E5ACD" w14:paraId="59A971E9" w14:textId="77777777" w:rsidTr="00630FF3">
        <w:trPr>
          <w:trHeight w:val="340"/>
        </w:trPr>
        <w:tc>
          <w:tcPr>
            <w:tcW w:w="3415" w:type="dxa"/>
            <w:tcBorders>
              <w:top w:val="single" w:sz="18" w:space="0" w:color="auto"/>
              <w:left w:val="single" w:sz="4" w:space="0" w:color="auto"/>
            </w:tcBorders>
          </w:tcPr>
          <w:p w14:paraId="76907273" w14:textId="77777777" w:rsidR="00331ACC" w:rsidRPr="000E5ACD" w:rsidRDefault="00331ACC" w:rsidP="00630FF3">
            <w:pPr>
              <w:pStyle w:val="SingleTxtG"/>
              <w:spacing w:after="0"/>
              <w:ind w:left="0" w:right="0"/>
              <w:jc w:val="left"/>
            </w:pPr>
            <w:r w:rsidRPr="000E5ACD">
              <w:t>Cumulative number of occurrences</w:t>
            </w:r>
          </w:p>
        </w:tc>
        <w:tc>
          <w:tcPr>
            <w:tcW w:w="2250" w:type="dxa"/>
            <w:tcBorders>
              <w:top w:val="single" w:sz="18" w:space="0" w:color="auto"/>
              <w:right w:val="single" w:sz="2" w:space="0" w:color="auto"/>
            </w:tcBorders>
            <w:shd w:val="clear" w:color="auto" w:fill="D9E2F3" w:themeFill="accent1" w:themeFillTint="33"/>
          </w:tcPr>
          <w:p w14:paraId="1E83A070" w14:textId="77777777" w:rsidR="00331ACC" w:rsidRPr="000E5ACD" w:rsidRDefault="00331ACC" w:rsidP="00630FF3">
            <w:pPr>
              <w:pStyle w:val="SingleTxtG"/>
              <w:spacing w:after="0"/>
              <w:ind w:left="0" w:right="0"/>
            </w:pPr>
          </w:p>
        </w:tc>
        <w:tc>
          <w:tcPr>
            <w:tcW w:w="1980" w:type="dxa"/>
            <w:tcBorders>
              <w:top w:val="single" w:sz="18" w:space="0" w:color="auto"/>
              <w:left w:val="single" w:sz="2" w:space="0" w:color="auto"/>
              <w:right w:val="single" w:sz="4" w:space="0" w:color="auto"/>
            </w:tcBorders>
            <w:shd w:val="clear" w:color="auto" w:fill="auto"/>
          </w:tcPr>
          <w:p w14:paraId="3AAEA980" w14:textId="77777777" w:rsidR="00331ACC" w:rsidRPr="000E5ACD" w:rsidRDefault="00331ACC" w:rsidP="00630FF3">
            <w:pPr>
              <w:pStyle w:val="SingleTxtG"/>
              <w:spacing w:after="0"/>
              <w:ind w:left="0" w:right="0"/>
            </w:pPr>
            <w:r w:rsidRPr="000E5ACD">
              <w:t>Number(10)</w:t>
            </w:r>
          </w:p>
        </w:tc>
      </w:tr>
      <w:tr w:rsidR="00331ACC" w:rsidRPr="000E5ACD" w14:paraId="1157E53D" w14:textId="77777777" w:rsidTr="00630FF3">
        <w:trPr>
          <w:trHeight w:val="340"/>
        </w:trPr>
        <w:tc>
          <w:tcPr>
            <w:tcW w:w="3415" w:type="dxa"/>
            <w:tcBorders>
              <w:left w:val="single" w:sz="4" w:space="0" w:color="auto"/>
            </w:tcBorders>
          </w:tcPr>
          <w:p w14:paraId="5483CC63" w14:textId="77777777" w:rsidR="00331ACC" w:rsidRPr="000E5ACD" w:rsidRDefault="00331ACC" w:rsidP="00630FF3">
            <w:pPr>
              <w:pStyle w:val="SingleTxtG"/>
              <w:spacing w:after="0"/>
              <w:ind w:left="0" w:right="0"/>
              <w:jc w:val="left"/>
            </w:pPr>
            <w:r w:rsidRPr="000E5ACD">
              <w:t>Occurrences covered under the short-term reporting provisions</w:t>
            </w:r>
          </w:p>
        </w:tc>
        <w:tc>
          <w:tcPr>
            <w:tcW w:w="2250" w:type="dxa"/>
            <w:tcBorders>
              <w:right w:val="single" w:sz="2" w:space="0" w:color="auto"/>
            </w:tcBorders>
            <w:shd w:val="clear" w:color="auto" w:fill="D9E2F3" w:themeFill="accent1" w:themeFillTint="33"/>
          </w:tcPr>
          <w:p w14:paraId="5F44DC83" w14:textId="77777777" w:rsidR="00331ACC" w:rsidRPr="000E5ACD" w:rsidRDefault="00331ACC" w:rsidP="00630FF3">
            <w:pPr>
              <w:pStyle w:val="SingleTxtG"/>
              <w:spacing w:after="0"/>
              <w:ind w:left="0" w:right="0"/>
            </w:pPr>
          </w:p>
        </w:tc>
        <w:tc>
          <w:tcPr>
            <w:tcW w:w="1980" w:type="dxa"/>
            <w:tcBorders>
              <w:left w:val="single" w:sz="2" w:space="0" w:color="auto"/>
              <w:right w:val="single" w:sz="4" w:space="0" w:color="auto"/>
            </w:tcBorders>
            <w:shd w:val="clear" w:color="auto" w:fill="auto"/>
          </w:tcPr>
          <w:p w14:paraId="6FCC72AA" w14:textId="77777777" w:rsidR="00331ACC" w:rsidRPr="000E5ACD" w:rsidRDefault="00331ACC" w:rsidP="00630FF3">
            <w:pPr>
              <w:pStyle w:val="SingleTxtG"/>
              <w:spacing w:after="0"/>
              <w:ind w:left="0" w:right="0"/>
            </w:pPr>
            <w:r w:rsidRPr="000E5ACD">
              <w:t>Number(10)</w:t>
            </w:r>
          </w:p>
        </w:tc>
      </w:tr>
      <w:tr w:rsidR="00331ACC" w:rsidRPr="000E5ACD" w14:paraId="2041718D" w14:textId="77777777" w:rsidTr="00630FF3">
        <w:trPr>
          <w:trHeight w:val="340"/>
        </w:trPr>
        <w:tc>
          <w:tcPr>
            <w:tcW w:w="3415" w:type="dxa"/>
            <w:tcBorders>
              <w:left w:val="single" w:sz="4" w:space="0" w:color="auto"/>
            </w:tcBorders>
          </w:tcPr>
          <w:p w14:paraId="740203D6" w14:textId="77777777" w:rsidR="00331ACC" w:rsidRPr="000E5ACD" w:rsidRDefault="00331ACC" w:rsidP="00630FF3">
            <w:pPr>
              <w:pStyle w:val="SingleTxtG"/>
              <w:numPr>
                <w:ilvl w:val="0"/>
                <w:numId w:val="19"/>
              </w:numPr>
              <w:spacing w:after="0"/>
              <w:ind w:left="0" w:right="0"/>
              <w:jc w:val="left"/>
            </w:pPr>
            <w:r w:rsidRPr="00FA2F23">
              <w:rPr>
                <w:rFonts w:eastAsia="Times New Roman"/>
                <w:strike/>
                <w:color w:val="FF0000"/>
              </w:rPr>
              <w:t>Safety</w:t>
            </w:r>
            <w:r w:rsidRPr="00FF77F6">
              <w:rPr>
                <w:rFonts w:eastAsia="Times New Roman"/>
              </w:rPr>
              <w:t xml:space="preserve"> critical occurrences known to the ADS manufacturer or OEM</w:t>
            </w:r>
          </w:p>
        </w:tc>
        <w:tc>
          <w:tcPr>
            <w:tcW w:w="2250" w:type="dxa"/>
            <w:tcBorders>
              <w:right w:val="single" w:sz="2" w:space="0" w:color="auto"/>
            </w:tcBorders>
            <w:shd w:val="clear" w:color="auto" w:fill="D9E2F3" w:themeFill="accent1" w:themeFillTint="33"/>
          </w:tcPr>
          <w:p w14:paraId="0C5A2F2B" w14:textId="77777777" w:rsidR="00331ACC" w:rsidRPr="000E5ACD" w:rsidRDefault="00331ACC" w:rsidP="00630FF3">
            <w:pPr>
              <w:pStyle w:val="SingleTxtG"/>
              <w:spacing w:after="0"/>
              <w:ind w:left="0" w:right="0"/>
            </w:pPr>
          </w:p>
        </w:tc>
        <w:tc>
          <w:tcPr>
            <w:tcW w:w="1980" w:type="dxa"/>
            <w:tcBorders>
              <w:left w:val="single" w:sz="2" w:space="0" w:color="auto"/>
              <w:right w:val="single" w:sz="4" w:space="0" w:color="auto"/>
            </w:tcBorders>
            <w:shd w:val="clear" w:color="auto" w:fill="auto"/>
          </w:tcPr>
          <w:p w14:paraId="7AD03300" w14:textId="77777777" w:rsidR="00331ACC" w:rsidRPr="000E5ACD" w:rsidRDefault="00331ACC" w:rsidP="00630FF3">
            <w:pPr>
              <w:pStyle w:val="SingleTxtG"/>
              <w:spacing w:after="0"/>
              <w:ind w:left="0" w:right="0"/>
            </w:pPr>
            <w:r w:rsidRPr="000E5ACD">
              <w:t>Number(10)</w:t>
            </w:r>
          </w:p>
        </w:tc>
      </w:tr>
      <w:tr w:rsidR="00331ACC" w:rsidRPr="000E5ACD" w14:paraId="3EBF1AFE" w14:textId="77777777" w:rsidTr="00630FF3">
        <w:trPr>
          <w:trHeight w:val="340"/>
        </w:trPr>
        <w:tc>
          <w:tcPr>
            <w:tcW w:w="3415" w:type="dxa"/>
            <w:tcBorders>
              <w:left w:val="single" w:sz="4" w:space="0" w:color="auto"/>
            </w:tcBorders>
          </w:tcPr>
          <w:p w14:paraId="09ADED17" w14:textId="77777777" w:rsidR="00331ACC" w:rsidRPr="000E5ACD" w:rsidRDefault="00331ACC" w:rsidP="00630FF3">
            <w:pPr>
              <w:pStyle w:val="SingleTxtG"/>
              <w:numPr>
                <w:ilvl w:val="0"/>
                <w:numId w:val="19"/>
              </w:numPr>
              <w:spacing w:after="0"/>
              <w:ind w:left="0" w:right="0"/>
              <w:jc w:val="left"/>
            </w:pPr>
            <w:r w:rsidRPr="000E5ACD">
              <w:t>Occurrences related to ADS operation outside its ODD</w:t>
            </w:r>
          </w:p>
        </w:tc>
        <w:tc>
          <w:tcPr>
            <w:tcW w:w="2250" w:type="dxa"/>
            <w:tcBorders>
              <w:right w:val="single" w:sz="2" w:space="0" w:color="auto"/>
            </w:tcBorders>
            <w:shd w:val="clear" w:color="auto" w:fill="D9E2F3" w:themeFill="accent1" w:themeFillTint="33"/>
          </w:tcPr>
          <w:p w14:paraId="706D4E0A" w14:textId="77777777" w:rsidR="00331ACC" w:rsidRPr="000E5ACD" w:rsidRDefault="00331ACC" w:rsidP="00630FF3">
            <w:pPr>
              <w:pStyle w:val="SingleTxtG"/>
              <w:spacing w:after="0"/>
              <w:ind w:left="0" w:right="0"/>
            </w:pPr>
          </w:p>
        </w:tc>
        <w:tc>
          <w:tcPr>
            <w:tcW w:w="1980" w:type="dxa"/>
            <w:tcBorders>
              <w:left w:val="single" w:sz="2" w:space="0" w:color="auto"/>
              <w:right w:val="single" w:sz="4" w:space="0" w:color="auto"/>
            </w:tcBorders>
            <w:shd w:val="clear" w:color="auto" w:fill="auto"/>
          </w:tcPr>
          <w:p w14:paraId="2C57C8CD" w14:textId="77777777" w:rsidR="00331ACC" w:rsidRPr="000E5ACD" w:rsidRDefault="00331ACC" w:rsidP="00630FF3">
            <w:pPr>
              <w:pStyle w:val="SingleTxtG"/>
              <w:spacing w:after="0"/>
              <w:ind w:left="0" w:right="0"/>
            </w:pPr>
            <w:r w:rsidRPr="000E5ACD">
              <w:t>Number(10)</w:t>
            </w:r>
          </w:p>
        </w:tc>
      </w:tr>
      <w:tr w:rsidR="00331ACC" w:rsidRPr="000E5ACD" w14:paraId="6A4971C5" w14:textId="77777777" w:rsidTr="00630FF3">
        <w:trPr>
          <w:trHeight w:val="340"/>
        </w:trPr>
        <w:tc>
          <w:tcPr>
            <w:tcW w:w="3415" w:type="dxa"/>
            <w:tcBorders>
              <w:left w:val="single" w:sz="4" w:space="0" w:color="auto"/>
            </w:tcBorders>
          </w:tcPr>
          <w:p w14:paraId="447B56CB" w14:textId="77777777" w:rsidR="00331ACC" w:rsidRPr="000E5ACD" w:rsidRDefault="00331ACC" w:rsidP="00630FF3">
            <w:pPr>
              <w:pStyle w:val="SingleTxtG"/>
              <w:numPr>
                <w:ilvl w:val="0"/>
                <w:numId w:val="19"/>
              </w:numPr>
              <w:spacing w:after="0"/>
              <w:ind w:left="0" w:right="0"/>
              <w:jc w:val="left"/>
            </w:pPr>
            <w:r w:rsidRPr="000E5ACD">
              <w:t>ADS failure to achieve a minimal risk condition when necessary</w:t>
            </w:r>
          </w:p>
        </w:tc>
        <w:tc>
          <w:tcPr>
            <w:tcW w:w="2250" w:type="dxa"/>
            <w:tcBorders>
              <w:right w:val="single" w:sz="2" w:space="0" w:color="auto"/>
            </w:tcBorders>
            <w:shd w:val="clear" w:color="auto" w:fill="D9E2F3" w:themeFill="accent1" w:themeFillTint="33"/>
          </w:tcPr>
          <w:p w14:paraId="4ABD7F64" w14:textId="77777777" w:rsidR="00331ACC" w:rsidRPr="000E5ACD" w:rsidRDefault="00331ACC" w:rsidP="00630FF3">
            <w:pPr>
              <w:pStyle w:val="SingleTxtG"/>
              <w:spacing w:after="0"/>
              <w:ind w:left="0" w:right="0"/>
            </w:pPr>
          </w:p>
        </w:tc>
        <w:tc>
          <w:tcPr>
            <w:tcW w:w="1980" w:type="dxa"/>
            <w:tcBorders>
              <w:left w:val="single" w:sz="2" w:space="0" w:color="auto"/>
              <w:right w:val="single" w:sz="4" w:space="0" w:color="auto"/>
            </w:tcBorders>
            <w:shd w:val="clear" w:color="auto" w:fill="auto"/>
          </w:tcPr>
          <w:p w14:paraId="62CCEA68" w14:textId="77777777" w:rsidR="00331ACC" w:rsidRPr="000E5ACD" w:rsidRDefault="00331ACC" w:rsidP="00630FF3">
            <w:pPr>
              <w:pStyle w:val="SingleTxtG"/>
              <w:spacing w:after="0"/>
              <w:ind w:left="0" w:right="0"/>
            </w:pPr>
            <w:r w:rsidRPr="000E5ACD">
              <w:t>Number(10)</w:t>
            </w:r>
          </w:p>
        </w:tc>
      </w:tr>
      <w:tr w:rsidR="00331ACC" w:rsidRPr="000E5ACD" w14:paraId="6BA2B93E" w14:textId="77777777" w:rsidTr="00630FF3">
        <w:trPr>
          <w:trHeight w:val="340"/>
        </w:trPr>
        <w:tc>
          <w:tcPr>
            <w:tcW w:w="3415" w:type="dxa"/>
            <w:tcBorders>
              <w:left w:val="single" w:sz="4" w:space="0" w:color="auto"/>
            </w:tcBorders>
          </w:tcPr>
          <w:p w14:paraId="1E9E722D" w14:textId="77777777" w:rsidR="00331ACC" w:rsidRPr="000E5ACD" w:rsidRDefault="00331ACC" w:rsidP="00630FF3">
            <w:pPr>
              <w:pStyle w:val="SingleTxtG"/>
              <w:numPr>
                <w:ilvl w:val="0"/>
                <w:numId w:val="19"/>
              </w:numPr>
              <w:spacing w:after="0"/>
              <w:ind w:left="0" w:right="0"/>
              <w:jc w:val="left"/>
            </w:pPr>
            <w:r w:rsidRPr="000E5ACD">
              <w:t>Modifications made by the ADS manufacturer or OEM to address an identified and significant ADS safety issue</w:t>
            </w:r>
          </w:p>
        </w:tc>
        <w:tc>
          <w:tcPr>
            <w:tcW w:w="2250" w:type="dxa"/>
            <w:tcBorders>
              <w:right w:val="single" w:sz="2" w:space="0" w:color="auto"/>
            </w:tcBorders>
            <w:shd w:val="clear" w:color="auto" w:fill="D9E2F3" w:themeFill="accent1" w:themeFillTint="33"/>
          </w:tcPr>
          <w:p w14:paraId="3F8EF97F" w14:textId="77777777" w:rsidR="00331ACC" w:rsidRPr="000E5ACD" w:rsidRDefault="00331ACC" w:rsidP="00630FF3">
            <w:pPr>
              <w:pStyle w:val="SingleTxtG"/>
              <w:spacing w:after="0"/>
              <w:ind w:left="0" w:right="0"/>
            </w:pPr>
          </w:p>
        </w:tc>
        <w:tc>
          <w:tcPr>
            <w:tcW w:w="1980" w:type="dxa"/>
            <w:tcBorders>
              <w:left w:val="single" w:sz="2" w:space="0" w:color="auto"/>
              <w:right w:val="single" w:sz="4" w:space="0" w:color="auto"/>
            </w:tcBorders>
            <w:shd w:val="clear" w:color="auto" w:fill="auto"/>
          </w:tcPr>
          <w:p w14:paraId="6B064C1C" w14:textId="77777777" w:rsidR="00331ACC" w:rsidRPr="000E5ACD" w:rsidRDefault="00331ACC" w:rsidP="00630FF3">
            <w:pPr>
              <w:pStyle w:val="SingleTxtG"/>
              <w:spacing w:after="0"/>
              <w:ind w:left="0" w:right="0"/>
            </w:pPr>
            <w:r w:rsidRPr="000E5ACD">
              <w:t>Number(10)</w:t>
            </w:r>
          </w:p>
        </w:tc>
      </w:tr>
      <w:tr w:rsidR="00331ACC" w:rsidRPr="000E5ACD" w14:paraId="21ACE71D" w14:textId="77777777" w:rsidTr="00630FF3">
        <w:trPr>
          <w:trHeight w:val="340"/>
        </w:trPr>
        <w:tc>
          <w:tcPr>
            <w:tcW w:w="3415" w:type="dxa"/>
            <w:tcBorders>
              <w:left w:val="single" w:sz="4" w:space="0" w:color="auto"/>
            </w:tcBorders>
          </w:tcPr>
          <w:p w14:paraId="5CA96F17" w14:textId="77777777" w:rsidR="00331ACC" w:rsidRPr="000E5ACD" w:rsidRDefault="00331ACC" w:rsidP="00630FF3">
            <w:pPr>
              <w:pStyle w:val="SingleTxtG"/>
              <w:spacing w:after="0"/>
              <w:ind w:left="0" w:right="0"/>
              <w:jc w:val="left"/>
            </w:pPr>
            <w:r w:rsidRPr="000E5ACD">
              <w:t>Occurrences covered under the periodic reporting provisions</w:t>
            </w:r>
          </w:p>
        </w:tc>
        <w:tc>
          <w:tcPr>
            <w:tcW w:w="2250" w:type="dxa"/>
            <w:tcBorders>
              <w:right w:val="single" w:sz="2" w:space="0" w:color="auto"/>
            </w:tcBorders>
            <w:shd w:val="clear" w:color="auto" w:fill="D9E2F3" w:themeFill="accent1" w:themeFillTint="33"/>
          </w:tcPr>
          <w:p w14:paraId="6B17B106" w14:textId="77777777" w:rsidR="00331ACC" w:rsidRPr="000E5ACD" w:rsidRDefault="00331ACC" w:rsidP="00630FF3">
            <w:pPr>
              <w:pStyle w:val="SingleTxtG"/>
              <w:spacing w:after="0"/>
              <w:ind w:left="0" w:right="0"/>
            </w:pPr>
          </w:p>
        </w:tc>
        <w:tc>
          <w:tcPr>
            <w:tcW w:w="1980" w:type="dxa"/>
            <w:tcBorders>
              <w:left w:val="single" w:sz="2" w:space="0" w:color="auto"/>
              <w:right w:val="single" w:sz="4" w:space="0" w:color="auto"/>
            </w:tcBorders>
            <w:shd w:val="clear" w:color="auto" w:fill="auto"/>
          </w:tcPr>
          <w:p w14:paraId="06EF340F" w14:textId="77777777" w:rsidR="00331ACC" w:rsidRPr="000E5ACD" w:rsidRDefault="00331ACC" w:rsidP="00630FF3">
            <w:pPr>
              <w:pStyle w:val="SingleTxtG"/>
              <w:spacing w:after="0"/>
              <w:ind w:left="0" w:right="0"/>
            </w:pPr>
            <w:r w:rsidRPr="000E5ACD">
              <w:t>Number(10)</w:t>
            </w:r>
          </w:p>
        </w:tc>
      </w:tr>
      <w:tr w:rsidR="00331ACC" w:rsidRPr="000E5ACD" w14:paraId="4CBEE45A" w14:textId="77777777" w:rsidTr="00630FF3">
        <w:trPr>
          <w:trHeight w:val="340"/>
        </w:trPr>
        <w:tc>
          <w:tcPr>
            <w:tcW w:w="3415" w:type="dxa"/>
            <w:tcBorders>
              <w:left w:val="single" w:sz="4" w:space="0" w:color="auto"/>
            </w:tcBorders>
          </w:tcPr>
          <w:p w14:paraId="012AF7D7" w14:textId="77777777" w:rsidR="00331ACC" w:rsidRPr="000E5ACD" w:rsidRDefault="00331ACC" w:rsidP="00630FF3">
            <w:pPr>
              <w:pStyle w:val="SingleTxtG"/>
              <w:numPr>
                <w:ilvl w:val="0"/>
                <w:numId w:val="19"/>
              </w:numPr>
              <w:spacing w:after="0"/>
              <w:ind w:left="0" w:right="0"/>
              <w:jc w:val="left"/>
            </w:pPr>
            <w:r w:rsidRPr="000E5ACD">
              <w:t xml:space="preserve">Communication-related occurrences  </w:t>
            </w:r>
          </w:p>
        </w:tc>
        <w:tc>
          <w:tcPr>
            <w:tcW w:w="2250" w:type="dxa"/>
            <w:tcBorders>
              <w:right w:val="single" w:sz="2" w:space="0" w:color="auto"/>
            </w:tcBorders>
            <w:shd w:val="clear" w:color="auto" w:fill="D9E2F3" w:themeFill="accent1" w:themeFillTint="33"/>
          </w:tcPr>
          <w:p w14:paraId="68729E56" w14:textId="77777777" w:rsidR="00331ACC" w:rsidRPr="000E5ACD" w:rsidRDefault="00331ACC" w:rsidP="00630FF3">
            <w:pPr>
              <w:pStyle w:val="SingleTxtG"/>
              <w:spacing w:after="0"/>
              <w:ind w:left="0" w:right="0"/>
            </w:pPr>
          </w:p>
        </w:tc>
        <w:tc>
          <w:tcPr>
            <w:tcW w:w="1980" w:type="dxa"/>
            <w:tcBorders>
              <w:left w:val="single" w:sz="2" w:space="0" w:color="auto"/>
              <w:right w:val="single" w:sz="4" w:space="0" w:color="auto"/>
            </w:tcBorders>
            <w:shd w:val="clear" w:color="auto" w:fill="auto"/>
          </w:tcPr>
          <w:p w14:paraId="10314208" w14:textId="77777777" w:rsidR="00331ACC" w:rsidRPr="000E5ACD" w:rsidRDefault="00331ACC" w:rsidP="00630FF3">
            <w:pPr>
              <w:pStyle w:val="SingleTxtG"/>
              <w:spacing w:after="0"/>
              <w:ind w:left="0" w:right="0"/>
            </w:pPr>
            <w:r w:rsidRPr="000E5ACD">
              <w:t>Number(10)</w:t>
            </w:r>
          </w:p>
        </w:tc>
      </w:tr>
      <w:tr w:rsidR="00331ACC" w:rsidRPr="000E5ACD" w14:paraId="60FD8343" w14:textId="77777777" w:rsidTr="00630FF3">
        <w:trPr>
          <w:trHeight w:val="340"/>
        </w:trPr>
        <w:tc>
          <w:tcPr>
            <w:tcW w:w="3415" w:type="dxa"/>
            <w:tcBorders>
              <w:left w:val="single" w:sz="4" w:space="0" w:color="auto"/>
            </w:tcBorders>
          </w:tcPr>
          <w:p w14:paraId="524B3A6B" w14:textId="77777777" w:rsidR="00331ACC" w:rsidRPr="000E5ACD" w:rsidRDefault="00331ACC" w:rsidP="00630FF3">
            <w:pPr>
              <w:pStyle w:val="SingleTxtG"/>
              <w:numPr>
                <w:ilvl w:val="0"/>
                <w:numId w:val="19"/>
              </w:numPr>
              <w:spacing w:after="0"/>
              <w:ind w:left="0" w:right="0"/>
              <w:jc w:val="left"/>
            </w:pPr>
            <w:r w:rsidRPr="000E5ACD">
              <w:t>Cybersecurity-related occurrences</w:t>
            </w:r>
          </w:p>
        </w:tc>
        <w:tc>
          <w:tcPr>
            <w:tcW w:w="2250" w:type="dxa"/>
            <w:tcBorders>
              <w:right w:val="single" w:sz="2" w:space="0" w:color="auto"/>
            </w:tcBorders>
            <w:shd w:val="clear" w:color="auto" w:fill="D9E2F3" w:themeFill="accent1" w:themeFillTint="33"/>
          </w:tcPr>
          <w:p w14:paraId="2B0D0007" w14:textId="77777777" w:rsidR="00331ACC" w:rsidRPr="000E5ACD" w:rsidRDefault="00331ACC" w:rsidP="00630FF3">
            <w:pPr>
              <w:pStyle w:val="SingleTxtG"/>
              <w:spacing w:after="0"/>
              <w:ind w:left="0" w:right="0"/>
            </w:pPr>
          </w:p>
        </w:tc>
        <w:tc>
          <w:tcPr>
            <w:tcW w:w="1980" w:type="dxa"/>
            <w:tcBorders>
              <w:left w:val="single" w:sz="2" w:space="0" w:color="auto"/>
              <w:right w:val="single" w:sz="4" w:space="0" w:color="auto"/>
            </w:tcBorders>
            <w:shd w:val="clear" w:color="auto" w:fill="auto"/>
          </w:tcPr>
          <w:p w14:paraId="2CC6C843" w14:textId="77777777" w:rsidR="00331ACC" w:rsidRPr="000E5ACD" w:rsidRDefault="00331ACC" w:rsidP="00630FF3">
            <w:pPr>
              <w:pStyle w:val="SingleTxtG"/>
              <w:spacing w:after="0"/>
              <w:ind w:left="0" w:right="0"/>
            </w:pPr>
            <w:r w:rsidRPr="000E5ACD">
              <w:t>Number(10)</w:t>
            </w:r>
          </w:p>
        </w:tc>
      </w:tr>
      <w:tr w:rsidR="00331ACC" w:rsidRPr="000E5ACD" w14:paraId="2ABBE516" w14:textId="77777777" w:rsidTr="00630FF3">
        <w:trPr>
          <w:trHeight w:val="340"/>
        </w:trPr>
        <w:tc>
          <w:tcPr>
            <w:tcW w:w="3415" w:type="dxa"/>
            <w:tcBorders>
              <w:left w:val="single" w:sz="4" w:space="0" w:color="auto"/>
            </w:tcBorders>
          </w:tcPr>
          <w:p w14:paraId="78A181C5" w14:textId="77777777" w:rsidR="00331ACC" w:rsidRPr="007F34CE" w:rsidRDefault="00331ACC" w:rsidP="00630FF3">
            <w:pPr>
              <w:pStyle w:val="SingleTxtG"/>
              <w:numPr>
                <w:ilvl w:val="0"/>
                <w:numId w:val="19"/>
              </w:numPr>
              <w:spacing w:after="0"/>
              <w:ind w:left="0" w:right="0"/>
              <w:jc w:val="left"/>
              <w:rPr>
                <w:b/>
                <w:bCs/>
                <w:strike/>
              </w:rPr>
            </w:pPr>
            <w:r w:rsidRPr="00FA2F23">
              <w:rPr>
                <w:rFonts w:eastAsia="Times New Roman"/>
                <w:strike/>
                <w:color w:val="FF0000"/>
              </w:rPr>
              <w:t>Interaction with remote operator if applicable</w:t>
            </w:r>
            <w:r w:rsidRPr="00FA2F23">
              <w:rPr>
                <w:rFonts w:eastAsia="Times New Roman"/>
                <w:color w:val="FF0000"/>
              </w:rPr>
              <w:t xml:space="preserve">  </w:t>
            </w:r>
            <w:r w:rsidRPr="00FA2F23">
              <w:rPr>
                <w:rFonts w:eastAsia="Times New Roman"/>
                <w:i/>
                <w:color w:val="4472C4" w:themeColor="accent1"/>
              </w:rPr>
              <w:t xml:space="preserve">Events where an activated ADS feature required interaction with a remote assistant </w:t>
            </w:r>
            <w:r>
              <w:rPr>
                <w:rFonts w:eastAsia="Times New Roman"/>
                <w:i/>
                <w:color w:val="4472C4" w:themeColor="accent1"/>
              </w:rPr>
              <w:t>to navigate a driving situation (if applicable)</w:t>
            </w:r>
          </w:p>
        </w:tc>
        <w:tc>
          <w:tcPr>
            <w:tcW w:w="2250" w:type="dxa"/>
            <w:tcBorders>
              <w:right w:val="single" w:sz="2" w:space="0" w:color="auto"/>
            </w:tcBorders>
            <w:shd w:val="clear" w:color="auto" w:fill="D9E2F3" w:themeFill="accent1" w:themeFillTint="33"/>
          </w:tcPr>
          <w:p w14:paraId="66FC5A00" w14:textId="77777777" w:rsidR="00331ACC" w:rsidRPr="000E5ACD" w:rsidRDefault="00331ACC" w:rsidP="00630FF3">
            <w:pPr>
              <w:pStyle w:val="SingleTxtG"/>
              <w:spacing w:after="0"/>
              <w:ind w:left="0" w:right="0"/>
            </w:pPr>
          </w:p>
        </w:tc>
        <w:tc>
          <w:tcPr>
            <w:tcW w:w="1980" w:type="dxa"/>
            <w:tcBorders>
              <w:left w:val="single" w:sz="2" w:space="0" w:color="auto"/>
              <w:right w:val="single" w:sz="4" w:space="0" w:color="auto"/>
            </w:tcBorders>
            <w:shd w:val="clear" w:color="auto" w:fill="auto"/>
          </w:tcPr>
          <w:p w14:paraId="7A15A084" w14:textId="77777777" w:rsidR="00331ACC" w:rsidRPr="000E5ACD" w:rsidRDefault="00331ACC" w:rsidP="00630FF3">
            <w:pPr>
              <w:pStyle w:val="SingleTxtG"/>
              <w:spacing w:after="0"/>
              <w:ind w:left="0" w:right="0"/>
            </w:pPr>
            <w:r w:rsidRPr="000E5ACD">
              <w:t>Number(10)</w:t>
            </w:r>
          </w:p>
        </w:tc>
      </w:tr>
      <w:tr w:rsidR="00331ACC" w:rsidRPr="000E5ACD" w14:paraId="6DFB11B4" w14:textId="77777777" w:rsidTr="00630FF3">
        <w:trPr>
          <w:trHeight w:val="340"/>
        </w:trPr>
        <w:tc>
          <w:tcPr>
            <w:tcW w:w="3415" w:type="dxa"/>
            <w:tcBorders>
              <w:left w:val="single" w:sz="4" w:space="0" w:color="auto"/>
            </w:tcBorders>
          </w:tcPr>
          <w:p w14:paraId="05503DA9" w14:textId="77777777" w:rsidR="00331ACC" w:rsidRPr="000E5ACD" w:rsidRDefault="00331ACC" w:rsidP="00630FF3">
            <w:pPr>
              <w:pStyle w:val="SingleTxtG"/>
              <w:numPr>
                <w:ilvl w:val="0"/>
                <w:numId w:val="19"/>
              </w:numPr>
              <w:spacing w:after="0"/>
              <w:ind w:left="0" w:right="0"/>
              <w:jc w:val="left"/>
            </w:pPr>
            <w:r w:rsidRPr="006306F6">
              <w:rPr>
                <w:rFonts w:eastAsia="Times New Roman"/>
                <w:strike/>
                <w:color w:val="FF0000"/>
              </w:rPr>
              <w:t xml:space="preserve">Driver </w:t>
            </w:r>
            <w:r>
              <w:rPr>
                <w:rFonts w:eastAsia="Times New Roman"/>
                <w:strike/>
                <w:color w:val="FF0000"/>
              </w:rPr>
              <w:t xml:space="preserve"> </w:t>
            </w:r>
            <w:r w:rsidRPr="006306F6">
              <w:rPr>
                <w:rFonts w:eastAsia="Times New Roman"/>
                <w:i/>
                <w:color w:val="4472C4" w:themeColor="accent1"/>
              </w:rPr>
              <w:t>Fall-back user</w:t>
            </w:r>
            <w:r w:rsidRPr="006306F6">
              <w:rPr>
                <w:rFonts w:eastAsia="Times New Roman"/>
                <w:color w:val="4472C4" w:themeColor="accent1"/>
              </w:rPr>
              <w:t xml:space="preserve"> </w:t>
            </w:r>
            <w:r w:rsidRPr="006306F6">
              <w:rPr>
                <w:rFonts w:eastAsia="Times New Roman"/>
              </w:rPr>
              <w:t xml:space="preserve">unavailability </w:t>
            </w:r>
            <w:r w:rsidRPr="00FF77F6">
              <w:rPr>
                <w:rFonts w:eastAsia="Times New Roman"/>
              </w:rPr>
              <w:t>(where applicable)</w:t>
            </w:r>
            <w:r w:rsidRPr="00FA2F23">
              <w:rPr>
                <w:rFonts w:eastAsia="Times New Roman"/>
                <w:i/>
                <w:color w:val="4472C4" w:themeColor="accent1"/>
                <w:vertAlign w:val="superscript"/>
              </w:rPr>
              <w:t xml:space="preserve"> </w:t>
            </w:r>
            <w:r>
              <w:rPr>
                <w:rFonts w:eastAsia="Times New Roman"/>
                <w:i/>
                <w:color w:val="4472C4" w:themeColor="accent1"/>
                <w:vertAlign w:val="superscript"/>
              </w:rPr>
              <w:t>3</w:t>
            </w:r>
            <w:r w:rsidRPr="00FF77F6">
              <w:rPr>
                <w:rFonts w:eastAsia="Times New Roman"/>
              </w:rPr>
              <w:t xml:space="preserve"> </w:t>
            </w:r>
            <w:r w:rsidRPr="006306F6">
              <w:rPr>
                <w:rFonts w:eastAsia="Times New Roman"/>
                <w:strike/>
                <w:color w:val="FF0000"/>
              </w:rPr>
              <w:t>and other user-related occurrences</w:t>
            </w:r>
          </w:p>
        </w:tc>
        <w:tc>
          <w:tcPr>
            <w:tcW w:w="2250" w:type="dxa"/>
            <w:tcBorders>
              <w:right w:val="single" w:sz="2" w:space="0" w:color="auto"/>
            </w:tcBorders>
            <w:shd w:val="clear" w:color="auto" w:fill="D9E2F3" w:themeFill="accent1" w:themeFillTint="33"/>
          </w:tcPr>
          <w:p w14:paraId="725A2680" w14:textId="77777777" w:rsidR="00331ACC" w:rsidRPr="000E5ACD" w:rsidRDefault="00331ACC" w:rsidP="00630FF3">
            <w:pPr>
              <w:pStyle w:val="SingleTxtG"/>
              <w:spacing w:after="0"/>
              <w:ind w:left="0" w:right="0"/>
            </w:pPr>
          </w:p>
        </w:tc>
        <w:tc>
          <w:tcPr>
            <w:tcW w:w="1980" w:type="dxa"/>
            <w:tcBorders>
              <w:left w:val="single" w:sz="2" w:space="0" w:color="auto"/>
              <w:right w:val="single" w:sz="4" w:space="0" w:color="auto"/>
            </w:tcBorders>
            <w:shd w:val="clear" w:color="auto" w:fill="auto"/>
          </w:tcPr>
          <w:p w14:paraId="0783FFDA" w14:textId="77777777" w:rsidR="00331ACC" w:rsidRPr="000E5ACD" w:rsidRDefault="00331ACC" w:rsidP="00630FF3">
            <w:pPr>
              <w:pStyle w:val="SingleTxtG"/>
              <w:spacing w:after="0"/>
              <w:ind w:left="0" w:right="0"/>
            </w:pPr>
            <w:r w:rsidRPr="000E5ACD">
              <w:t>Number(10)</w:t>
            </w:r>
          </w:p>
        </w:tc>
      </w:tr>
      <w:tr w:rsidR="00331ACC" w:rsidRPr="000E5ACD" w14:paraId="1DE0E916" w14:textId="77777777" w:rsidTr="00630FF3">
        <w:trPr>
          <w:trHeight w:val="340"/>
        </w:trPr>
        <w:tc>
          <w:tcPr>
            <w:tcW w:w="3415" w:type="dxa"/>
            <w:tcBorders>
              <w:left w:val="single" w:sz="4" w:space="0" w:color="auto"/>
            </w:tcBorders>
          </w:tcPr>
          <w:p w14:paraId="53E3197B" w14:textId="77777777" w:rsidR="00331ACC" w:rsidRPr="000E5ACD" w:rsidRDefault="00331ACC" w:rsidP="00630FF3">
            <w:pPr>
              <w:pStyle w:val="SingleTxtG"/>
              <w:numPr>
                <w:ilvl w:val="0"/>
                <w:numId w:val="19"/>
              </w:numPr>
              <w:spacing w:after="0"/>
              <w:ind w:left="0" w:right="0"/>
              <w:jc w:val="left"/>
            </w:pPr>
            <w:r w:rsidRPr="000E5ACD">
              <w:t>Occurrences related to Transfer of Control failure</w:t>
            </w:r>
          </w:p>
        </w:tc>
        <w:tc>
          <w:tcPr>
            <w:tcW w:w="2250" w:type="dxa"/>
            <w:tcBorders>
              <w:right w:val="single" w:sz="2" w:space="0" w:color="auto"/>
            </w:tcBorders>
            <w:shd w:val="clear" w:color="auto" w:fill="D9E2F3" w:themeFill="accent1" w:themeFillTint="33"/>
          </w:tcPr>
          <w:p w14:paraId="4A555D86" w14:textId="77777777" w:rsidR="00331ACC" w:rsidRPr="000E5ACD" w:rsidRDefault="00331ACC" w:rsidP="00630FF3">
            <w:pPr>
              <w:pStyle w:val="SingleTxtG"/>
              <w:spacing w:after="0"/>
              <w:ind w:left="0" w:right="0"/>
            </w:pPr>
          </w:p>
        </w:tc>
        <w:tc>
          <w:tcPr>
            <w:tcW w:w="1980" w:type="dxa"/>
            <w:tcBorders>
              <w:left w:val="single" w:sz="2" w:space="0" w:color="auto"/>
              <w:right w:val="single" w:sz="4" w:space="0" w:color="auto"/>
            </w:tcBorders>
            <w:shd w:val="clear" w:color="auto" w:fill="auto"/>
          </w:tcPr>
          <w:p w14:paraId="47F1AF5A" w14:textId="77777777" w:rsidR="00331ACC" w:rsidRPr="000E5ACD" w:rsidRDefault="00331ACC" w:rsidP="00630FF3">
            <w:pPr>
              <w:pStyle w:val="SingleTxtG"/>
              <w:spacing w:after="0"/>
              <w:ind w:left="0" w:right="0"/>
            </w:pPr>
            <w:r w:rsidRPr="000E5ACD">
              <w:t>Number(10)</w:t>
            </w:r>
          </w:p>
        </w:tc>
      </w:tr>
      <w:tr w:rsidR="00331ACC" w:rsidRPr="000E5ACD" w14:paraId="28C40A55" w14:textId="77777777" w:rsidTr="00630FF3">
        <w:trPr>
          <w:trHeight w:val="340"/>
        </w:trPr>
        <w:tc>
          <w:tcPr>
            <w:tcW w:w="3415" w:type="dxa"/>
            <w:tcBorders>
              <w:left w:val="single" w:sz="4" w:space="0" w:color="auto"/>
            </w:tcBorders>
          </w:tcPr>
          <w:p w14:paraId="585ABF37" w14:textId="77777777" w:rsidR="00331ACC" w:rsidRPr="000E5ACD" w:rsidRDefault="00331ACC" w:rsidP="00630FF3">
            <w:pPr>
              <w:pStyle w:val="SingleTxtG"/>
              <w:numPr>
                <w:ilvl w:val="0"/>
                <w:numId w:val="19"/>
              </w:numPr>
              <w:spacing w:after="0"/>
              <w:ind w:left="0" w:right="0"/>
              <w:jc w:val="left"/>
            </w:pPr>
            <w:r w:rsidRPr="00FF77F6">
              <w:rPr>
                <w:rFonts w:eastAsia="Times New Roman"/>
              </w:rPr>
              <w:t>Prevention of takeover under unsafe conditions</w:t>
            </w:r>
            <w:r w:rsidRPr="006306F6">
              <w:rPr>
                <w:rFonts w:eastAsia="Times New Roman"/>
                <w:i/>
                <w:color w:val="4472C4" w:themeColor="accent1"/>
              </w:rPr>
              <w:t xml:space="preserve"> (where applicable)</w:t>
            </w:r>
          </w:p>
        </w:tc>
        <w:tc>
          <w:tcPr>
            <w:tcW w:w="2250" w:type="dxa"/>
            <w:tcBorders>
              <w:right w:val="single" w:sz="2" w:space="0" w:color="auto"/>
            </w:tcBorders>
            <w:shd w:val="clear" w:color="auto" w:fill="D9E2F3" w:themeFill="accent1" w:themeFillTint="33"/>
          </w:tcPr>
          <w:p w14:paraId="2C669319" w14:textId="77777777" w:rsidR="00331ACC" w:rsidRPr="000E5ACD" w:rsidRDefault="00331ACC" w:rsidP="00630FF3">
            <w:pPr>
              <w:pStyle w:val="SingleTxtG"/>
              <w:spacing w:after="0"/>
              <w:ind w:left="0" w:right="0"/>
            </w:pPr>
          </w:p>
        </w:tc>
        <w:tc>
          <w:tcPr>
            <w:tcW w:w="1980" w:type="dxa"/>
            <w:tcBorders>
              <w:left w:val="single" w:sz="2" w:space="0" w:color="auto"/>
              <w:right w:val="single" w:sz="4" w:space="0" w:color="auto"/>
            </w:tcBorders>
            <w:shd w:val="clear" w:color="auto" w:fill="auto"/>
          </w:tcPr>
          <w:p w14:paraId="7625F20E" w14:textId="77777777" w:rsidR="00331ACC" w:rsidRPr="000E5ACD" w:rsidRDefault="00331ACC" w:rsidP="00630FF3">
            <w:pPr>
              <w:pStyle w:val="SingleTxtG"/>
              <w:spacing w:after="0"/>
              <w:ind w:left="0" w:right="0"/>
            </w:pPr>
            <w:r w:rsidRPr="000E5ACD">
              <w:t>Number(10)</w:t>
            </w:r>
          </w:p>
        </w:tc>
      </w:tr>
      <w:tr w:rsidR="00331ACC" w:rsidRPr="000E5ACD" w14:paraId="36492913" w14:textId="77777777" w:rsidTr="00630FF3">
        <w:trPr>
          <w:trHeight w:val="340"/>
        </w:trPr>
        <w:tc>
          <w:tcPr>
            <w:tcW w:w="3415" w:type="dxa"/>
            <w:tcBorders>
              <w:left w:val="single" w:sz="4" w:space="0" w:color="auto"/>
            </w:tcBorders>
          </w:tcPr>
          <w:p w14:paraId="03CD337A" w14:textId="77777777" w:rsidR="00331ACC" w:rsidRPr="000E5ACD" w:rsidRDefault="00331ACC" w:rsidP="00630FF3">
            <w:pPr>
              <w:pStyle w:val="SingleTxtG"/>
              <w:numPr>
                <w:ilvl w:val="0"/>
                <w:numId w:val="19"/>
              </w:numPr>
              <w:spacing w:after="0"/>
              <w:ind w:left="0" w:right="0"/>
              <w:jc w:val="left"/>
            </w:pPr>
            <w:r w:rsidRPr="000E5ACD">
              <w:t>Occurrences related ADS failure</w:t>
            </w:r>
          </w:p>
        </w:tc>
        <w:tc>
          <w:tcPr>
            <w:tcW w:w="2250" w:type="dxa"/>
            <w:tcBorders>
              <w:right w:val="single" w:sz="2" w:space="0" w:color="auto"/>
            </w:tcBorders>
            <w:shd w:val="clear" w:color="auto" w:fill="D9E2F3" w:themeFill="accent1" w:themeFillTint="33"/>
          </w:tcPr>
          <w:p w14:paraId="723C8591" w14:textId="77777777" w:rsidR="00331ACC" w:rsidRPr="000E5ACD" w:rsidRDefault="00331ACC" w:rsidP="00630FF3">
            <w:pPr>
              <w:pStyle w:val="SingleTxtG"/>
              <w:spacing w:after="0"/>
              <w:ind w:left="0" w:right="0"/>
            </w:pPr>
          </w:p>
        </w:tc>
        <w:tc>
          <w:tcPr>
            <w:tcW w:w="1980" w:type="dxa"/>
            <w:tcBorders>
              <w:left w:val="single" w:sz="2" w:space="0" w:color="auto"/>
              <w:right w:val="single" w:sz="4" w:space="0" w:color="auto"/>
            </w:tcBorders>
            <w:shd w:val="clear" w:color="auto" w:fill="auto"/>
          </w:tcPr>
          <w:p w14:paraId="16DCF900" w14:textId="77777777" w:rsidR="00331ACC" w:rsidRPr="000E5ACD" w:rsidRDefault="00331ACC" w:rsidP="00630FF3">
            <w:pPr>
              <w:pStyle w:val="SingleTxtG"/>
              <w:spacing w:after="0"/>
              <w:ind w:left="0" w:right="0"/>
            </w:pPr>
            <w:r w:rsidRPr="000E5ACD">
              <w:t>Number(10)</w:t>
            </w:r>
          </w:p>
        </w:tc>
      </w:tr>
      <w:tr w:rsidR="00331ACC" w:rsidRPr="000E5ACD" w14:paraId="529E2B40" w14:textId="77777777" w:rsidTr="00630FF3">
        <w:trPr>
          <w:trHeight w:val="340"/>
        </w:trPr>
        <w:tc>
          <w:tcPr>
            <w:tcW w:w="3415" w:type="dxa"/>
            <w:tcBorders>
              <w:left w:val="single" w:sz="4" w:space="0" w:color="auto"/>
            </w:tcBorders>
          </w:tcPr>
          <w:p w14:paraId="2FB9A0F5" w14:textId="77777777" w:rsidR="00331ACC" w:rsidRPr="000E5ACD" w:rsidRDefault="00331ACC" w:rsidP="00630FF3">
            <w:pPr>
              <w:pStyle w:val="SingleTxtG"/>
              <w:numPr>
                <w:ilvl w:val="0"/>
                <w:numId w:val="19"/>
              </w:numPr>
              <w:spacing w:after="0"/>
              <w:ind w:left="0" w:right="0"/>
              <w:jc w:val="left"/>
            </w:pPr>
            <w:r w:rsidRPr="00FF77F6">
              <w:rPr>
                <w:rFonts w:eastAsia="Times New Roman"/>
              </w:rPr>
              <w:t>Maintenance and repair problems</w:t>
            </w:r>
            <w:r>
              <w:rPr>
                <w:rFonts w:eastAsia="Times New Roman"/>
              </w:rPr>
              <w:t xml:space="preserve"> </w:t>
            </w:r>
            <w:r w:rsidRPr="006306F6">
              <w:rPr>
                <w:rFonts w:eastAsia="Times New Roman"/>
                <w:i/>
                <w:color w:val="4472C4" w:themeColor="accent1"/>
              </w:rPr>
              <w:t>to ADS and its components</w:t>
            </w:r>
          </w:p>
        </w:tc>
        <w:tc>
          <w:tcPr>
            <w:tcW w:w="2250" w:type="dxa"/>
            <w:tcBorders>
              <w:right w:val="single" w:sz="2" w:space="0" w:color="auto"/>
            </w:tcBorders>
            <w:shd w:val="clear" w:color="auto" w:fill="D9E2F3" w:themeFill="accent1" w:themeFillTint="33"/>
          </w:tcPr>
          <w:p w14:paraId="7F60B5C9" w14:textId="77777777" w:rsidR="00331ACC" w:rsidRPr="000E5ACD" w:rsidRDefault="00331ACC" w:rsidP="00630FF3">
            <w:pPr>
              <w:pStyle w:val="SingleTxtG"/>
              <w:spacing w:after="0"/>
              <w:ind w:left="0" w:right="0"/>
            </w:pPr>
          </w:p>
        </w:tc>
        <w:tc>
          <w:tcPr>
            <w:tcW w:w="1980" w:type="dxa"/>
            <w:tcBorders>
              <w:left w:val="single" w:sz="2" w:space="0" w:color="auto"/>
              <w:right w:val="single" w:sz="4" w:space="0" w:color="auto"/>
            </w:tcBorders>
            <w:shd w:val="clear" w:color="auto" w:fill="auto"/>
          </w:tcPr>
          <w:p w14:paraId="3C2AD79B" w14:textId="77777777" w:rsidR="00331ACC" w:rsidRPr="000E5ACD" w:rsidRDefault="00331ACC" w:rsidP="00630FF3">
            <w:pPr>
              <w:pStyle w:val="SingleTxtG"/>
              <w:spacing w:after="0"/>
              <w:ind w:left="0" w:right="0"/>
            </w:pPr>
            <w:r w:rsidRPr="000E5ACD">
              <w:t>Number(10)</w:t>
            </w:r>
          </w:p>
        </w:tc>
      </w:tr>
      <w:tr w:rsidR="00331ACC" w:rsidRPr="000E5ACD" w14:paraId="67855789" w14:textId="77777777" w:rsidTr="00630FF3">
        <w:trPr>
          <w:trHeight w:val="340"/>
        </w:trPr>
        <w:tc>
          <w:tcPr>
            <w:tcW w:w="3415" w:type="dxa"/>
            <w:tcBorders>
              <w:left w:val="single" w:sz="4" w:space="0" w:color="auto"/>
            </w:tcBorders>
          </w:tcPr>
          <w:p w14:paraId="18EE1D34" w14:textId="77777777" w:rsidR="00331ACC" w:rsidRPr="000E5ACD" w:rsidRDefault="00331ACC" w:rsidP="00630FF3">
            <w:pPr>
              <w:pStyle w:val="SingleTxtG"/>
              <w:numPr>
                <w:ilvl w:val="0"/>
                <w:numId w:val="19"/>
              </w:numPr>
              <w:spacing w:after="0"/>
              <w:ind w:left="0" w:right="0"/>
              <w:jc w:val="left"/>
            </w:pPr>
            <w:r w:rsidRPr="000E5ACD">
              <w:t>Occurrences related to unauthorized modifications</w:t>
            </w:r>
          </w:p>
        </w:tc>
        <w:tc>
          <w:tcPr>
            <w:tcW w:w="2250" w:type="dxa"/>
            <w:tcBorders>
              <w:right w:val="single" w:sz="2" w:space="0" w:color="auto"/>
            </w:tcBorders>
            <w:shd w:val="clear" w:color="auto" w:fill="D9E2F3" w:themeFill="accent1" w:themeFillTint="33"/>
          </w:tcPr>
          <w:p w14:paraId="01E31D66" w14:textId="77777777" w:rsidR="00331ACC" w:rsidRPr="000E5ACD" w:rsidRDefault="00331ACC" w:rsidP="00630FF3">
            <w:pPr>
              <w:pStyle w:val="SingleTxtG"/>
              <w:spacing w:after="0"/>
              <w:ind w:left="0" w:right="0"/>
            </w:pPr>
          </w:p>
        </w:tc>
        <w:tc>
          <w:tcPr>
            <w:tcW w:w="1980" w:type="dxa"/>
            <w:tcBorders>
              <w:left w:val="single" w:sz="2" w:space="0" w:color="auto"/>
              <w:right w:val="single" w:sz="4" w:space="0" w:color="auto"/>
            </w:tcBorders>
            <w:shd w:val="clear" w:color="auto" w:fill="auto"/>
          </w:tcPr>
          <w:p w14:paraId="00EB8CCD" w14:textId="77777777" w:rsidR="00331ACC" w:rsidRPr="000E5ACD" w:rsidRDefault="00331ACC" w:rsidP="00630FF3">
            <w:pPr>
              <w:pStyle w:val="SingleTxtG"/>
              <w:spacing w:after="0"/>
              <w:ind w:left="0" w:right="0"/>
            </w:pPr>
            <w:r w:rsidRPr="000E5ACD">
              <w:t>Number(10)</w:t>
            </w:r>
          </w:p>
        </w:tc>
      </w:tr>
      <w:tr w:rsidR="00331ACC" w:rsidRPr="000E5ACD" w14:paraId="7632C572" w14:textId="77777777" w:rsidTr="00630FF3">
        <w:trPr>
          <w:trHeight w:val="340"/>
        </w:trPr>
        <w:tc>
          <w:tcPr>
            <w:tcW w:w="3415" w:type="dxa"/>
            <w:tcBorders>
              <w:left w:val="single" w:sz="4" w:space="0" w:color="auto"/>
            </w:tcBorders>
          </w:tcPr>
          <w:p w14:paraId="017C030D" w14:textId="77777777" w:rsidR="00331ACC" w:rsidRPr="000E5ACD" w:rsidRDefault="00331ACC" w:rsidP="00630FF3">
            <w:pPr>
              <w:pStyle w:val="SingleTxtG"/>
              <w:numPr>
                <w:ilvl w:val="0"/>
                <w:numId w:val="19"/>
              </w:numPr>
              <w:spacing w:after="0"/>
              <w:ind w:left="0" w:right="0"/>
              <w:jc w:val="left"/>
            </w:pPr>
            <w:r w:rsidRPr="000E5ACD">
              <w:t>Occurrences related to the identification of new safety-relevant scenarios</w:t>
            </w:r>
          </w:p>
        </w:tc>
        <w:tc>
          <w:tcPr>
            <w:tcW w:w="2250" w:type="dxa"/>
            <w:tcBorders>
              <w:right w:val="single" w:sz="2" w:space="0" w:color="auto"/>
            </w:tcBorders>
            <w:shd w:val="clear" w:color="auto" w:fill="D9E2F3" w:themeFill="accent1" w:themeFillTint="33"/>
          </w:tcPr>
          <w:p w14:paraId="0D8DB9C1" w14:textId="77777777" w:rsidR="00331ACC" w:rsidRPr="000E5ACD" w:rsidRDefault="00331ACC" w:rsidP="00630FF3">
            <w:pPr>
              <w:pStyle w:val="SingleTxtG"/>
              <w:spacing w:after="0"/>
              <w:ind w:left="0" w:right="0"/>
            </w:pPr>
          </w:p>
        </w:tc>
        <w:tc>
          <w:tcPr>
            <w:tcW w:w="1980" w:type="dxa"/>
            <w:tcBorders>
              <w:left w:val="single" w:sz="2" w:space="0" w:color="auto"/>
              <w:right w:val="single" w:sz="4" w:space="0" w:color="auto"/>
            </w:tcBorders>
            <w:shd w:val="clear" w:color="auto" w:fill="auto"/>
          </w:tcPr>
          <w:p w14:paraId="111BE527" w14:textId="77777777" w:rsidR="00331ACC" w:rsidRPr="000E5ACD" w:rsidRDefault="00331ACC" w:rsidP="00630FF3">
            <w:pPr>
              <w:pStyle w:val="SingleTxtG"/>
              <w:spacing w:after="0"/>
              <w:ind w:left="0" w:right="0"/>
            </w:pPr>
            <w:r w:rsidRPr="000E5ACD">
              <w:t>Number(10)</w:t>
            </w:r>
          </w:p>
        </w:tc>
      </w:tr>
      <w:tr w:rsidR="00331ACC" w:rsidRPr="000E5ACD" w14:paraId="2ABCC335" w14:textId="77777777" w:rsidTr="00630FF3">
        <w:trPr>
          <w:trHeight w:val="340"/>
        </w:trPr>
        <w:tc>
          <w:tcPr>
            <w:tcW w:w="3415" w:type="dxa"/>
            <w:tcBorders>
              <w:left w:val="single" w:sz="4" w:space="0" w:color="auto"/>
              <w:bottom w:val="single" w:sz="4" w:space="0" w:color="auto"/>
            </w:tcBorders>
          </w:tcPr>
          <w:p w14:paraId="14CD986C" w14:textId="77777777" w:rsidR="00331ACC" w:rsidRPr="000E5ACD" w:rsidRDefault="00331ACC" w:rsidP="00630FF3">
            <w:pPr>
              <w:pStyle w:val="SingleTxtG"/>
              <w:spacing w:after="0"/>
              <w:ind w:left="0" w:right="0"/>
            </w:pPr>
            <w:r w:rsidRPr="000E5ACD">
              <w:t>Other occurrences</w:t>
            </w:r>
          </w:p>
        </w:tc>
        <w:tc>
          <w:tcPr>
            <w:tcW w:w="2250" w:type="dxa"/>
            <w:tcBorders>
              <w:bottom w:val="single" w:sz="4" w:space="0" w:color="auto"/>
              <w:right w:val="single" w:sz="2" w:space="0" w:color="auto"/>
            </w:tcBorders>
            <w:shd w:val="clear" w:color="auto" w:fill="D9E2F3" w:themeFill="accent1" w:themeFillTint="33"/>
          </w:tcPr>
          <w:p w14:paraId="2E5D159E" w14:textId="77777777" w:rsidR="00331ACC" w:rsidRPr="000E5ACD" w:rsidRDefault="00331ACC" w:rsidP="00630FF3">
            <w:pPr>
              <w:pStyle w:val="SingleTxtG"/>
              <w:spacing w:after="0"/>
              <w:ind w:left="0" w:right="0"/>
            </w:pPr>
          </w:p>
        </w:tc>
        <w:tc>
          <w:tcPr>
            <w:tcW w:w="1980" w:type="dxa"/>
            <w:tcBorders>
              <w:left w:val="single" w:sz="2" w:space="0" w:color="auto"/>
              <w:bottom w:val="single" w:sz="4" w:space="0" w:color="auto"/>
              <w:right w:val="single" w:sz="4" w:space="0" w:color="auto"/>
            </w:tcBorders>
            <w:shd w:val="clear" w:color="auto" w:fill="auto"/>
          </w:tcPr>
          <w:p w14:paraId="44131295" w14:textId="77777777" w:rsidR="00331ACC" w:rsidRPr="000E5ACD" w:rsidRDefault="00331ACC" w:rsidP="00630FF3">
            <w:pPr>
              <w:pStyle w:val="SingleTxtG"/>
              <w:spacing w:after="0"/>
              <w:ind w:left="0" w:right="0"/>
            </w:pPr>
            <w:r w:rsidRPr="000E5ACD">
              <w:t>Number(10)</w:t>
            </w:r>
          </w:p>
        </w:tc>
      </w:tr>
    </w:tbl>
    <w:p w14:paraId="2699A35E" w14:textId="77777777" w:rsidR="00331ACC" w:rsidRDefault="00331ACC" w:rsidP="00331ACC">
      <w:pPr>
        <w:rPr>
          <w:rFonts w:eastAsia="Times New Roman" w:cs="Times New Roman"/>
          <w:i/>
          <w:color w:val="4472C4" w:themeColor="accent1"/>
          <w:sz w:val="20"/>
          <w:szCs w:val="20"/>
          <w:lang w:val="en-GB"/>
        </w:rPr>
      </w:pPr>
    </w:p>
    <w:p w14:paraId="6F1D2231" w14:textId="77777777" w:rsidR="00331ACC" w:rsidRDefault="00331ACC" w:rsidP="00331ACC">
      <w:pPr>
        <w:rPr>
          <w:rFonts w:eastAsia="Times New Roman" w:cs="Times New Roman"/>
          <w:i/>
          <w:color w:val="4472C4" w:themeColor="accent1"/>
          <w:sz w:val="20"/>
          <w:szCs w:val="20"/>
          <w:lang w:val="en-GB"/>
        </w:rPr>
      </w:pPr>
    </w:p>
    <w:p w14:paraId="4BB591DC" w14:textId="77777777" w:rsidR="00331ACC" w:rsidRDefault="00331ACC" w:rsidP="00331ACC">
      <w:pPr>
        <w:rPr>
          <w:rFonts w:eastAsia="Times New Roman" w:cs="Times New Roman"/>
          <w:i/>
          <w:color w:val="4472C4" w:themeColor="accent1"/>
          <w:sz w:val="20"/>
          <w:szCs w:val="20"/>
          <w:lang w:val="en-GB"/>
        </w:rPr>
      </w:pPr>
    </w:p>
    <w:p w14:paraId="0FA979AB" w14:textId="77777777" w:rsidR="00331ACC" w:rsidRDefault="00331ACC" w:rsidP="00331ACC">
      <w:pPr>
        <w:rPr>
          <w:rFonts w:eastAsia="Times New Roman" w:cs="Times New Roman"/>
          <w:i/>
          <w:color w:val="4472C4" w:themeColor="accent1"/>
          <w:sz w:val="20"/>
          <w:szCs w:val="20"/>
          <w:lang w:val="en-GB"/>
        </w:rPr>
      </w:pPr>
    </w:p>
    <w:p w14:paraId="0B3C934C" w14:textId="7E85948A" w:rsidR="00330FFC" w:rsidRDefault="00330FFC">
      <w:pPr>
        <w:rPr>
          <w:rFonts w:eastAsia="Times New Roman" w:cs="Times New Roman"/>
          <w:i/>
          <w:color w:val="4472C4" w:themeColor="accent1"/>
          <w:sz w:val="20"/>
          <w:szCs w:val="20"/>
          <w:lang w:val="en-GB"/>
        </w:rPr>
      </w:pPr>
      <w:r>
        <w:rPr>
          <w:rFonts w:eastAsia="Times New Roman" w:cs="Times New Roman"/>
          <w:i/>
          <w:color w:val="4472C4" w:themeColor="accent1"/>
          <w:sz w:val="20"/>
          <w:szCs w:val="20"/>
          <w:lang w:val="en-GB"/>
        </w:rPr>
        <w:br w:type="page"/>
      </w:r>
    </w:p>
    <w:p w14:paraId="65A05F74" w14:textId="77777777" w:rsidR="00330FFC" w:rsidRPr="006306F6" w:rsidRDefault="00330FFC" w:rsidP="00FA2F23">
      <w:pPr>
        <w:rPr>
          <w:rFonts w:eastAsia="Times New Roman" w:cs="Times New Roman"/>
          <w:i/>
          <w:color w:val="4472C4" w:themeColor="accent1"/>
          <w:sz w:val="20"/>
          <w:szCs w:val="20"/>
          <w:lang w:val="en-GB"/>
        </w:rPr>
      </w:pPr>
    </w:p>
    <w:p w14:paraId="45129205" w14:textId="2299E8A5" w:rsidR="00C6680A" w:rsidRDefault="00C6680A" w:rsidP="00C6680A">
      <w:pPr>
        <w:pStyle w:val="HChG"/>
        <w:numPr>
          <w:ilvl w:val="0"/>
          <w:numId w:val="2"/>
        </w:numPr>
        <w:ind w:left="709"/>
      </w:pPr>
      <w:r>
        <w:t>Justification</w:t>
      </w:r>
    </w:p>
    <w:p w14:paraId="5FE2D1EE" w14:textId="034BEB65" w:rsidR="00F272F4" w:rsidRPr="00F272F4" w:rsidRDefault="00440347" w:rsidP="00A376CC">
      <w:pPr>
        <w:pStyle w:val="ListParagraph"/>
        <w:numPr>
          <w:ilvl w:val="0"/>
          <w:numId w:val="12"/>
        </w:numPr>
        <w:rPr>
          <w:rFonts w:ascii="Times New Roman" w:eastAsia="MS Mincho" w:hAnsi="Times New Roman" w:cs="Times New Roman"/>
          <w:sz w:val="20"/>
          <w:szCs w:val="20"/>
          <w:lang w:val="en-GB" w:eastAsia="fr-FR"/>
        </w:rPr>
      </w:pPr>
      <w:r w:rsidRPr="00F272F4">
        <w:rPr>
          <w:rFonts w:ascii="Times New Roman" w:eastAsia="MS Mincho" w:hAnsi="Times New Roman" w:cs="Times New Roman"/>
          <w:sz w:val="20"/>
          <w:szCs w:val="20"/>
          <w:lang w:val="en-GB" w:eastAsia="fr-FR"/>
        </w:rPr>
        <w:t>The modifications where introduced to provide additional clarity and</w:t>
      </w:r>
      <w:r w:rsidR="00A376CC">
        <w:rPr>
          <w:rFonts w:ascii="Times New Roman" w:eastAsia="MS Mincho" w:hAnsi="Times New Roman" w:cs="Times New Roman"/>
          <w:sz w:val="20"/>
          <w:szCs w:val="20"/>
          <w:lang w:val="en-GB" w:eastAsia="fr-FR"/>
        </w:rPr>
        <w:t xml:space="preserve"> reduce chance </w:t>
      </w:r>
      <w:r w:rsidRPr="00F272F4">
        <w:rPr>
          <w:rFonts w:ascii="Times New Roman" w:eastAsia="MS Mincho" w:hAnsi="Times New Roman" w:cs="Times New Roman"/>
          <w:sz w:val="20"/>
          <w:szCs w:val="20"/>
          <w:lang w:val="en-GB" w:eastAsia="fr-FR"/>
        </w:rPr>
        <w:t>of misinterpretation among stakeholders</w:t>
      </w:r>
    </w:p>
    <w:p w14:paraId="12888E90" w14:textId="0DACC8B2" w:rsidR="00F272F4" w:rsidRPr="00F272F4" w:rsidRDefault="00E31153" w:rsidP="00A376CC">
      <w:pPr>
        <w:pStyle w:val="ListParagraph"/>
        <w:numPr>
          <w:ilvl w:val="0"/>
          <w:numId w:val="12"/>
        </w:numPr>
        <w:rPr>
          <w:rFonts w:ascii="Times New Roman" w:eastAsia="MS Mincho" w:hAnsi="Times New Roman" w:cs="Times New Roman"/>
          <w:sz w:val="20"/>
          <w:szCs w:val="20"/>
          <w:lang w:val="en-GB" w:eastAsia="fr-FR"/>
        </w:rPr>
      </w:pPr>
      <w:r w:rsidRPr="00F272F4">
        <w:rPr>
          <w:rFonts w:ascii="Times New Roman" w:eastAsia="MS Mincho" w:hAnsi="Times New Roman" w:cs="Times New Roman"/>
          <w:sz w:val="20"/>
          <w:szCs w:val="20"/>
          <w:lang w:val="en-GB" w:eastAsia="fr-FR"/>
        </w:rPr>
        <w:t xml:space="preserve">The note to the occurrence 1.a was added to ensure consistency in the occurrence reporting process  </w:t>
      </w:r>
    </w:p>
    <w:p w14:paraId="0A8EB83C" w14:textId="07ACFD92" w:rsidR="00E31153" w:rsidRPr="00F272F4" w:rsidRDefault="00E31153" w:rsidP="00A376CC">
      <w:pPr>
        <w:pStyle w:val="ListParagraph"/>
        <w:numPr>
          <w:ilvl w:val="0"/>
          <w:numId w:val="12"/>
        </w:numPr>
        <w:rPr>
          <w:rFonts w:ascii="Times New Roman" w:eastAsia="MS Mincho" w:hAnsi="Times New Roman" w:cs="Times New Roman"/>
          <w:sz w:val="20"/>
          <w:szCs w:val="20"/>
          <w:lang w:val="en-GB" w:eastAsia="fr-FR"/>
        </w:rPr>
      </w:pPr>
      <w:r w:rsidRPr="00F272F4">
        <w:rPr>
          <w:rFonts w:ascii="Times New Roman" w:eastAsia="MS Mincho" w:hAnsi="Times New Roman" w:cs="Times New Roman"/>
          <w:sz w:val="20"/>
          <w:szCs w:val="20"/>
          <w:lang w:val="en-GB" w:eastAsia="fr-FR"/>
        </w:rPr>
        <w:t xml:space="preserve">The notes to the occurrences 1.f, 2.a and 2.c were added to clarify the intention for reporting such occurrences and the related boundaries  </w:t>
      </w:r>
    </w:p>
    <w:p w14:paraId="38BD5B21" w14:textId="10326504" w:rsidR="00046E4A" w:rsidRDefault="00046E4A" w:rsidP="00046E4A">
      <w:pPr>
        <w:pStyle w:val="HChG"/>
        <w:numPr>
          <w:ilvl w:val="0"/>
          <w:numId w:val="2"/>
        </w:numPr>
        <w:ind w:left="709"/>
      </w:pPr>
      <w:r>
        <w:t>Remarks</w:t>
      </w:r>
    </w:p>
    <w:p w14:paraId="535DDE6C" w14:textId="0171B24A" w:rsidR="00046E4A" w:rsidRDefault="00E31153" w:rsidP="00E47ED5">
      <w:pPr>
        <w:pStyle w:val="ListParagraph"/>
        <w:numPr>
          <w:ilvl w:val="0"/>
          <w:numId w:val="17"/>
        </w:numPr>
        <w:rPr>
          <w:b/>
          <w:bCs/>
          <w:lang w:val="en-GB"/>
        </w:rPr>
      </w:pPr>
      <w:r>
        <w:rPr>
          <w:b/>
          <w:bCs/>
          <w:lang w:val="en-GB"/>
        </w:rPr>
        <w:t>Th</w:t>
      </w:r>
      <w:r w:rsidR="00F272F4">
        <w:rPr>
          <w:b/>
          <w:bCs/>
          <w:lang w:val="en-GB"/>
        </w:rPr>
        <w:t>is proposal is</w:t>
      </w:r>
      <w:r>
        <w:rPr>
          <w:b/>
          <w:bCs/>
          <w:lang w:val="en-GB"/>
        </w:rPr>
        <w:t xml:space="preserve"> considered as the best compromise achievable at this </w:t>
      </w:r>
      <w:r w:rsidR="00F272F4">
        <w:rPr>
          <w:b/>
          <w:bCs/>
          <w:lang w:val="en-GB"/>
        </w:rPr>
        <w:t xml:space="preserve">stage because it </w:t>
      </w:r>
      <w:r w:rsidR="00E47ED5">
        <w:rPr>
          <w:b/>
          <w:bCs/>
          <w:lang w:val="en-GB"/>
        </w:rPr>
        <w:t>ensure</w:t>
      </w:r>
      <w:r w:rsidR="00F272F4">
        <w:rPr>
          <w:b/>
          <w:bCs/>
          <w:lang w:val="en-GB"/>
        </w:rPr>
        <w:t>s</w:t>
      </w:r>
      <w:r w:rsidR="00E47ED5">
        <w:rPr>
          <w:b/>
          <w:bCs/>
          <w:lang w:val="en-GB"/>
        </w:rPr>
        <w:t xml:space="preserve"> clarity on the list of occurrence</w:t>
      </w:r>
      <w:r w:rsidR="00F272F4">
        <w:rPr>
          <w:b/>
          <w:bCs/>
          <w:lang w:val="en-GB"/>
        </w:rPr>
        <w:t>s</w:t>
      </w:r>
      <w:r w:rsidR="00E47ED5">
        <w:rPr>
          <w:b/>
          <w:bCs/>
          <w:lang w:val="en-GB"/>
        </w:rPr>
        <w:t xml:space="preserve"> and on the rationale for reporting such occurrences. </w:t>
      </w:r>
    </w:p>
    <w:p w14:paraId="0D2410AE" w14:textId="0AE3C532" w:rsidR="00F272F4" w:rsidRDefault="00D232A6" w:rsidP="009E2665">
      <w:pPr>
        <w:pStyle w:val="SingleTxtG"/>
        <w:numPr>
          <w:ilvl w:val="1"/>
          <w:numId w:val="17"/>
        </w:numPr>
        <w:ind w:left="1434" w:hanging="357"/>
      </w:pPr>
      <w:r>
        <w:t>Unanimous</w:t>
      </w:r>
      <w:r w:rsidR="00F272F4">
        <w:t xml:space="preserve"> consensus was achieved on the need to review the Occurrence list</w:t>
      </w:r>
    </w:p>
    <w:p w14:paraId="6E662951" w14:textId="77777777" w:rsidR="008E7DA0" w:rsidRPr="00111D59" w:rsidRDefault="008E7DA0" w:rsidP="008E7DA0">
      <w:pPr>
        <w:pStyle w:val="ListParagraph"/>
        <w:numPr>
          <w:ilvl w:val="0"/>
          <w:numId w:val="17"/>
        </w:numPr>
        <w:rPr>
          <w:b/>
          <w:bCs/>
          <w:lang w:val="en-GB"/>
        </w:rPr>
      </w:pPr>
      <w:r>
        <w:rPr>
          <w:b/>
          <w:bCs/>
          <w:lang w:val="en-GB"/>
        </w:rPr>
        <w:t>However, the proposal did not achieve an unanimous consensus within the SG3</w:t>
      </w:r>
    </w:p>
    <w:p w14:paraId="604BF4FF" w14:textId="77777777" w:rsidR="008E7DA0" w:rsidRDefault="008E7DA0" w:rsidP="008E7DA0">
      <w:pPr>
        <w:pStyle w:val="SingleTxtG"/>
        <w:numPr>
          <w:ilvl w:val="1"/>
          <w:numId w:val="17"/>
        </w:numPr>
      </w:pPr>
      <w:r>
        <w:t xml:space="preserve">The majority of the SG3 </w:t>
      </w:r>
      <w:r w:rsidRPr="00B5063F">
        <w:t xml:space="preserve">participants* </w:t>
      </w:r>
      <w:r>
        <w:t>is in favour of the proposal because:</w:t>
      </w:r>
    </w:p>
    <w:p w14:paraId="5D02BC1E" w14:textId="77777777" w:rsidR="008E7DA0" w:rsidRDefault="008E7DA0" w:rsidP="008E7DA0">
      <w:pPr>
        <w:pStyle w:val="SingleTxtG"/>
        <w:numPr>
          <w:ilvl w:val="2"/>
          <w:numId w:val="17"/>
        </w:numPr>
      </w:pPr>
      <w:r>
        <w:t xml:space="preserve">it </w:t>
      </w:r>
      <w:r w:rsidRPr="00446A20">
        <w:t xml:space="preserve">adds clarity and consistency to the text </w:t>
      </w:r>
    </w:p>
    <w:p w14:paraId="4CF7B0CD" w14:textId="77777777" w:rsidR="008E7DA0" w:rsidRDefault="008E7DA0" w:rsidP="008E7DA0">
      <w:pPr>
        <w:pStyle w:val="SingleTxtG"/>
        <w:numPr>
          <w:ilvl w:val="2"/>
          <w:numId w:val="17"/>
        </w:numPr>
      </w:pPr>
      <w:r>
        <w:t>It maintains</w:t>
      </w:r>
      <w:r w:rsidRPr="00446A20">
        <w:t xml:space="preserve"> all the occurrences deemed necessary </w:t>
      </w:r>
      <w:r>
        <w:t>to achieve the</w:t>
      </w:r>
      <w:r w:rsidRPr="00446A20">
        <w:t xml:space="preserve"> ISMR</w:t>
      </w:r>
      <w:r>
        <w:t xml:space="preserve"> objectives</w:t>
      </w:r>
    </w:p>
    <w:p w14:paraId="55468382" w14:textId="77777777" w:rsidR="008E7DA0" w:rsidRDefault="008E7DA0" w:rsidP="008E7DA0">
      <w:pPr>
        <w:pStyle w:val="SingleTxtG"/>
        <w:numPr>
          <w:ilvl w:val="2"/>
          <w:numId w:val="17"/>
        </w:numPr>
      </w:pPr>
      <w:r>
        <w:t xml:space="preserve">It is consistent with the text already agreed in the </w:t>
      </w:r>
      <w:r w:rsidRPr="00237A7D">
        <w:t>baseline</w:t>
      </w:r>
      <w:r>
        <w:t xml:space="preserve"> document</w:t>
      </w:r>
      <w:r w:rsidRPr="00237A7D">
        <w:t xml:space="preserve"> GRVA-18-50</w:t>
      </w:r>
    </w:p>
    <w:p w14:paraId="0D3006AB" w14:textId="77777777" w:rsidR="008E7DA0" w:rsidRPr="00B5063F" w:rsidRDefault="008E7DA0" w:rsidP="008E7DA0">
      <w:pPr>
        <w:pStyle w:val="SingleTxtG"/>
        <w:numPr>
          <w:ilvl w:val="1"/>
          <w:numId w:val="17"/>
        </w:numPr>
      </w:pPr>
      <w:r w:rsidRPr="00B5063F">
        <w:t>Other SG3 participants* recognise that the new text adds more clarity and appreciate the availability of SG3 in openly discussing potential improvements. However, they have reservation on occurrences such as  1.f, 2.a, 2.c for the following reasons:</w:t>
      </w:r>
    </w:p>
    <w:p w14:paraId="067C8BF1" w14:textId="119B6BC3" w:rsidR="008E7DA0" w:rsidRPr="003E4F68" w:rsidRDefault="008E7DA0" w:rsidP="008E7DA0">
      <w:pPr>
        <w:pStyle w:val="SingleTxtG"/>
        <w:numPr>
          <w:ilvl w:val="2"/>
          <w:numId w:val="17"/>
        </w:numPr>
        <w:rPr>
          <w:color w:val="00B050"/>
        </w:rPr>
      </w:pPr>
      <w:r w:rsidRPr="00B5063F">
        <w:t xml:space="preserve">1.f is inconsistent with the ADS Integration Document </w:t>
      </w:r>
      <w:r w:rsidRPr="00B5063F">
        <w:rPr>
          <w:strike/>
        </w:rPr>
        <w:t>and</w:t>
      </w:r>
      <w:r w:rsidRPr="00B5063F">
        <w:t>. The ADS Integration document address in-vehicle users. Remote users/interactions are identified as a subject for future consideration in Annex 10. Moreover, this occurrence is</w:t>
      </w:r>
      <w:r w:rsidRPr="003E4F68">
        <w:rPr>
          <w:color w:val="00B050"/>
        </w:rPr>
        <w:t xml:space="preserve"> </w:t>
      </w:r>
      <w:r>
        <w:t xml:space="preserve">not related to safety events. </w:t>
      </w:r>
    </w:p>
    <w:p w14:paraId="73114A67" w14:textId="1281E3EF" w:rsidR="008E7DA0" w:rsidRDefault="008E7DA0" w:rsidP="008E7DA0">
      <w:pPr>
        <w:pStyle w:val="SingleTxtG"/>
        <w:numPr>
          <w:ilvl w:val="2"/>
          <w:numId w:val="17"/>
        </w:numPr>
      </w:pPr>
      <w:r w:rsidRPr="00B5063F">
        <w:t xml:space="preserve">2.a is dependent </w:t>
      </w:r>
      <w:r w:rsidRPr="00111D59">
        <w:rPr>
          <w:lang w:val="en-US"/>
        </w:rPr>
        <w:t>on the single user behavior</w:t>
      </w:r>
      <w:r w:rsidRPr="00446A20">
        <w:t xml:space="preserve"> </w:t>
      </w:r>
      <w:r>
        <w:t xml:space="preserve">and not related to safety events.  </w:t>
      </w:r>
      <w:r w:rsidRPr="00B5063F">
        <w:t xml:space="preserve">WP29/GRVA is responsible to regulate the safety of the systems, user behaviour does not fall under the scope of WP29/GRVA. </w:t>
      </w:r>
    </w:p>
    <w:p w14:paraId="796057E9" w14:textId="77777777" w:rsidR="008E7DA0" w:rsidRPr="00B5063F" w:rsidRDefault="008E7DA0" w:rsidP="008E7DA0">
      <w:pPr>
        <w:pStyle w:val="SingleTxtG"/>
        <w:numPr>
          <w:ilvl w:val="2"/>
          <w:numId w:val="17"/>
        </w:numPr>
      </w:pPr>
      <w:r w:rsidRPr="00B5063F">
        <w:t>2.c is bringing to an unfair comparison and evaluation between OEMs applying different safety design strategies</w:t>
      </w:r>
      <w:r w:rsidRPr="00B5063F">
        <w:rPr>
          <w:strike/>
        </w:rPr>
        <w:t>.</w:t>
      </w:r>
    </w:p>
    <w:p w14:paraId="001987A6" w14:textId="77777777" w:rsidR="008E7DA0" w:rsidRPr="00700512" w:rsidRDefault="008E7DA0" w:rsidP="008E7DA0">
      <w:pPr>
        <w:pStyle w:val="ListParagraph"/>
        <w:numPr>
          <w:ilvl w:val="0"/>
          <w:numId w:val="17"/>
        </w:numPr>
        <w:rPr>
          <w:b/>
          <w:bCs/>
          <w:lang w:val="en-GB"/>
        </w:rPr>
      </w:pPr>
      <w:r>
        <w:rPr>
          <w:b/>
          <w:bCs/>
          <w:lang w:val="en-GB"/>
        </w:rPr>
        <w:t xml:space="preserve">In consideration of the above points </w:t>
      </w:r>
      <w:r w:rsidRPr="00B5063F">
        <w:rPr>
          <w:b/>
          <w:bCs/>
          <w:lang w:val="en-GB"/>
        </w:rPr>
        <w:t>and recognizing the priority to finalize the ADS Integration Document, conscious that an additional effort will be needed on the reporting obligations to be effective and representative in the coming ADS regulatory phase,</w:t>
      </w:r>
      <w:r>
        <w:rPr>
          <w:b/>
          <w:bCs/>
          <w:lang w:val="en-GB"/>
        </w:rPr>
        <w:t xml:space="preserve"> the proposal should be included as addendum to </w:t>
      </w:r>
      <w:r w:rsidRPr="00237A7D">
        <w:rPr>
          <w:b/>
          <w:bCs/>
          <w:lang w:val="en-GB"/>
        </w:rPr>
        <w:t>the baseline document GRVA-18-50</w:t>
      </w:r>
    </w:p>
    <w:p w14:paraId="6E75A479" w14:textId="77777777" w:rsidR="008E7DA0" w:rsidRDefault="008E7DA0" w:rsidP="008E7DA0">
      <w:pPr>
        <w:pStyle w:val="SingleTxtG"/>
        <w:numPr>
          <w:ilvl w:val="1"/>
          <w:numId w:val="17"/>
        </w:numPr>
      </w:pPr>
      <w:r>
        <w:t xml:space="preserve">The majority of the SG3 </w:t>
      </w:r>
      <w:r w:rsidRPr="00B5063F">
        <w:t xml:space="preserve">participants* </w:t>
      </w:r>
      <w:r>
        <w:t xml:space="preserve">is in favour </w:t>
      </w:r>
    </w:p>
    <w:p w14:paraId="3233A680" w14:textId="77777777" w:rsidR="008E7DA0" w:rsidRDefault="008E7DA0" w:rsidP="008E7DA0">
      <w:pPr>
        <w:pStyle w:val="SingleTxtG"/>
        <w:numPr>
          <w:ilvl w:val="1"/>
          <w:numId w:val="17"/>
        </w:numPr>
      </w:pPr>
      <w:r>
        <w:t xml:space="preserve">It </w:t>
      </w:r>
      <w:r w:rsidRPr="00B5063F">
        <w:t xml:space="preserve">is mostly in line with the baseline document GRVA-18-50 while adds clarity and tries to remove </w:t>
      </w:r>
      <w:r>
        <w:t xml:space="preserve">any inconsistency </w:t>
      </w:r>
    </w:p>
    <w:p w14:paraId="02875D63" w14:textId="01467150" w:rsidR="008E7DA0" w:rsidRDefault="008E7DA0" w:rsidP="008E7DA0">
      <w:pPr>
        <w:pStyle w:val="SingleTxtG"/>
        <w:numPr>
          <w:ilvl w:val="1"/>
          <w:numId w:val="17"/>
        </w:numPr>
      </w:pPr>
      <w:r>
        <w:t xml:space="preserve">IWG ADS </w:t>
      </w:r>
      <w:r w:rsidRPr="00B5063F">
        <w:t xml:space="preserve">shall try to </w:t>
      </w:r>
      <w:r>
        <w:t xml:space="preserve">achieve consensus </w:t>
      </w:r>
      <w:r w:rsidRPr="00B5063F">
        <w:t>and common understanding on the ISMR section of the ADS Integration Document to avoid misinterpretation before developing regulatory framework for ADS.</w:t>
      </w:r>
      <w:r>
        <w:t xml:space="preserve"> </w:t>
      </w:r>
    </w:p>
    <w:p w14:paraId="0675B1A1" w14:textId="77777777" w:rsidR="008E7DA0" w:rsidRDefault="008E7DA0" w:rsidP="009E2665">
      <w:pPr>
        <w:pStyle w:val="SingleTxtG"/>
        <w:ind w:left="1440"/>
      </w:pPr>
    </w:p>
    <w:p w14:paraId="1E164D20" w14:textId="77777777" w:rsidR="008E7DA0" w:rsidRPr="00E10049" w:rsidRDefault="008E7DA0" w:rsidP="008E7DA0">
      <w:pPr>
        <w:pStyle w:val="SingleTxtG"/>
        <w:ind w:left="0"/>
      </w:pPr>
      <w:r w:rsidRPr="00B5063F">
        <w:t xml:space="preserve">*regular participants to the SG3 meetings consisted of EU Com, UK, CAN together with industry members from OICA and CLEPA. Further inputs from other SG3 members would help build consensus necessary to develop a regulatory framework going forward.  </w:t>
      </w:r>
    </w:p>
    <w:p w14:paraId="6AA9B0E9" w14:textId="77777777" w:rsidR="00D232A6" w:rsidRDefault="00D232A6" w:rsidP="00D232A6">
      <w:pPr>
        <w:pStyle w:val="SingleTxtG"/>
        <w:ind w:left="0"/>
      </w:pPr>
    </w:p>
    <w:p w14:paraId="719CEB51" w14:textId="77777777" w:rsidR="00C71016" w:rsidRPr="0056638F" w:rsidRDefault="00C71016" w:rsidP="00237A7D">
      <w:pPr>
        <w:pStyle w:val="SingleTxtG"/>
        <w:ind w:left="2160"/>
      </w:pPr>
    </w:p>
    <w:p w14:paraId="10F3147A" w14:textId="77777777" w:rsidR="00C6680A" w:rsidRPr="00E10049" w:rsidRDefault="00C6680A" w:rsidP="00C6680A">
      <w:pPr>
        <w:pStyle w:val="SingleTxtG"/>
        <w:ind w:left="0"/>
      </w:pPr>
    </w:p>
    <w:sectPr w:rsidR="00C6680A" w:rsidRPr="00E10049" w:rsidSect="009A2123">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550D" w14:textId="77777777" w:rsidR="009C2B5B" w:rsidRDefault="009C2B5B" w:rsidP="00735232">
      <w:pPr>
        <w:spacing w:after="0" w:line="240" w:lineRule="auto"/>
      </w:pPr>
      <w:r>
        <w:separator/>
      </w:r>
    </w:p>
  </w:endnote>
  <w:endnote w:type="continuationSeparator" w:id="0">
    <w:p w14:paraId="40350C5D" w14:textId="77777777" w:rsidR="009C2B5B" w:rsidRDefault="009C2B5B" w:rsidP="00735232">
      <w:pPr>
        <w:spacing w:after="0" w:line="240" w:lineRule="auto"/>
      </w:pPr>
      <w:r>
        <w:continuationSeparator/>
      </w:r>
    </w:p>
  </w:endnote>
  <w:endnote w:type="continuationNotice" w:id="1">
    <w:p w14:paraId="5BB13119" w14:textId="77777777" w:rsidR="00B72B4A" w:rsidRDefault="00B72B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EE3A" w14:textId="77777777" w:rsidR="009C2B5B" w:rsidRDefault="009C2B5B" w:rsidP="00735232">
      <w:pPr>
        <w:spacing w:after="0" w:line="240" w:lineRule="auto"/>
      </w:pPr>
      <w:r>
        <w:separator/>
      </w:r>
    </w:p>
  </w:footnote>
  <w:footnote w:type="continuationSeparator" w:id="0">
    <w:p w14:paraId="27845CE9" w14:textId="77777777" w:rsidR="009C2B5B" w:rsidRDefault="009C2B5B" w:rsidP="00735232">
      <w:pPr>
        <w:spacing w:after="0" w:line="240" w:lineRule="auto"/>
      </w:pPr>
      <w:r>
        <w:continuationSeparator/>
      </w:r>
    </w:p>
  </w:footnote>
  <w:footnote w:type="continuationNotice" w:id="1">
    <w:p w14:paraId="39E85A80" w14:textId="77777777" w:rsidR="00B72B4A" w:rsidRDefault="00B72B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506"/>
      <w:gridCol w:w="4520"/>
    </w:tblGrid>
    <w:tr w:rsidR="009A2123" w:rsidRPr="00EA1070" w14:paraId="05D78D52" w14:textId="77777777" w:rsidTr="00B57A99">
      <w:tc>
        <w:tcPr>
          <w:tcW w:w="4927" w:type="dxa"/>
          <w:shd w:val="clear" w:color="auto" w:fill="auto"/>
        </w:tcPr>
        <w:p w14:paraId="0BE8C239" w14:textId="77777777" w:rsidR="009A2123" w:rsidRPr="00EA1070" w:rsidRDefault="009A2123" w:rsidP="009A2123">
          <w:pPr>
            <w:suppressAutoHyphens/>
            <w:spacing w:after="0" w:line="240" w:lineRule="auto"/>
            <w:rPr>
              <w:rFonts w:ascii="Times New Roman" w:eastAsia="MS Mincho" w:hAnsi="Times New Roman" w:cs="Times New Roman"/>
              <w:bCs/>
              <w:sz w:val="18"/>
              <w:szCs w:val="20"/>
              <w:lang w:val="en-GB"/>
            </w:rPr>
          </w:pPr>
          <w:r w:rsidRPr="00EA1070">
            <w:rPr>
              <w:rFonts w:ascii="Times New Roman" w:eastAsia="MS Mincho" w:hAnsi="Times New Roman" w:cs="Times New Roman"/>
              <w:bCs/>
              <w:sz w:val="18"/>
              <w:szCs w:val="20"/>
              <w:lang w:val="en-GB"/>
            </w:rPr>
            <w:t xml:space="preserve">Submitted by the co-chairs of the </w:t>
          </w:r>
          <w:r w:rsidRPr="00EA1070">
            <w:rPr>
              <w:rFonts w:ascii="Times New Roman" w:eastAsia="MS Mincho" w:hAnsi="Times New Roman" w:cs="Times New Roman"/>
              <w:bCs/>
              <w:sz w:val="18"/>
              <w:szCs w:val="20"/>
              <w:lang w:val="en-GB"/>
            </w:rPr>
            <w:br/>
            <w:t>VMAD Informal Working Group</w:t>
          </w:r>
        </w:p>
      </w:tc>
      <w:tc>
        <w:tcPr>
          <w:tcW w:w="4928" w:type="dxa"/>
          <w:shd w:val="clear" w:color="auto" w:fill="auto"/>
        </w:tcPr>
        <w:p w14:paraId="7B6FA9F1" w14:textId="15B0A168" w:rsidR="009A2123" w:rsidRPr="00EA1070" w:rsidRDefault="009A2123" w:rsidP="009A2123">
          <w:pPr>
            <w:suppressAutoHyphens/>
            <w:spacing w:after="0" w:line="240" w:lineRule="auto"/>
            <w:jc w:val="right"/>
            <w:rPr>
              <w:rFonts w:ascii="Times New Roman" w:eastAsia="MS Mincho" w:hAnsi="Times New Roman" w:cs="Times New Roman"/>
              <w:bCs/>
              <w:sz w:val="18"/>
              <w:szCs w:val="20"/>
              <w:highlight w:val="yellow"/>
              <w:lang w:val="en-GB"/>
            </w:rPr>
          </w:pPr>
          <w:r w:rsidRPr="00EA1070">
            <w:rPr>
              <w:rFonts w:ascii="Times New Roman" w:eastAsia="MS Mincho" w:hAnsi="Times New Roman" w:cs="Times New Roman"/>
              <w:bCs/>
              <w:sz w:val="18"/>
              <w:szCs w:val="20"/>
              <w:u w:val="single"/>
              <w:lang w:val="en-GB"/>
            </w:rPr>
            <w:t>Informal document</w:t>
          </w:r>
          <w:r w:rsidRPr="00EA1070">
            <w:rPr>
              <w:rFonts w:ascii="Times New Roman" w:eastAsia="MS Mincho" w:hAnsi="Times New Roman" w:cs="Times New Roman"/>
              <w:bCs/>
              <w:sz w:val="18"/>
              <w:szCs w:val="20"/>
              <w:lang w:val="en-GB"/>
            </w:rPr>
            <w:t xml:space="preserve"> </w:t>
          </w:r>
          <w:r w:rsidRPr="00EA1070">
            <w:rPr>
              <w:rFonts w:ascii="Times New Roman" w:eastAsia="MS Mincho" w:hAnsi="Times New Roman" w:cs="Times New Roman"/>
              <w:b/>
              <w:sz w:val="18"/>
              <w:szCs w:val="20"/>
              <w:lang w:val="en-GB"/>
            </w:rPr>
            <w:t>GRVA-19-1</w:t>
          </w:r>
          <w:r w:rsidR="0013212D">
            <w:rPr>
              <w:rFonts w:ascii="Times New Roman" w:eastAsia="MS Mincho" w:hAnsi="Times New Roman" w:cs="Times New Roman"/>
              <w:b/>
              <w:sz w:val="18"/>
              <w:szCs w:val="20"/>
              <w:lang w:val="en-GB"/>
            </w:rPr>
            <w:t>3</w:t>
          </w:r>
          <w:r w:rsidRPr="00EA1070">
            <w:rPr>
              <w:rFonts w:ascii="Times New Roman" w:eastAsia="MS Mincho" w:hAnsi="Times New Roman" w:cs="Times New Roman"/>
              <w:b/>
              <w:sz w:val="18"/>
              <w:szCs w:val="20"/>
              <w:lang w:val="en-GB"/>
            </w:rPr>
            <w:br/>
          </w:r>
          <w:r w:rsidRPr="00EA1070">
            <w:rPr>
              <w:rFonts w:ascii="Times New Roman" w:eastAsia="MS Mincho" w:hAnsi="Times New Roman" w:cs="Times New Roman"/>
              <w:bCs/>
              <w:sz w:val="18"/>
              <w:szCs w:val="20"/>
              <w:lang w:val="en-GB"/>
            </w:rPr>
            <w:t>19th GRVA, 25 June 2024</w:t>
          </w:r>
          <w:r w:rsidRPr="00EA1070">
            <w:rPr>
              <w:rFonts w:ascii="Times New Roman" w:eastAsia="MS Mincho" w:hAnsi="Times New Roman" w:cs="Times New Roman"/>
              <w:bCs/>
              <w:sz w:val="18"/>
              <w:szCs w:val="20"/>
              <w:lang w:val="en-GB"/>
            </w:rPr>
            <w:br/>
            <w:t xml:space="preserve">(For review during the </w:t>
          </w:r>
          <w:r w:rsidRPr="00EA1070">
            <w:rPr>
              <w:rFonts w:ascii="Times New Roman" w:eastAsia="MS Mincho" w:hAnsi="Times New Roman" w:cs="Times New Roman"/>
              <w:bCs/>
              <w:sz w:val="18"/>
              <w:szCs w:val="20"/>
              <w:lang w:val="en-GB"/>
            </w:rPr>
            <w:br/>
            <w:t>Troy meeting 20-24 May 2024)</w:t>
          </w:r>
          <w:r w:rsidRPr="00EA1070">
            <w:rPr>
              <w:rFonts w:ascii="Times New Roman" w:eastAsia="MS Mincho" w:hAnsi="Times New Roman" w:cs="Times New Roman"/>
              <w:bCs/>
              <w:sz w:val="18"/>
              <w:szCs w:val="20"/>
              <w:lang w:val="en-GB"/>
            </w:rPr>
            <w:br/>
          </w:r>
          <w:r w:rsidRPr="00EA1070">
            <w:rPr>
              <w:rFonts w:ascii="Times New Roman" w:eastAsia="MS Mincho" w:hAnsi="Times New Roman" w:cs="Times New Roman"/>
              <w:b/>
              <w:sz w:val="18"/>
              <w:szCs w:val="20"/>
              <w:lang w:val="en-GB"/>
            </w:rPr>
            <w:t>Provisional agenda item 4(d)</w:t>
          </w:r>
        </w:p>
      </w:tc>
    </w:tr>
  </w:tbl>
  <w:p w14:paraId="2FF1D3F1" w14:textId="77777777" w:rsidR="009A2123" w:rsidRDefault="009A2123" w:rsidP="009A2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204"/>
    <w:multiLevelType w:val="hybridMultilevel"/>
    <w:tmpl w:val="1DCC89C4"/>
    <w:lvl w:ilvl="0" w:tplc="477CD54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FD93C9B"/>
    <w:multiLevelType w:val="hybridMultilevel"/>
    <w:tmpl w:val="1DCC89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057907"/>
    <w:multiLevelType w:val="hybridMultilevel"/>
    <w:tmpl w:val="9746CA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4245450"/>
    <w:multiLevelType w:val="hybridMultilevel"/>
    <w:tmpl w:val="957660AE"/>
    <w:lvl w:ilvl="0" w:tplc="8F8A389E">
      <w:start w:val="1"/>
      <w:numFmt w:val="lowerLetter"/>
      <w:lvlText w:val="(%1)"/>
      <w:lvlJc w:val="left"/>
      <w:pPr>
        <w:ind w:left="-7" w:hanging="540"/>
      </w:pPr>
      <w:rPr>
        <w:rFonts w:asciiTheme="minorHAnsi" w:eastAsiaTheme="minorEastAsia" w:hAnsi="Arial" w:cstheme="minorBidi" w:hint="default"/>
        <w:i/>
        <w:color w:val="44546A" w:themeColor="text2"/>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4" w15:restartNumberingAfterBreak="0">
    <w:nsid w:val="16DE6EAA"/>
    <w:multiLevelType w:val="hybridMultilevel"/>
    <w:tmpl w:val="86B096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3D6295"/>
    <w:multiLevelType w:val="hybridMultilevel"/>
    <w:tmpl w:val="50FAE46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3B0F5E3F"/>
    <w:multiLevelType w:val="hybridMultilevel"/>
    <w:tmpl w:val="9912C620"/>
    <w:lvl w:ilvl="0" w:tplc="675CA6AC">
      <w:start w:val="1"/>
      <w:numFmt w:val="upp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7920A2"/>
    <w:multiLevelType w:val="hybridMultilevel"/>
    <w:tmpl w:val="1DCC89C4"/>
    <w:lvl w:ilvl="0" w:tplc="FFFFFFFF">
      <w:start w:val="1"/>
      <w:numFmt w:val="decimal"/>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8" w15:restartNumberingAfterBreak="0">
    <w:nsid w:val="4049606E"/>
    <w:multiLevelType w:val="hybridMultilevel"/>
    <w:tmpl w:val="1DCC89C4"/>
    <w:lvl w:ilvl="0" w:tplc="FFFFFFFF">
      <w:start w:val="1"/>
      <w:numFmt w:val="decimal"/>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9" w15:restartNumberingAfterBreak="0">
    <w:nsid w:val="425A2DFB"/>
    <w:multiLevelType w:val="hybridMultilevel"/>
    <w:tmpl w:val="57CEF6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50149"/>
    <w:multiLevelType w:val="hybridMultilevel"/>
    <w:tmpl w:val="A300E4D8"/>
    <w:lvl w:ilvl="0" w:tplc="675CA6A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D5E5706"/>
    <w:multiLevelType w:val="hybridMultilevel"/>
    <w:tmpl w:val="C41C1CC0"/>
    <w:lvl w:ilvl="0" w:tplc="FFFFFFFF">
      <w:start w:val="1"/>
      <w:numFmt w:val="upperRoman"/>
      <w:lvlText w:val="%1."/>
      <w:lvlJc w:val="left"/>
      <w:pPr>
        <w:ind w:left="1080" w:hanging="720"/>
      </w:pPr>
    </w:lvl>
    <w:lvl w:ilvl="1" w:tplc="79B0D526">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3FC2D29"/>
    <w:multiLevelType w:val="hybridMultilevel"/>
    <w:tmpl w:val="C9208910"/>
    <w:lvl w:ilvl="0" w:tplc="FFFFFFFF">
      <w:start w:val="1"/>
      <w:numFmt w:val="upperRoman"/>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58A4F6D"/>
    <w:multiLevelType w:val="hybridMultilevel"/>
    <w:tmpl w:val="9912C620"/>
    <w:lvl w:ilvl="0" w:tplc="FFFFFFFF">
      <w:start w:val="1"/>
      <w:numFmt w:val="upperRoman"/>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6BF0776"/>
    <w:multiLevelType w:val="hybridMultilevel"/>
    <w:tmpl w:val="79F40E6A"/>
    <w:lvl w:ilvl="0" w:tplc="A2A2B5EC">
      <w:start w:val="2"/>
      <w:numFmt w:val="lowerLetter"/>
      <w:lvlText w:val="(%1)"/>
      <w:lvlJc w:val="left"/>
      <w:pPr>
        <w:tabs>
          <w:tab w:val="num" w:pos="720"/>
        </w:tabs>
        <w:ind w:left="720" w:hanging="360"/>
      </w:pPr>
    </w:lvl>
    <w:lvl w:ilvl="1" w:tplc="8BEAF9DE">
      <w:start w:val="1"/>
      <w:numFmt w:val="lowerLetter"/>
      <w:lvlText w:val="(%2)"/>
      <w:lvlJc w:val="left"/>
      <w:pPr>
        <w:tabs>
          <w:tab w:val="num" w:pos="1440"/>
        </w:tabs>
        <w:ind w:left="1440" w:hanging="360"/>
      </w:pPr>
    </w:lvl>
    <w:lvl w:ilvl="2" w:tplc="53FA1824" w:tentative="1">
      <w:start w:val="1"/>
      <w:numFmt w:val="lowerLetter"/>
      <w:lvlText w:val="(%3)"/>
      <w:lvlJc w:val="left"/>
      <w:pPr>
        <w:tabs>
          <w:tab w:val="num" w:pos="2160"/>
        </w:tabs>
        <w:ind w:left="2160" w:hanging="360"/>
      </w:pPr>
    </w:lvl>
    <w:lvl w:ilvl="3" w:tplc="5F664ACA" w:tentative="1">
      <w:start w:val="1"/>
      <w:numFmt w:val="lowerLetter"/>
      <w:lvlText w:val="(%4)"/>
      <w:lvlJc w:val="left"/>
      <w:pPr>
        <w:tabs>
          <w:tab w:val="num" w:pos="2880"/>
        </w:tabs>
        <w:ind w:left="2880" w:hanging="360"/>
      </w:pPr>
    </w:lvl>
    <w:lvl w:ilvl="4" w:tplc="B57E169A" w:tentative="1">
      <w:start w:val="1"/>
      <w:numFmt w:val="lowerLetter"/>
      <w:lvlText w:val="(%5)"/>
      <w:lvlJc w:val="left"/>
      <w:pPr>
        <w:tabs>
          <w:tab w:val="num" w:pos="3600"/>
        </w:tabs>
        <w:ind w:left="3600" w:hanging="360"/>
      </w:pPr>
    </w:lvl>
    <w:lvl w:ilvl="5" w:tplc="5C267FC2" w:tentative="1">
      <w:start w:val="1"/>
      <w:numFmt w:val="lowerLetter"/>
      <w:lvlText w:val="(%6)"/>
      <w:lvlJc w:val="left"/>
      <w:pPr>
        <w:tabs>
          <w:tab w:val="num" w:pos="4320"/>
        </w:tabs>
        <w:ind w:left="4320" w:hanging="360"/>
      </w:pPr>
    </w:lvl>
    <w:lvl w:ilvl="6" w:tplc="A64A1062" w:tentative="1">
      <w:start w:val="1"/>
      <w:numFmt w:val="lowerLetter"/>
      <w:lvlText w:val="(%7)"/>
      <w:lvlJc w:val="left"/>
      <w:pPr>
        <w:tabs>
          <w:tab w:val="num" w:pos="5040"/>
        </w:tabs>
        <w:ind w:left="5040" w:hanging="360"/>
      </w:pPr>
    </w:lvl>
    <w:lvl w:ilvl="7" w:tplc="01D0DAFA" w:tentative="1">
      <w:start w:val="1"/>
      <w:numFmt w:val="lowerLetter"/>
      <w:lvlText w:val="(%8)"/>
      <w:lvlJc w:val="left"/>
      <w:pPr>
        <w:tabs>
          <w:tab w:val="num" w:pos="5760"/>
        </w:tabs>
        <w:ind w:left="5760" w:hanging="360"/>
      </w:pPr>
    </w:lvl>
    <w:lvl w:ilvl="8" w:tplc="2826A642" w:tentative="1">
      <w:start w:val="1"/>
      <w:numFmt w:val="lowerLetter"/>
      <w:lvlText w:val="(%9)"/>
      <w:lvlJc w:val="left"/>
      <w:pPr>
        <w:tabs>
          <w:tab w:val="num" w:pos="6480"/>
        </w:tabs>
        <w:ind w:left="6480" w:hanging="360"/>
      </w:pPr>
    </w:lvl>
  </w:abstractNum>
  <w:abstractNum w:abstractNumId="15" w15:restartNumberingAfterBreak="0">
    <w:nsid w:val="66F75D96"/>
    <w:multiLevelType w:val="hybridMultilevel"/>
    <w:tmpl w:val="EA58C2CC"/>
    <w:lvl w:ilvl="0" w:tplc="9A74C4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0679AC"/>
    <w:multiLevelType w:val="hybridMultilevel"/>
    <w:tmpl w:val="DF7E77B4"/>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773C0445"/>
    <w:multiLevelType w:val="hybridMultilevel"/>
    <w:tmpl w:val="D7E4D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32464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880665">
    <w:abstractNumId w:val="10"/>
  </w:num>
  <w:num w:numId="3" w16cid:durableId="2110999674">
    <w:abstractNumId w:val="0"/>
  </w:num>
  <w:num w:numId="4" w16cid:durableId="378163493">
    <w:abstractNumId w:val="15"/>
  </w:num>
  <w:num w:numId="5" w16cid:durableId="378238153">
    <w:abstractNumId w:val="4"/>
  </w:num>
  <w:num w:numId="6" w16cid:durableId="613484941">
    <w:abstractNumId w:val="5"/>
  </w:num>
  <w:num w:numId="7" w16cid:durableId="511259261">
    <w:abstractNumId w:val="14"/>
  </w:num>
  <w:num w:numId="8" w16cid:durableId="869730156">
    <w:abstractNumId w:val="9"/>
  </w:num>
  <w:num w:numId="9" w16cid:durableId="337928832">
    <w:abstractNumId w:val="3"/>
  </w:num>
  <w:num w:numId="10" w16cid:durableId="900599249">
    <w:abstractNumId w:val="6"/>
  </w:num>
  <w:num w:numId="11" w16cid:durableId="286469322">
    <w:abstractNumId w:val="12"/>
  </w:num>
  <w:num w:numId="12" w16cid:durableId="1487014438">
    <w:abstractNumId w:val="16"/>
  </w:num>
  <w:num w:numId="13" w16cid:durableId="393041419">
    <w:abstractNumId w:val="13"/>
  </w:num>
  <w:num w:numId="14" w16cid:durableId="1277759276">
    <w:abstractNumId w:val="8"/>
  </w:num>
  <w:num w:numId="15" w16cid:durableId="149909492">
    <w:abstractNumId w:val="1"/>
  </w:num>
  <w:num w:numId="16" w16cid:durableId="1520504724">
    <w:abstractNumId w:val="17"/>
  </w:num>
  <w:num w:numId="17" w16cid:durableId="350645443">
    <w:abstractNumId w:val="11"/>
  </w:num>
  <w:num w:numId="18" w16cid:durableId="619411869">
    <w:abstractNumId w:val="7"/>
  </w:num>
  <w:num w:numId="19" w16cid:durableId="807940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de-DE" w:vendorID="64" w:dllVersion="0" w:nlCheck="1" w:checkStyle="0"/>
  <w:defaultTabStop w:val="708"/>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80A"/>
    <w:rsid w:val="00030B74"/>
    <w:rsid w:val="00046E4A"/>
    <w:rsid w:val="000B7B81"/>
    <w:rsid w:val="000C590F"/>
    <w:rsid w:val="000F7978"/>
    <w:rsid w:val="00113BD2"/>
    <w:rsid w:val="0013212D"/>
    <w:rsid w:val="001511E6"/>
    <w:rsid w:val="001C65F7"/>
    <w:rsid w:val="001D0CDA"/>
    <w:rsid w:val="00237A7D"/>
    <w:rsid w:val="00247138"/>
    <w:rsid w:val="00266A6E"/>
    <w:rsid w:val="00330FFC"/>
    <w:rsid w:val="00331ACC"/>
    <w:rsid w:val="00440347"/>
    <w:rsid w:val="00446A20"/>
    <w:rsid w:val="004B67AC"/>
    <w:rsid w:val="004C07C1"/>
    <w:rsid w:val="005432C9"/>
    <w:rsid w:val="00547C4A"/>
    <w:rsid w:val="00590B5F"/>
    <w:rsid w:val="005A6BCD"/>
    <w:rsid w:val="005E3416"/>
    <w:rsid w:val="005F0D39"/>
    <w:rsid w:val="006306F6"/>
    <w:rsid w:val="006D6A5F"/>
    <w:rsid w:val="007014C1"/>
    <w:rsid w:val="00735232"/>
    <w:rsid w:val="00736331"/>
    <w:rsid w:val="007402D5"/>
    <w:rsid w:val="0078340D"/>
    <w:rsid w:val="00792B76"/>
    <w:rsid w:val="007D2C6C"/>
    <w:rsid w:val="007D63AF"/>
    <w:rsid w:val="008321CB"/>
    <w:rsid w:val="00873530"/>
    <w:rsid w:val="008E7DA0"/>
    <w:rsid w:val="009A2123"/>
    <w:rsid w:val="009C2B5B"/>
    <w:rsid w:val="009E2665"/>
    <w:rsid w:val="00A13C89"/>
    <w:rsid w:val="00A376CC"/>
    <w:rsid w:val="00A57D07"/>
    <w:rsid w:val="00A93A0A"/>
    <w:rsid w:val="00AB282C"/>
    <w:rsid w:val="00AB59D0"/>
    <w:rsid w:val="00AD52A2"/>
    <w:rsid w:val="00B35832"/>
    <w:rsid w:val="00B63E60"/>
    <w:rsid w:val="00B72B4A"/>
    <w:rsid w:val="00B93D94"/>
    <w:rsid w:val="00BC4CD6"/>
    <w:rsid w:val="00BE4956"/>
    <w:rsid w:val="00C0349B"/>
    <w:rsid w:val="00C6680A"/>
    <w:rsid w:val="00C71016"/>
    <w:rsid w:val="00D232A6"/>
    <w:rsid w:val="00D532BA"/>
    <w:rsid w:val="00D86EB0"/>
    <w:rsid w:val="00DA7431"/>
    <w:rsid w:val="00E10049"/>
    <w:rsid w:val="00E226CE"/>
    <w:rsid w:val="00E301A7"/>
    <w:rsid w:val="00E31153"/>
    <w:rsid w:val="00E47ED5"/>
    <w:rsid w:val="00EA1070"/>
    <w:rsid w:val="00EA629C"/>
    <w:rsid w:val="00F01923"/>
    <w:rsid w:val="00F272F4"/>
    <w:rsid w:val="00F43749"/>
    <w:rsid w:val="00F437C9"/>
    <w:rsid w:val="00F8406A"/>
    <w:rsid w:val="00FA2F23"/>
    <w:rsid w:val="00FB3B0B"/>
    <w:rsid w:val="00FD144C"/>
    <w:rsid w:val="00FD4FDC"/>
    <w:rsid w:val="00FD62A4"/>
    <w:rsid w:val="00FE148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41DC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hGChar">
    <w:name w:val="_ H _Ch_G Char"/>
    <w:link w:val="HChG"/>
    <w:locked/>
    <w:rsid w:val="00C6680A"/>
    <w:rPr>
      <w:rFonts w:ascii="Times New Roman" w:eastAsia="MS Mincho" w:hAnsi="Times New Roman" w:cs="Times New Roman"/>
      <w:b/>
      <w:sz w:val="28"/>
      <w:szCs w:val="20"/>
      <w:lang w:val="en-GB" w:eastAsia="fr-FR"/>
    </w:rPr>
  </w:style>
  <w:style w:type="paragraph" w:customStyle="1" w:styleId="HChG">
    <w:name w:val="_ H _Ch_G"/>
    <w:basedOn w:val="Normal"/>
    <w:next w:val="Normal"/>
    <w:link w:val="HChGChar"/>
    <w:qFormat/>
    <w:rsid w:val="00C6680A"/>
    <w:pPr>
      <w:keepNext/>
      <w:keepLines/>
      <w:tabs>
        <w:tab w:val="right" w:pos="851"/>
      </w:tabs>
      <w:suppressAutoHyphens/>
      <w:spacing w:before="360" w:after="240" w:line="300" w:lineRule="exact"/>
      <w:ind w:left="1134" w:right="1134" w:hanging="1134"/>
    </w:pPr>
    <w:rPr>
      <w:rFonts w:ascii="Times New Roman" w:eastAsia="MS Mincho" w:hAnsi="Times New Roman" w:cs="Times New Roman"/>
      <w:b/>
      <w:sz w:val="28"/>
      <w:szCs w:val="20"/>
      <w:lang w:val="en-GB" w:eastAsia="fr-FR"/>
    </w:rPr>
  </w:style>
  <w:style w:type="paragraph" w:customStyle="1" w:styleId="SingleTxtG">
    <w:name w:val="_ Single Txt_G"/>
    <w:basedOn w:val="Normal"/>
    <w:link w:val="SingleTxtGChar"/>
    <w:qFormat/>
    <w:rsid w:val="00C6680A"/>
    <w:pPr>
      <w:suppressAutoHyphens/>
      <w:spacing w:after="120" w:line="240" w:lineRule="atLeast"/>
      <w:ind w:left="1134" w:right="1134"/>
      <w:jc w:val="both"/>
    </w:pPr>
    <w:rPr>
      <w:rFonts w:ascii="Times New Roman" w:eastAsia="MS Mincho" w:hAnsi="Times New Roman" w:cs="Times New Roman"/>
      <w:sz w:val="20"/>
      <w:szCs w:val="20"/>
      <w:lang w:val="en-GB" w:eastAsia="fr-FR"/>
    </w:rPr>
  </w:style>
  <w:style w:type="character" w:customStyle="1" w:styleId="SingleTxtGChar">
    <w:name w:val="_ Single Txt_G Char"/>
    <w:link w:val="SingleTxtG"/>
    <w:qFormat/>
    <w:rsid w:val="00C6680A"/>
    <w:rPr>
      <w:rFonts w:ascii="Times New Roman" w:eastAsia="MS Mincho" w:hAnsi="Times New Roman" w:cs="Times New Roman"/>
      <w:sz w:val="20"/>
      <w:szCs w:val="20"/>
      <w:lang w:val="en-GB" w:eastAsia="fr-FR"/>
    </w:rPr>
  </w:style>
  <w:style w:type="paragraph" w:styleId="ListParagraph">
    <w:name w:val="List Paragraph"/>
    <w:basedOn w:val="Normal"/>
    <w:uiPriority w:val="34"/>
    <w:qFormat/>
    <w:rsid w:val="00C6680A"/>
    <w:pPr>
      <w:ind w:left="720"/>
      <w:contextualSpacing/>
    </w:pPr>
  </w:style>
  <w:style w:type="character" w:styleId="CommentReference">
    <w:name w:val="annotation reference"/>
    <w:basedOn w:val="DefaultParagraphFont"/>
    <w:uiPriority w:val="99"/>
    <w:semiHidden/>
    <w:unhideWhenUsed/>
    <w:rsid w:val="00C6680A"/>
    <w:rPr>
      <w:sz w:val="16"/>
      <w:szCs w:val="16"/>
    </w:rPr>
  </w:style>
  <w:style w:type="paragraph" w:styleId="CommentText">
    <w:name w:val="annotation text"/>
    <w:basedOn w:val="Normal"/>
    <w:link w:val="CommentTextChar"/>
    <w:uiPriority w:val="99"/>
    <w:unhideWhenUsed/>
    <w:rsid w:val="00C6680A"/>
    <w:pPr>
      <w:spacing w:line="240" w:lineRule="auto"/>
    </w:pPr>
    <w:rPr>
      <w:sz w:val="20"/>
      <w:szCs w:val="20"/>
    </w:rPr>
  </w:style>
  <w:style w:type="character" w:customStyle="1" w:styleId="CommentTextChar">
    <w:name w:val="Comment Text Char"/>
    <w:basedOn w:val="DefaultParagraphFont"/>
    <w:link w:val="CommentText"/>
    <w:uiPriority w:val="99"/>
    <w:rsid w:val="00C6680A"/>
    <w:rPr>
      <w:sz w:val="20"/>
      <w:szCs w:val="20"/>
    </w:rPr>
  </w:style>
  <w:style w:type="paragraph" w:styleId="CommentSubject">
    <w:name w:val="annotation subject"/>
    <w:basedOn w:val="CommentText"/>
    <w:next w:val="CommentText"/>
    <w:link w:val="CommentSubjectChar"/>
    <w:uiPriority w:val="99"/>
    <w:semiHidden/>
    <w:unhideWhenUsed/>
    <w:rsid w:val="00C6680A"/>
    <w:rPr>
      <w:b/>
      <w:bCs/>
    </w:rPr>
  </w:style>
  <w:style w:type="character" w:customStyle="1" w:styleId="CommentSubjectChar">
    <w:name w:val="Comment Subject Char"/>
    <w:basedOn w:val="CommentTextChar"/>
    <w:link w:val="CommentSubject"/>
    <w:uiPriority w:val="99"/>
    <w:semiHidden/>
    <w:rsid w:val="00C6680A"/>
    <w:rPr>
      <w:b/>
      <w:bCs/>
      <w:sz w:val="20"/>
      <w:szCs w:val="20"/>
    </w:rPr>
  </w:style>
  <w:style w:type="character" w:styleId="Hyperlink">
    <w:name w:val="Hyperlink"/>
    <w:basedOn w:val="DefaultParagraphFont"/>
    <w:uiPriority w:val="99"/>
    <w:unhideWhenUsed/>
    <w:rsid w:val="00D532BA"/>
    <w:rPr>
      <w:color w:val="0563C1" w:themeColor="hyperlink"/>
      <w:u w:val="single"/>
    </w:rPr>
  </w:style>
  <w:style w:type="character" w:customStyle="1" w:styleId="Onopgelostemelding1">
    <w:name w:val="Onopgeloste melding1"/>
    <w:basedOn w:val="DefaultParagraphFont"/>
    <w:uiPriority w:val="99"/>
    <w:semiHidden/>
    <w:unhideWhenUsed/>
    <w:rsid w:val="00D532BA"/>
    <w:rPr>
      <w:color w:val="605E5C"/>
      <w:shd w:val="clear" w:color="auto" w:fill="E1DFDD"/>
    </w:rPr>
  </w:style>
  <w:style w:type="character" w:styleId="FollowedHyperlink">
    <w:name w:val="FollowedHyperlink"/>
    <w:basedOn w:val="DefaultParagraphFont"/>
    <w:uiPriority w:val="99"/>
    <w:semiHidden/>
    <w:unhideWhenUsed/>
    <w:rsid w:val="00C0349B"/>
    <w:rPr>
      <w:color w:val="954F72" w:themeColor="followedHyperlink"/>
      <w:u w:val="single"/>
    </w:rPr>
  </w:style>
  <w:style w:type="paragraph" w:styleId="Header">
    <w:name w:val="header"/>
    <w:basedOn w:val="Normal"/>
    <w:link w:val="HeaderChar"/>
    <w:uiPriority w:val="99"/>
    <w:unhideWhenUsed/>
    <w:rsid w:val="00735232"/>
    <w:pPr>
      <w:tabs>
        <w:tab w:val="center" w:pos="4252"/>
        <w:tab w:val="right" w:pos="8504"/>
      </w:tabs>
      <w:snapToGrid w:val="0"/>
    </w:pPr>
  </w:style>
  <w:style w:type="character" w:customStyle="1" w:styleId="HeaderChar">
    <w:name w:val="Header Char"/>
    <w:basedOn w:val="DefaultParagraphFont"/>
    <w:link w:val="Header"/>
    <w:uiPriority w:val="99"/>
    <w:rsid w:val="00735232"/>
  </w:style>
  <w:style w:type="paragraph" w:styleId="Footer">
    <w:name w:val="footer"/>
    <w:basedOn w:val="Normal"/>
    <w:link w:val="FooterChar"/>
    <w:uiPriority w:val="99"/>
    <w:unhideWhenUsed/>
    <w:rsid w:val="00735232"/>
    <w:pPr>
      <w:tabs>
        <w:tab w:val="center" w:pos="4252"/>
        <w:tab w:val="right" w:pos="8504"/>
      </w:tabs>
      <w:snapToGrid w:val="0"/>
    </w:pPr>
  </w:style>
  <w:style w:type="character" w:customStyle="1" w:styleId="FooterChar">
    <w:name w:val="Footer Char"/>
    <w:basedOn w:val="DefaultParagraphFont"/>
    <w:link w:val="Footer"/>
    <w:uiPriority w:val="99"/>
    <w:rsid w:val="00735232"/>
  </w:style>
  <w:style w:type="paragraph" w:styleId="NormalWeb">
    <w:name w:val="Normal (Web)"/>
    <w:basedOn w:val="Normal"/>
    <w:uiPriority w:val="99"/>
    <w:semiHidden/>
    <w:unhideWhenUsed/>
    <w:rsid w:val="007402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E226CE"/>
    <w:pPr>
      <w:spacing w:after="0" w:line="240" w:lineRule="auto"/>
    </w:pPr>
  </w:style>
  <w:style w:type="table" w:styleId="TableGrid">
    <w:name w:val="Table Grid"/>
    <w:basedOn w:val="TableNormal"/>
    <w:uiPriority w:val="39"/>
    <w:rsid w:val="004C07C1"/>
    <w:pPr>
      <w:spacing w:after="0" w:line="240" w:lineRule="auto"/>
    </w:pPr>
    <w:rPr>
      <w:rFonts w:ascii="Times New Roman" w:eastAsiaTheme="minorHAnsi" w:hAnsi="Times New Roman"/>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6CC"/>
    <w:rPr>
      <w:rFonts w:ascii="Segoe UI" w:hAnsi="Segoe UI" w:cs="Segoe UI"/>
      <w:sz w:val="18"/>
      <w:szCs w:val="18"/>
    </w:rPr>
  </w:style>
  <w:style w:type="character" w:customStyle="1" w:styleId="cf01">
    <w:name w:val="cf01"/>
    <w:basedOn w:val="DefaultParagraphFont"/>
    <w:rsid w:val="008E7DA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63951">
      <w:bodyDiv w:val="1"/>
      <w:marLeft w:val="0"/>
      <w:marRight w:val="0"/>
      <w:marTop w:val="0"/>
      <w:marBottom w:val="0"/>
      <w:divBdr>
        <w:top w:val="none" w:sz="0" w:space="0" w:color="auto"/>
        <w:left w:val="none" w:sz="0" w:space="0" w:color="auto"/>
        <w:bottom w:val="none" w:sz="0" w:space="0" w:color="auto"/>
        <w:right w:val="none" w:sz="0" w:space="0" w:color="auto"/>
      </w:divBdr>
      <w:divsChild>
        <w:div w:id="727650382">
          <w:marLeft w:val="446"/>
          <w:marRight w:val="0"/>
          <w:marTop w:val="120"/>
          <w:marBottom w:val="120"/>
          <w:divBdr>
            <w:top w:val="none" w:sz="0" w:space="0" w:color="auto"/>
            <w:left w:val="none" w:sz="0" w:space="0" w:color="auto"/>
            <w:bottom w:val="none" w:sz="0" w:space="0" w:color="auto"/>
            <w:right w:val="none" w:sz="0" w:space="0" w:color="auto"/>
          </w:divBdr>
        </w:div>
      </w:divsChild>
    </w:div>
    <w:div w:id="980384930">
      <w:bodyDiv w:val="1"/>
      <w:marLeft w:val="0"/>
      <w:marRight w:val="0"/>
      <w:marTop w:val="0"/>
      <w:marBottom w:val="0"/>
      <w:divBdr>
        <w:top w:val="none" w:sz="0" w:space="0" w:color="auto"/>
        <w:left w:val="none" w:sz="0" w:space="0" w:color="auto"/>
        <w:bottom w:val="none" w:sz="0" w:space="0" w:color="auto"/>
        <w:right w:val="none" w:sz="0" w:space="0" w:color="auto"/>
      </w:divBdr>
    </w:div>
    <w:div w:id="1075737455">
      <w:bodyDiv w:val="1"/>
      <w:marLeft w:val="0"/>
      <w:marRight w:val="0"/>
      <w:marTop w:val="0"/>
      <w:marBottom w:val="0"/>
      <w:divBdr>
        <w:top w:val="none" w:sz="0" w:space="0" w:color="auto"/>
        <w:left w:val="none" w:sz="0" w:space="0" w:color="auto"/>
        <w:bottom w:val="none" w:sz="0" w:space="0" w:color="auto"/>
        <w:right w:val="none" w:sz="0" w:space="0" w:color="auto"/>
      </w:divBdr>
    </w:div>
    <w:div w:id="1128090637">
      <w:bodyDiv w:val="1"/>
      <w:marLeft w:val="0"/>
      <w:marRight w:val="0"/>
      <w:marTop w:val="0"/>
      <w:marBottom w:val="0"/>
      <w:divBdr>
        <w:top w:val="none" w:sz="0" w:space="0" w:color="auto"/>
        <w:left w:val="none" w:sz="0" w:space="0" w:color="auto"/>
        <w:bottom w:val="none" w:sz="0" w:space="0" w:color="auto"/>
        <w:right w:val="none" w:sz="0" w:space="0" w:color="auto"/>
      </w:divBdr>
    </w:div>
    <w:div w:id="1229219661">
      <w:bodyDiv w:val="1"/>
      <w:marLeft w:val="0"/>
      <w:marRight w:val="0"/>
      <w:marTop w:val="0"/>
      <w:marBottom w:val="0"/>
      <w:divBdr>
        <w:top w:val="none" w:sz="0" w:space="0" w:color="auto"/>
        <w:left w:val="none" w:sz="0" w:space="0" w:color="auto"/>
        <w:bottom w:val="none" w:sz="0" w:space="0" w:color="auto"/>
        <w:right w:val="none" w:sz="0" w:space="0" w:color="auto"/>
      </w:divBdr>
    </w:div>
    <w:div w:id="1340354580">
      <w:bodyDiv w:val="1"/>
      <w:marLeft w:val="0"/>
      <w:marRight w:val="0"/>
      <w:marTop w:val="0"/>
      <w:marBottom w:val="0"/>
      <w:divBdr>
        <w:top w:val="none" w:sz="0" w:space="0" w:color="auto"/>
        <w:left w:val="none" w:sz="0" w:space="0" w:color="auto"/>
        <w:bottom w:val="none" w:sz="0" w:space="0" w:color="auto"/>
        <w:right w:val="none" w:sz="0" w:space="0" w:color="auto"/>
      </w:divBdr>
    </w:div>
    <w:div w:id="1655597658">
      <w:bodyDiv w:val="1"/>
      <w:marLeft w:val="0"/>
      <w:marRight w:val="0"/>
      <w:marTop w:val="0"/>
      <w:marBottom w:val="0"/>
      <w:divBdr>
        <w:top w:val="none" w:sz="0" w:space="0" w:color="auto"/>
        <w:left w:val="none" w:sz="0" w:space="0" w:color="auto"/>
        <w:bottom w:val="none" w:sz="0" w:space="0" w:color="auto"/>
        <w:right w:val="none" w:sz="0" w:space="0" w:color="auto"/>
      </w:divBdr>
      <w:divsChild>
        <w:div w:id="1213885213">
          <w:marLeft w:val="0"/>
          <w:marRight w:val="0"/>
          <w:marTop w:val="0"/>
          <w:marBottom w:val="360"/>
          <w:divBdr>
            <w:top w:val="none" w:sz="0" w:space="0" w:color="auto"/>
            <w:left w:val="none" w:sz="0" w:space="0" w:color="auto"/>
            <w:bottom w:val="none" w:sz="0" w:space="0" w:color="auto"/>
            <w:right w:val="none" w:sz="0" w:space="0" w:color="auto"/>
          </w:divBdr>
        </w:div>
      </w:divsChild>
    </w:div>
    <w:div w:id="1757626441">
      <w:bodyDiv w:val="1"/>
      <w:marLeft w:val="0"/>
      <w:marRight w:val="0"/>
      <w:marTop w:val="0"/>
      <w:marBottom w:val="0"/>
      <w:divBdr>
        <w:top w:val="none" w:sz="0" w:space="0" w:color="auto"/>
        <w:left w:val="none" w:sz="0" w:space="0" w:color="auto"/>
        <w:bottom w:val="none" w:sz="0" w:space="0" w:color="auto"/>
        <w:right w:val="none" w:sz="0" w:space="0" w:color="auto"/>
      </w:divBdr>
    </w:div>
    <w:div w:id="1770079317">
      <w:bodyDiv w:val="1"/>
      <w:marLeft w:val="0"/>
      <w:marRight w:val="0"/>
      <w:marTop w:val="0"/>
      <w:marBottom w:val="0"/>
      <w:divBdr>
        <w:top w:val="none" w:sz="0" w:space="0" w:color="auto"/>
        <w:left w:val="none" w:sz="0" w:space="0" w:color="auto"/>
        <w:bottom w:val="none" w:sz="0" w:space="0" w:color="auto"/>
        <w:right w:val="none" w:sz="0" w:space="0" w:color="auto"/>
      </w:divBdr>
    </w:div>
    <w:div w:id="1917275392">
      <w:bodyDiv w:val="1"/>
      <w:marLeft w:val="0"/>
      <w:marRight w:val="0"/>
      <w:marTop w:val="0"/>
      <w:marBottom w:val="0"/>
      <w:divBdr>
        <w:top w:val="none" w:sz="0" w:space="0" w:color="auto"/>
        <w:left w:val="none" w:sz="0" w:space="0" w:color="auto"/>
        <w:bottom w:val="none" w:sz="0" w:space="0" w:color="auto"/>
        <w:right w:val="none" w:sz="0" w:space="0" w:color="auto"/>
      </w:divBdr>
    </w:div>
    <w:div w:id="1983078358">
      <w:bodyDiv w:val="1"/>
      <w:marLeft w:val="0"/>
      <w:marRight w:val="0"/>
      <w:marTop w:val="0"/>
      <w:marBottom w:val="0"/>
      <w:divBdr>
        <w:top w:val="none" w:sz="0" w:space="0" w:color="auto"/>
        <w:left w:val="none" w:sz="0" w:space="0" w:color="auto"/>
        <w:bottom w:val="none" w:sz="0" w:space="0" w:color="auto"/>
        <w:right w:val="none" w:sz="0" w:space="0" w:color="auto"/>
      </w:divBdr>
    </w:div>
    <w:div w:id="201904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BC682-9547-4B28-92CF-7E7DA62108E7}">
  <ds:schemaRefs>
    <ds:schemaRef ds:uri="http://schemas.microsoft.com/sharepoint/v3/contenttype/forms"/>
  </ds:schemaRefs>
</ds:datastoreItem>
</file>

<file path=customXml/itemProps2.xml><?xml version="1.0" encoding="utf-8"?>
<ds:datastoreItem xmlns:ds="http://schemas.openxmlformats.org/officeDocument/2006/customXml" ds:itemID="{9399BD46-F768-4B7F-BB54-9C716F972BA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0A2114A3-47A8-45CD-B355-32938FE11C4A}"/>
</file>

<file path=docProps/app.xml><?xml version="1.0" encoding="utf-8"?>
<Properties xmlns="http://schemas.openxmlformats.org/officeDocument/2006/extended-properties" xmlns:vt="http://schemas.openxmlformats.org/officeDocument/2006/docPropsVTypes">
  <Template>Normal.dotm</Template>
  <TotalTime>0</TotalTime>
  <Pages>1</Pages>
  <Words>1143</Words>
  <Characters>6642</Characters>
  <Application>Microsoft Office Word</Application>
  <DocSecurity>0</DocSecurity>
  <Lines>246</Lines>
  <Paragraphs>134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2024-05-14T01:48:00Z</dcterms:created>
  <dcterms:modified xsi:type="dcterms:W3CDTF">2024-05-15T08:23:00Z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