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7AF1B2D1" w14:textId="77777777" w:rsidTr="00387CD4">
        <w:trPr>
          <w:trHeight w:hRule="exact" w:val="851"/>
        </w:trPr>
        <w:tc>
          <w:tcPr>
            <w:tcW w:w="142" w:type="dxa"/>
            <w:tcBorders>
              <w:bottom w:val="single" w:sz="4" w:space="0" w:color="auto"/>
            </w:tcBorders>
          </w:tcPr>
          <w:p w14:paraId="047BECD2" w14:textId="77777777" w:rsidR="002D5AAC" w:rsidRDefault="002D5AAC" w:rsidP="00C15CF2">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2138DC14"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D5FB00D" w14:textId="184886AB" w:rsidR="002D5AAC" w:rsidRDefault="00C15CF2" w:rsidP="00C15CF2">
            <w:pPr>
              <w:jc w:val="right"/>
            </w:pPr>
            <w:r w:rsidRPr="00C15CF2">
              <w:rPr>
                <w:sz w:val="40"/>
              </w:rPr>
              <w:t>ECE</w:t>
            </w:r>
            <w:r>
              <w:t>/TRANS/WP.29/2024/78</w:t>
            </w:r>
          </w:p>
        </w:tc>
      </w:tr>
      <w:tr w:rsidR="002D5AAC" w14:paraId="3EDFD24B" w14:textId="77777777" w:rsidTr="00387CD4">
        <w:trPr>
          <w:trHeight w:hRule="exact" w:val="2835"/>
        </w:trPr>
        <w:tc>
          <w:tcPr>
            <w:tcW w:w="1280" w:type="dxa"/>
            <w:gridSpan w:val="2"/>
            <w:tcBorders>
              <w:top w:val="single" w:sz="4" w:space="0" w:color="auto"/>
              <w:bottom w:val="single" w:sz="12" w:space="0" w:color="auto"/>
            </w:tcBorders>
          </w:tcPr>
          <w:p w14:paraId="256602CC" w14:textId="77777777" w:rsidR="002D5AAC" w:rsidRDefault="002E5067" w:rsidP="00387CD4">
            <w:pPr>
              <w:spacing w:before="120"/>
              <w:jc w:val="center"/>
            </w:pPr>
            <w:r>
              <w:rPr>
                <w:noProof/>
                <w:lang w:val="fr-CH" w:eastAsia="fr-CH"/>
              </w:rPr>
              <w:drawing>
                <wp:inline distT="0" distB="0" distL="0" distR="0" wp14:anchorId="42FF4537" wp14:editId="560F2945">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5862426"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063CF903" w14:textId="77777777" w:rsidR="002D5AAC" w:rsidRDefault="00C15CF2" w:rsidP="00387CD4">
            <w:pPr>
              <w:spacing w:before="240"/>
              <w:rPr>
                <w:lang w:val="en-US"/>
              </w:rPr>
            </w:pPr>
            <w:r>
              <w:rPr>
                <w:lang w:val="en-US"/>
              </w:rPr>
              <w:t>Distr.: General</w:t>
            </w:r>
          </w:p>
          <w:p w14:paraId="626FA2EF" w14:textId="77777777" w:rsidR="00C15CF2" w:rsidRDefault="00C15CF2" w:rsidP="00C15CF2">
            <w:pPr>
              <w:spacing w:line="240" w:lineRule="exact"/>
              <w:rPr>
                <w:lang w:val="en-US"/>
              </w:rPr>
            </w:pPr>
            <w:r>
              <w:rPr>
                <w:lang w:val="en-US"/>
              </w:rPr>
              <w:t>2 April 2024</w:t>
            </w:r>
          </w:p>
          <w:p w14:paraId="50A77F5B" w14:textId="77777777" w:rsidR="00C15CF2" w:rsidRDefault="00C15CF2" w:rsidP="00C15CF2">
            <w:pPr>
              <w:spacing w:line="240" w:lineRule="exact"/>
              <w:rPr>
                <w:lang w:val="en-US"/>
              </w:rPr>
            </w:pPr>
            <w:r>
              <w:rPr>
                <w:lang w:val="en-US"/>
              </w:rPr>
              <w:t>Russian</w:t>
            </w:r>
          </w:p>
          <w:p w14:paraId="1625B00E" w14:textId="1F22F03D" w:rsidR="00C15CF2" w:rsidRPr="008D53B6" w:rsidRDefault="00C15CF2" w:rsidP="00C15CF2">
            <w:pPr>
              <w:spacing w:line="240" w:lineRule="exact"/>
              <w:rPr>
                <w:lang w:val="en-US"/>
              </w:rPr>
            </w:pPr>
            <w:r>
              <w:rPr>
                <w:lang w:val="en-US"/>
              </w:rPr>
              <w:t>Original: English</w:t>
            </w:r>
          </w:p>
        </w:tc>
      </w:tr>
    </w:tbl>
    <w:p w14:paraId="2B934C7B"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2FFABFC3" w14:textId="77777777" w:rsidR="00C15CF2" w:rsidRPr="00C15CF2" w:rsidRDefault="00C15CF2" w:rsidP="00C15CF2">
      <w:pPr>
        <w:spacing w:before="120"/>
        <w:rPr>
          <w:sz w:val="28"/>
          <w:szCs w:val="28"/>
        </w:rPr>
      </w:pPr>
      <w:r w:rsidRPr="00C15CF2">
        <w:rPr>
          <w:sz w:val="28"/>
          <w:szCs w:val="28"/>
        </w:rPr>
        <w:t>Комитет по внутреннему транспорту</w:t>
      </w:r>
    </w:p>
    <w:p w14:paraId="419B644C" w14:textId="34B32FF2" w:rsidR="00C15CF2" w:rsidRPr="00C15CF2" w:rsidRDefault="00C15CF2" w:rsidP="00C15CF2">
      <w:pPr>
        <w:spacing w:before="120"/>
        <w:rPr>
          <w:b/>
          <w:sz w:val="24"/>
          <w:szCs w:val="24"/>
        </w:rPr>
      </w:pPr>
      <w:r w:rsidRPr="00C15CF2">
        <w:rPr>
          <w:b/>
          <w:bCs/>
          <w:sz w:val="24"/>
          <w:szCs w:val="24"/>
        </w:rPr>
        <w:t xml:space="preserve">Всемирный форум для согласования правил </w:t>
      </w:r>
      <w:r>
        <w:rPr>
          <w:b/>
          <w:bCs/>
          <w:sz w:val="24"/>
          <w:szCs w:val="24"/>
        </w:rPr>
        <w:br/>
      </w:r>
      <w:r w:rsidRPr="00C15CF2">
        <w:rPr>
          <w:b/>
          <w:bCs/>
          <w:sz w:val="24"/>
          <w:szCs w:val="24"/>
        </w:rPr>
        <w:t>в области транспортных средств</w:t>
      </w:r>
    </w:p>
    <w:p w14:paraId="016383E4" w14:textId="77777777" w:rsidR="00C15CF2" w:rsidRPr="00153D83" w:rsidRDefault="00C15CF2" w:rsidP="00C15CF2">
      <w:pPr>
        <w:spacing w:before="120"/>
        <w:rPr>
          <w:b/>
        </w:rPr>
      </w:pPr>
      <w:r>
        <w:rPr>
          <w:b/>
          <w:bCs/>
        </w:rPr>
        <w:t>Сто девяносто третья сессия</w:t>
      </w:r>
    </w:p>
    <w:p w14:paraId="61C771DB" w14:textId="5943194D" w:rsidR="00C15CF2" w:rsidRPr="00153D83" w:rsidRDefault="00C15CF2" w:rsidP="00C15CF2">
      <w:r>
        <w:t>Женева, 25–28 июня 2024 года</w:t>
      </w:r>
    </w:p>
    <w:p w14:paraId="3B67C8F5" w14:textId="77777777" w:rsidR="00C15CF2" w:rsidRPr="00153D83" w:rsidRDefault="00C15CF2" w:rsidP="00C15CF2">
      <w:r>
        <w:t>Пункт 14.2.1 предварительной повестки дня</w:t>
      </w:r>
    </w:p>
    <w:p w14:paraId="5402D902" w14:textId="577BD9A1" w:rsidR="00C15CF2" w:rsidRDefault="00C15CF2" w:rsidP="00C15CF2">
      <w:pPr>
        <w:rPr>
          <w:b/>
          <w:bCs/>
        </w:rPr>
      </w:pPr>
      <w:r>
        <w:rPr>
          <w:b/>
          <w:bCs/>
        </w:rPr>
        <w:t xml:space="preserve">Рассмотрение АС.3 </w:t>
      </w:r>
      <w:proofErr w:type="gramStart"/>
      <w:r>
        <w:rPr>
          <w:b/>
          <w:bCs/>
        </w:rPr>
        <w:t>проектов</w:t>
      </w:r>
      <w:proofErr w:type="gramEnd"/>
      <w:r>
        <w:rPr>
          <w:b/>
          <w:bCs/>
        </w:rPr>
        <w:t xml:space="preserve"> ГТП ООН </w:t>
      </w:r>
      <w:r>
        <w:rPr>
          <w:b/>
          <w:bCs/>
        </w:rPr>
        <w:br/>
      </w:r>
      <w:r>
        <w:rPr>
          <w:b/>
          <w:bCs/>
        </w:rPr>
        <w:t xml:space="preserve">и/или проектов поправок к введенным ГТП ООН, </w:t>
      </w:r>
    </w:p>
    <w:p w14:paraId="0C4C0BAE" w14:textId="77777777" w:rsidR="00C15CF2" w:rsidRDefault="00C15CF2" w:rsidP="00C15CF2">
      <w:pPr>
        <w:rPr>
          <w:b/>
          <w:bCs/>
        </w:rPr>
      </w:pPr>
      <w:r>
        <w:rPr>
          <w:b/>
          <w:bCs/>
        </w:rPr>
        <w:t xml:space="preserve">если таковые представлены, и голосование по ним: </w:t>
      </w:r>
    </w:p>
    <w:p w14:paraId="39890D37" w14:textId="7EC570C4" w:rsidR="00C15CF2" w:rsidRPr="00153D83" w:rsidRDefault="00C15CF2" w:rsidP="00C15CF2">
      <w:pPr>
        <w:rPr>
          <w:b/>
          <w:bCs/>
        </w:rPr>
      </w:pPr>
      <w:r>
        <w:rPr>
          <w:b/>
          <w:bCs/>
        </w:rPr>
        <w:t xml:space="preserve">Предложение по поправке к ГТП ООН, </w:t>
      </w:r>
      <w:r>
        <w:rPr>
          <w:b/>
          <w:bCs/>
        </w:rPr>
        <w:br/>
      </w:r>
      <w:r>
        <w:rPr>
          <w:b/>
          <w:bCs/>
        </w:rPr>
        <w:t>если таковая представлена</w:t>
      </w:r>
    </w:p>
    <w:p w14:paraId="59CCC907" w14:textId="5B462B7F" w:rsidR="00C15CF2" w:rsidRPr="00153D83" w:rsidRDefault="00C15CF2" w:rsidP="00C15CF2">
      <w:pPr>
        <w:pStyle w:val="HChG"/>
      </w:pPr>
      <w:r>
        <w:tab/>
      </w:r>
      <w:r>
        <w:tab/>
      </w:r>
      <w:r>
        <w:t xml:space="preserve">Предложение по окончательному докладу </w:t>
      </w:r>
      <w:r>
        <w:br/>
      </w:r>
      <w:r>
        <w:t xml:space="preserve">о разработке поправки 3 к Глобальным техническим правилам № 9 ООН (безопасность пешеходов), касающейся складных систем защиты пешеходов </w:t>
      </w:r>
    </w:p>
    <w:p w14:paraId="2048E76A" w14:textId="77777777" w:rsidR="00C15CF2" w:rsidRPr="00153D83" w:rsidRDefault="00C15CF2" w:rsidP="00C15CF2">
      <w:pPr>
        <w:pStyle w:val="H1G"/>
        <w:rPr>
          <w:szCs w:val="24"/>
        </w:rPr>
      </w:pPr>
      <w:r>
        <w:tab/>
      </w:r>
      <w:r>
        <w:tab/>
      </w:r>
      <w:r>
        <w:rPr>
          <w:bCs/>
        </w:rPr>
        <w:t>Представлено Рабочей группой по пассивной безопасности</w:t>
      </w:r>
      <w:r w:rsidRPr="00C15CF2">
        <w:rPr>
          <w:b w:val="0"/>
          <w:bCs/>
          <w:sz w:val="20"/>
        </w:rPr>
        <w:t>*</w:t>
      </w:r>
    </w:p>
    <w:p w14:paraId="27E28721" w14:textId="54996709" w:rsidR="00C15CF2" w:rsidRPr="00153D83" w:rsidRDefault="00C15CF2" w:rsidP="00C15CF2">
      <w:pPr>
        <w:pStyle w:val="SingleTxtG"/>
        <w:rPr>
          <w:sz w:val="24"/>
          <w:szCs w:val="24"/>
        </w:rPr>
      </w:pPr>
      <w:r>
        <w:tab/>
      </w:r>
      <w:r>
        <w:footnoteReference w:customMarkFollows="1" w:id="1"/>
        <w:t>Воспроизведенный ниже текст был принят Рабочей группой по пассивной безопасности (GRSP) на ее семьдесят четвертой сессии (ECE/TRANS/WP.29/GRSP/74, п.</w:t>
      </w:r>
      <w:r>
        <w:rPr>
          <w:lang w:val="fr-CH"/>
        </w:rPr>
        <w:t> </w:t>
      </w:r>
      <w:r>
        <w:t>5). В его основу положен документ GRSP-74-11-Rev.1, воспроизведенный в приложении II к докладу. Этот текст представлен Всемирному форуму для согласования правил в области транспортных средств (WP.29) и Исполнительному комитету Соглашения 1998 года (AC.3) для рассмотрения на их сессиях в июне 2023</w:t>
      </w:r>
      <w:r>
        <w:rPr>
          <w:lang w:val="fr-CH"/>
        </w:rPr>
        <w:t> </w:t>
      </w:r>
      <w:r>
        <w:t>года.</w:t>
      </w:r>
    </w:p>
    <w:p w14:paraId="3866CA9D" w14:textId="77777777" w:rsidR="00C15CF2" w:rsidRPr="00153D83" w:rsidRDefault="00C15CF2" w:rsidP="00C15CF2">
      <w:pPr>
        <w:suppressAutoHyphens w:val="0"/>
        <w:spacing w:line="240" w:lineRule="auto"/>
      </w:pPr>
      <w:r w:rsidRPr="00153D83">
        <w:br w:type="page"/>
      </w:r>
    </w:p>
    <w:p w14:paraId="5A77C9C4" w14:textId="07DF7860" w:rsidR="00C15CF2" w:rsidRPr="00153D83" w:rsidRDefault="00C15CF2" w:rsidP="00C15CF2">
      <w:pPr>
        <w:pStyle w:val="HChG"/>
      </w:pPr>
      <w:r>
        <w:lastRenderedPageBreak/>
        <w:tab/>
      </w:r>
      <w:r>
        <w:tab/>
      </w:r>
      <w:r>
        <w:rPr>
          <w:bCs/>
        </w:rPr>
        <w:t xml:space="preserve">Окончательный доклад о разработке поправки 3 </w:t>
      </w:r>
      <w:r>
        <w:rPr>
          <w:bCs/>
        </w:rPr>
        <w:br/>
      </w:r>
      <w:r>
        <w:rPr>
          <w:bCs/>
        </w:rPr>
        <w:t>к Глобальным техническим правилам № 9 ООН (безопасность пешеходов), касающейся складных систем защиты пешеходов</w:t>
      </w:r>
    </w:p>
    <w:p w14:paraId="40845126" w14:textId="77777777" w:rsidR="00C15CF2" w:rsidRPr="00153D83" w:rsidRDefault="00C15CF2" w:rsidP="00C15CF2">
      <w:pPr>
        <w:pStyle w:val="HChG"/>
      </w:pPr>
      <w:bookmarkStart w:id="0" w:name="_Toc160014785"/>
      <w:r w:rsidRPr="005134A7">
        <w:tab/>
      </w:r>
      <w:r w:rsidRPr="00620485">
        <w:t>I</w:t>
      </w:r>
      <w:r w:rsidRPr="00153D83">
        <w:rPr>
          <w:b w:val="0"/>
        </w:rPr>
        <w:t>.</w:t>
      </w:r>
      <w:r w:rsidRPr="00153D83">
        <w:tab/>
        <w:t>Введение</w:t>
      </w:r>
      <w:bookmarkEnd w:id="0"/>
      <w:r w:rsidRPr="00153D83">
        <w:t xml:space="preserve"> </w:t>
      </w:r>
    </w:p>
    <w:p w14:paraId="2F29FCB1" w14:textId="774A0135" w:rsidR="00C15CF2" w:rsidRPr="00153D83" w:rsidRDefault="00C15CF2" w:rsidP="00C15CF2">
      <w:pPr>
        <w:pStyle w:val="SingleTxtG"/>
      </w:pPr>
      <w:r w:rsidRPr="00153D83">
        <w:t>1.</w:t>
      </w:r>
      <w:r w:rsidRPr="00153D83">
        <w:tab/>
        <w:t xml:space="preserve">Республика Корея обратилась к </w:t>
      </w:r>
      <w:r w:rsidRPr="00620485">
        <w:t>GRSP</w:t>
      </w:r>
      <w:r w:rsidRPr="00153D83">
        <w:t xml:space="preserve">, а также к </w:t>
      </w:r>
      <w:r w:rsidRPr="00620485">
        <w:t>WP</w:t>
      </w:r>
      <w:r w:rsidRPr="00153D83">
        <w:t xml:space="preserve">.29 и </w:t>
      </w:r>
      <w:r w:rsidRPr="00620485">
        <w:t>AC</w:t>
      </w:r>
      <w:r w:rsidRPr="00153D83">
        <w:t xml:space="preserve">.3 с просьбой преобразовать ЦГ по ССЗП в неофициальную рабочую группу по складным системам защиты пешеходов (НРГ по ССЗП). </w:t>
      </w:r>
      <w:r w:rsidRPr="00620485">
        <w:t>WP</w:t>
      </w:r>
      <w:r w:rsidRPr="00153D83">
        <w:t xml:space="preserve">.29 и </w:t>
      </w:r>
      <w:r w:rsidRPr="00620485">
        <w:t>AC</w:t>
      </w:r>
      <w:r w:rsidRPr="00153D83">
        <w:t xml:space="preserve">.3 одобрили эту просьбу на своих </w:t>
      </w:r>
      <w:r>
        <w:t>сто семьдесят четвертой</w:t>
      </w:r>
      <w:r w:rsidR="009444A8">
        <w:t xml:space="preserve"> </w:t>
      </w:r>
      <w:r w:rsidRPr="00153D83">
        <w:t>и пятьдесят второй сессиях в марте 2018 года.</w:t>
      </w:r>
    </w:p>
    <w:p w14:paraId="78CFDCA0" w14:textId="4DA7914C" w:rsidR="00C15CF2" w:rsidRPr="00153D83" w:rsidRDefault="00C15CF2" w:rsidP="00C15CF2">
      <w:pPr>
        <w:pStyle w:val="SingleTxtG"/>
      </w:pPr>
      <w:r w:rsidRPr="00153D83">
        <w:t>2.</w:t>
      </w:r>
      <w:r w:rsidRPr="00153D83">
        <w:tab/>
        <w:t xml:space="preserve">На </w:t>
      </w:r>
      <w:r>
        <w:t>сто восемьдесят четвертой, сто восемьдесят седьмой и сто девяностой</w:t>
      </w:r>
      <w:r w:rsidRPr="00153D83">
        <w:t xml:space="preserve"> сессиях </w:t>
      </w:r>
      <w:r w:rsidRPr="00620485">
        <w:t>WP</w:t>
      </w:r>
      <w:r w:rsidRPr="00153D83">
        <w:t xml:space="preserve">.29, </w:t>
      </w:r>
      <w:r w:rsidRPr="00620485">
        <w:t>WP</w:t>
      </w:r>
      <w:r w:rsidRPr="00153D83">
        <w:t xml:space="preserve">.29 и </w:t>
      </w:r>
      <w:r w:rsidRPr="00620485">
        <w:t>AC</w:t>
      </w:r>
      <w:r w:rsidRPr="00153D83">
        <w:t>.3 одобрили продление мандата до ноября 2022 года, затем до ноября 2023 года и недавно до мая 2024 года.</w:t>
      </w:r>
    </w:p>
    <w:p w14:paraId="594FED85" w14:textId="77777777" w:rsidR="00C15CF2" w:rsidRPr="00153D83" w:rsidRDefault="00C15CF2" w:rsidP="00C15CF2">
      <w:pPr>
        <w:pStyle w:val="HChG"/>
      </w:pPr>
      <w:r w:rsidRPr="00153D83">
        <w:tab/>
      </w:r>
      <w:bookmarkStart w:id="1" w:name="_Toc160014786"/>
      <w:r w:rsidRPr="00620485">
        <w:t>II</w:t>
      </w:r>
      <w:r w:rsidRPr="00153D83">
        <w:rPr>
          <w:b w:val="0"/>
        </w:rPr>
        <w:t>.</w:t>
      </w:r>
      <w:r w:rsidRPr="00153D83">
        <w:tab/>
        <w:t>Цели неофициальной рабочей группы</w:t>
      </w:r>
      <w:bookmarkEnd w:id="1"/>
    </w:p>
    <w:p w14:paraId="6A57E9D8" w14:textId="77777777" w:rsidR="00C15CF2" w:rsidRPr="00153D83" w:rsidRDefault="00C15CF2" w:rsidP="00C15CF2">
      <w:pPr>
        <w:pStyle w:val="SingleTxtG"/>
      </w:pPr>
      <w:r w:rsidRPr="00153D83">
        <w:t>3.</w:t>
      </w:r>
      <w:r w:rsidRPr="00153D83">
        <w:tab/>
        <w:t>Цель НРГ по ССЗП — это разработка предложений по процедурам испытаний для ССЗП. Вместе с тем НРГ также решила при необходимости разработать новые, более подробные требования, с тем чтобы новая процедура гарантировала надлежащую активацию складных систем в соответствии с конструкцией для защиты пешеходов и других уязвимых участников дорожного движения и обеспечивала, как минимум, тот же уровень защиты пешеходов и других уязвимых участников дорожного движения, как и в случае нескладных систем. В этой связи было внесено предложение по поправкам к соответствующим разделам ГТП №</w:t>
      </w:r>
      <w:r>
        <w:t> </w:t>
      </w:r>
      <w:r w:rsidRPr="00153D83">
        <w:t>9 ООН.</w:t>
      </w:r>
    </w:p>
    <w:p w14:paraId="49B2FE33" w14:textId="77777777" w:rsidR="00C15CF2" w:rsidRPr="00153D83" w:rsidRDefault="00C15CF2" w:rsidP="00C15CF2">
      <w:pPr>
        <w:pStyle w:val="HChG"/>
      </w:pPr>
      <w:r w:rsidRPr="00153D83">
        <w:tab/>
      </w:r>
      <w:bookmarkStart w:id="2" w:name="_Toc160014787"/>
      <w:r w:rsidRPr="00620485">
        <w:t>III</w:t>
      </w:r>
      <w:r w:rsidRPr="00153D83">
        <w:rPr>
          <w:b w:val="0"/>
        </w:rPr>
        <w:t>.</w:t>
      </w:r>
      <w:r w:rsidRPr="00153D83">
        <w:tab/>
      </w:r>
      <w:r>
        <w:t>Краткий о</w:t>
      </w:r>
      <w:r w:rsidRPr="00153D83">
        <w:t>бзор деятельности неофициальной рабочей группы</w:t>
      </w:r>
      <w:bookmarkEnd w:id="2"/>
    </w:p>
    <w:p w14:paraId="72CED898" w14:textId="77777777" w:rsidR="00C15CF2" w:rsidRPr="00153D83" w:rsidRDefault="00C15CF2" w:rsidP="00C15CF2">
      <w:pPr>
        <w:pStyle w:val="SingleTxtG"/>
      </w:pPr>
      <w:r w:rsidRPr="00153D83">
        <w:t>4.</w:t>
      </w:r>
      <w:r w:rsidRPr="00153D83">
        <w:tab/>
        <w:t xml:space="preserve">Было подтверждено решение об учреждении </w:t>
      </w:r>
      <w:r w:rsidRPr="00620485">
        <w:t>H</w:t>
      </w:r>
      <w:r w:rsidRPr="00153D83">
        <w:t>РГ.</w:t>
      </w:r>
    </w:p>
    <w:p w14:paraId="045838E8" w14:textId="77777777" w:rsidR="00C15CF2" w:rsidRPr="00153D83" w:rsidRDefault="00C15CF2" w:rsidP="00C15CF2">
      <w:pPr>
        <w:pStyle w:val="SingleTxtG"/>
        <w:ind w:left="1701"/>
      </w:pPr>
      <w:r w:rsidRPr="00153D83">
        <w:t>Председатель: Чинсоп ПАРК (Республика Корея/Корейский институт исследований и испытаний автомототранспортных средств (КАТРИ)).</w:t>
      </w:r>
    </w:p>
    <w:p w14:paraId="478BCF28" w14:textId="77777777" w:rsidR="00C15CF2" w:rsidRPr="00153D83" w:rsidRDefault="00C15CF2" w:rsidP="00C15CF2">
      <w:pPr>
        <w:pStyle w:val="SingleTxtG"/>
        <w:ind w:left="1701"/>
      </w:pPr>
      <w:r w:rsidRPr="00153D83">
        <w:t xml:space="preserve">Секретарь: </w:t>
      </w:r>
    </w:p>
    <w:p w14:paraId="5997182F" w14:textId="77777777" w:rsidR="00C15CF2" w:rsidRPr="00153D83" w:rsidRDefault="00C15CF2" w:rsidP="00C15CF2">
      <w:pPr>
        <w:pStyle w:val="SingleTxtG"/>
        <w:ind w:left="2268" w:hanging="567"/>
      </w:pPr>
      <w:r w:rsidRPr="00153D83">
        <w:t>–</w:t>
      </w:r>
      <w:r w:rsidRPr="00153D83">
        <w:tab/>
        <w:t>1-е и 2-е совещания НРГ: Томас Кински («Опель»/Международная организация предприятий автомобильной промышленности (МОПАП));</w:t>
      </w:r>
    </w:p>
    <w:p w14:paraId="14879712" w14:textId="77777777" w:rsidR="00C15CF2" w:rsidRPr="00153D83" w:rsidRDefault="00C15CF2" w:rsidP="00C15CF2">
      <w:pPr>
        <w:pStyle w:val="SingleTxtG"/>
        <w:ind w:left="2268" w:hanging="567"/>
      </w:pPr>
      <w:r w:rsidRPr="00153D83">
        <w:t>–</w:t>
      </w:r>
      <w:r w:rsidRPr="00153D83">
        <w:tab/>
        <w:t xml:space="preserve">с 3-го по 26-е совещание НРГ: Ирина Досс («Рено»/Международная организация предприятий автомобильной промышленности (МОПАП)). </w:t>
      </w:r>
    </w:p>
    <w:p w14:paraId="30BB58C5" w14:textId="77777777" w:rsidR="00C15CF2" w:rsidRPr="00153D83" w:rsidRDefault="00C15CF2" w:rsidP="00C15CF2">
      <w:pPr>
        <w:pStyle w:val="SingleTxtG"/>
      </w:pPr>
      <w:r w:rsidRPr="00153D83">
        <w:t>Было сформировано несколько подгрупп для содействия проведению углубленных технических обсуждений ударного элемента, определенных испытаний модели головы, зоны испытаний на обнаружение, оценки пригодности МЧТ, процедуры моделирования и т. д.</w:t>
      </w:r>
    </w:p>
    <w:p w14:paraId="1E493F22" w14:textId="19AAE0FE" w:rsidR="00C15CF2" w:rsidRPr="00153D83" w:rsidRDefault="00C15CF2" w:rsidP="00C15CF2">
      <w:pPr>
        <w:pStyle w:val="SingleTxtG"/>
      </w:pPr>
      <w:r w:rsidRPr="00153D83">
        <w:t>5.</w:t>
      </w:r>
      <w:r w:rsidRPr="00153D83">
        <w:tab/>
        <w:t>Существующие базовые модели (БМ) транспортных средств и новая процедура оценки пригодности моделей человеческого тела (МЧТ) содержатся в дополнении 5 к</w:t>
      </w:r>
      <w:r w:rsidR="009444A8">
        <w:t> </w:t>
      </w:r>
      <w:r w:rsidRPr="00153D83">
        <w:t xml:space="preserve">ОР.1 и подлежат обновлению в зависимости от версий программного обеспечения и согласия со стороны </w:t>
      </w:r>
      <w:r w:rsidRPr="00620485">
        <w:t>GRSP</w:t>
      </w:r>
      <w:r w:rsidRPr="00153D83">
        <w:t>.</w:t>
      </w:r>
    </w:p>
    <w:p w14:paraId="7B07AC5A" w14:textId="77777777" w:rsidR="00C15CF2" w:rsidRPr="00153D83" w:rsidRDefault="00C15CF2" w:rsidP="00C15CF2">
      <w:pPr>
        <w:pStyle w:val="SingleTxtG"/>
      </w:pPr>
      <w:r w:rsidRPr="00153D83">
        <w:t>6.</w:t>
      </w:r>
      <w:r w:rsidRPr="00153D83">
        <w:tab/>
        <w:t>На оном из будущих этапов разработки ССЗП можно было бы рассмотреть следующие виды деятельности:</w:t>
      </w:r>
    </w:p>
    <w:p w14:paraId="706BF0F4" w14:textId="77777777" w:rsidR="00C15CF2" w:rsidRPr="00153D83" w:rsidRDefault="00C15CF2" w:rsidP="00C15CF2">
      <w:pPr>
        <w:pStyle w:val="SingleTxtG"/>
        <w:ind w:left="1701" w:hanging="567"/>
      </w:pPr>
      <w:r w:rsidRPr="00620485">
        <w:rPr>
          <w:rFonts w:ascii="Symbol" w:hAnsi="Symbol"/>
        </w:rPr>
        <w:t></w:t>
      </w:r>
      <w:r w:rsidRPr="00153D83">
        <w:rPr>
          <w:rFonts w:ascii="Symbol" w:hAnsi="Symbol"/>
        </w:rPr>
        <w:tab/>
      </w:r>
      <w:r w:rsidRPr="00153D83">
        <w:t>определение ВУГ в рамках общего подхода и/или с помощью физических испытаний на манекенах пешеходов;</w:t>
      </w:r>
    </w:p>
    <w:p w14:paraId="7807AF02" w14:textId="77777777" w:rsidR="00C15CF2" w:rsidRPr="00153D83" w:rsidRDefault="00C15CF2" w:rsidP="00C15CF2">
      <w:pPr>
        <w:pStyle w:val="SingleTxtG"/>
        <w:ind w:left="1701" w:hanging="567"/>
      </w:pPr>
      <w:r w:rsidRPr="00620485">
        <w:rPr>
          <w:rFonts w:ascii="Symbol" w:hAnsi="Symbol"/>
        </w:rPr>
        <w:lastRenderedPageBreak/>
        <w:t></w:t>
      </w:r>
      <w:r w:rsidRPr="00153D83">
        <w:rPr>
          <w:rFonts w:ascii="Symbol" w:hAnsi="Symbol"/>
        </w:rPr>
        <w:tab/>
      </w:r>
      <w:r w:rsidRPr="00153D83">
        <w:t>другие исследования (например, бесконтактные датчики, нагрузка на тело пешехода, защита при более высоких скоростях транспортного средства).</w:t>
      </w:r>
    </w:p>
    <w:p w14:paraId="59D1CEFE" w14:textId="77777777" w:rsidR="00C15CF2" w:rsidRPr="00153D83" w:rsidRDefault="00C15CF2" w:rsidP="00C15CF2">
      <w:pPr>
        <w:pStyle w:val="SingleTxtG"/>
      </w:pPr>
      <w:r w:rsidRPr="00153D83">
        <w:t>7.</w:t>
      </w:r>
      <w:r w:rsidRPr="00153D83">
        <w:tab/>
        <w:t>В Европе состоялось двадцать шесть совещаний (Брюссель, Женева, Лондон, Париж, Франкфурт, а также множество веб-встреч).</w:t>
      </w:r>
    </w:p>
    <w:p w14:paraId="60FEDC6F" w14:textId="77777777" w:rsidR="00C15CF2" w:rsidRPr="00153D83" w:rsidRDefault="00C15CF2" w:rsidP="00C15CF2">
      <w:pPr>
        <w:pStyle w:val="SingleTxtG"/>
      </w:pPr>
      <w:r w:rsidRPr="00153D83">
        <w:t>8.</w:t>
      </w:r>
      <w:r w:rsidRPr="00153D83">
        <w:tab/>
        <w:t>В этих совещаниях и встречах участвовали представители Австрии, Германии, Европейской комиссии, Испании, Италии, Нидерландов, Республики Корея, Соединенного Королевства, Соединенных Штатов Америки, Франции, Японии, Европейской ассоциации поставщиков товаров для автомобилей (КСАОД), Международной организации предприятий автомобильной промышленности (МОПАП) и независимые эксперты.</w:t>
      </w:r>
    </w:p>
    <w:p w14:paraId="2C5B7953" w14:textId="77777777" w:rsidR="00C15CF2" w:rsidRPr="00153D83" w:rsidRDefault="00C15CF2" w:rsidP="00C15CF2">
      <w:pPr>
        <w:pStyle w:val="SingleTxtG"/>
        <w:keepNext/>
      </w:pPr>
      <w:r w:rsidRPr="00153D83">
        <w:t>9.</w:t>
      </w:r>
      <w:r w:rsidRPr="00153D83">
        <w:tab/>
        <w:t xml:space="preserve">НРГ представила </w:t>
      </w:r>
      <w:r w:rsidRPr="00620485">
        <w:t>GRSP</w:t>
      </w:r>
      <w:r w:rsidRPr="00153D83">
        <w:t xml:space="preserve"> следующие сообщения или предложения:</w:t>
      </w:r>
    </w:p>
    <w:tbl>
      <w:tblPr>
        <w:tblW w:w="7370" w:type="dxa"/>
        <w:tblInd w:w="1134" w:type="dxa"/>
        <w:tblLayout w:type="fixed"/>
        <w:tblCellMar>
          <w:left w:w="0" w:type="dxa"/>
          <w:right w:w="0" w:type="dxa"/>
        </w:tblCellMar>
        <w:tblLook w:val="0000" w:firstRow="0" w:lastRow="0" w:firstColumn="0" w:lastColumn="0" w:noHBand="0" w:noVBand="0"/>
      </w:tblPr>
      <w:tblGrid>
        <w:gridCol w:w="3360"/>
        <w:gridCol w:w="4010"/>
      </w:tblGrid>
      <w:tr w:rsidR="00C15CF2" w:rsidRPr="00D06C5E" w14:paraId="6338D2DA" w14:textId="77777777" w:rsidTr="00A20CC2">
        <w:trPr>
          <w:tblHeader/>
        </w:trPr>
        <w:tc>
          <w:tcPr>
            <w:tcW w:w="3360" w:type="dxa"/>
            <w:tcBorders>
              <w:top w:val="single" w:sz="4" w:space="0" w:color="auto"/>
              <w:bottom w:val="single" w:sz="12" w:space="0" w:color="auto"/>
            </w:tcBorders>
            <w:shd w:val="clear" w:color="auto" w:fill="auto"/>
            <w:vAlign w:val="bottom"/>
          </w:tcPr>
          <w:p w14:paraId="4C4A2750" w14:textId="77777777" w:rsidR="00C15CF2" w:rsidRPr="00D06C5E" w:rsidRDefault="00C15CF2" w:rsidP="00A20CC2">
            <w:pPr>
              <w:spacing w:before="80" w:after="80" w:line="200" w:lineRule="exact"/>
              <w:ind w:left="28" w:right="113"/>
              <w:rPr>
                <w:i/>
                <w:sz w:val="16"/>
              </w:rPr>
            </w:pPr>
            <w:r w:rsidRPr="00D06C5E">
              <w:rPr>
                <w:i/>
                <w:sz w:val="16"/>
              </w:rPr>
              <w:t>Условное обозначение</w:t>
            </w:r>
          </w:p>
        </w:tc>
        <w:tc>
          <w:tcPr>
            <w:tcW w:w="4010" w:type="dxa"/>
            <w:tcBorders>
              <w:top w:val="single" w:sz="4" w:space="0" w:color="auto"/>
              <w:bottom w:val="single" w:sz="12" w:space="0" w:color="auto"/>
            </w:tcBorders>
            <w:shd w:val="clear" w:color="auto" w:fill="auto"/>
            <w:vAlign w:val="bottom"/>
          </w:tcPr>
          <w:p w14:paraId="53D310D0" w14:textId="77777777" w:rsidR="00C15CF2" w:rsidRPr="00D06C5E" w:rsidRDefault="00C15CF2" w:rsidP="00A20CC2">
            <w:pPr>
              <w:spacing w:before="80" w:after="80" w:line="200" w:lineRule="exact"/>
              <w:ind w:left="28" w:right="113"/>
              <w:rPr>
                <w:i/>
                <w:sz w:val="16"/>
              </w:rPr>
            </w:pPr>
            <w:r w:rsidRPr="00D06C5E">
              <w:rPr>
                <w:i/>
                <w:sz w:val="16"/>
              </w:rPr>
              <w:t>Название</w:t>
            </w:r>
          </w:p>
        </w:tc>
      </w:tr>
      <w:tr w:rsidR="00C15CF2" w:rsidRPr="00D06C5E" w14:paraId="74C437B7" w14:textId="77777777" w:rsidTr="00A20CC2">
        <w:trPr>
          <w:trHeight w:hRule="exact" w:val="113"/>
          <w:tblHeader/>
        </w:trPr>
        <w:tc>
          <w:tcPr>
            <w:tcW w:w="3360" w:type="dxa"/>
            <w:tcBorders>
              <w:top w:val="single" w:sz="12" w:space="0" w:color="auto"/>
            </w:tcBorders>
            <w:shd w:val="clear" w:color="auto" w:fill="auto"/>
          </w:tcPr>
          <w:p w14:paraId="15FDE67D" w14:textId="77777777" w:rsidR="00C15CF2" w:rsidRPr="00D06C5E" w:rsidRDefault="00C15CF2" w:rsidP="00A20CC2">
            <w:pPr>
              <w:spacing w:before="40" w:after="120"/>
              <w:ind w:left="28" w:right="113"/>
            </w:pPr>
          </w:p>
        </w:tc>
        <w:tc>
          <w:tcPr>
            <w:tcW w:w="4010" w:type="dxa"/>
            <w:tcBorders>
              <w:top w:val="single" w:sz="12" w:space="0" w:color="auto"/>
            </w:tcBorders>
            <w:shd w:val="clear" w:color="auto" w:fill="auto"/>
          </w:tcPr>
          <w:p w14:paraId="48801576" w14:textId="77777777" w:rsidR="00C15CF2" w:rsidRPr="00D06C5E" w:rsidRDefault="00C15CF2" w:rsidP="00A20CC2">
            <w:pPr>
              <w:spacing w:before="40" w:after="120"/>
              <w:ind w:left="28" w:right="113"/>
            </w:pPr>
          </w:p>
        </w:tc>
      </w:tr>
      <w:tr w:rsidR="00C15CF2" w:rsidRPr="005134A7" w14:paraId="2387E9ED" w14:textId="77777777" w:rsidTr="00A20CC2">
        <w:tc>
          <w:tcPr>
            <w:tcW w:w="3360" w:type="dxa"/>
            <w:shd w:val="clear" w:color="auto" w:fill="auto"/>
          </w:tcPr>
          <w:p w14:paraId="269A5E3E" w14:textId="77777777" w:rsidR="00C15CF2" w:rsidRPr="00D06C5E" w:rsidRDefault="00C15CF2" w:rsidP="00A20CC2">
            <w:pPr>
              <w:spacing w:before="40" w:after="120"/>
              <w:ind w:left="28" w:right="113"/>
            </w:pPr>
            <w:r w:rsidRPr="00D06C5E">
              <w:t>IWG-DPPS-1-03</w:t>
            </w:r>
          </w:p>
        </w:tc>
        <w:tc>
          <w:tcPr>
            <w:tcW w:w="4010" w:type="dxa"/>
            <w:shd w:val="clear" w:color="auto" w:fill="auto"/>
          </w:tcPr>
          <w:p w14:paraId="0B1E469F" w14:textId="77777777" w:rsidR="00C15CF2" w:rsidRPr="00153D83" w:rsidRDefault="00C15CF2" w:rsidP="00A20CC2">
            <w:pPr>
              <w:spacing w:before="40" w:after="120"/>
              <w:ind w:left="28" w:right="113"/>
            </w:pPr>
            <w:r w:rsidRPr="00153D83">
              <w:t>Круг ведения неофициальной рабочей группы по ССЗП в контексте ГТП №</w:t>
            </w:r>
            <w:r w:rsidRPr="00D06C5E">
              <w:t> </w:t>
            </w:r>
            <w:r w:rsidRPr="00153D83">
              <w:t>9 ООН (защита пешеходов)</w:t>
            </w:r>
          </w:p>
        </w:tc>
      </w:tr>
      <w:tr w:rsidR="00C15CF2" w:rsidRPr="005134A7" w14:paraId="4AB05F2C" w14:textId="77777777" w:rsidTr="00A20CC2">
        <w:tc>
          <w:tcPr>
            <w:tcW w:w="3360" w:type="dxa"/>
            <w:shd w:val="clear" w:color="auto" w:fill="auto"/>
          </w:tcPr>
          <w:p w14:paraId="3025EA5D" w14:textId="77777777" w:rsidR="00C15CF2" w:rsidRPr="00D06C5E" w:rsidRDefault="00C15CF2" w:rsidP="00A20CC2">
            <w:pPr>
              <w:spacing w:before="40" w:after="120"/>
              <w:ind w:left="28" w:right="113"/>
            </w:pPr>
            <w:r w:rsidRPr="00D06C5E">
              <w:t>GRSP-71-26</w:t>
            </w:r>
          </w:p>
        </w:tc>
        <w:tc>
          <w:tcPr>
            <w:tcW w:w="4010" w:type="dxa"/>
            <w:shd w:val="clear" w:color="auto" w:fill="auto"/>
          </w:tcPr>
          <w:p w14:paraId="399CAD47" w14:textId="77777777" w:rsidR="00C15CF2" w:rsidRPr="00153D83" w:rsidRDefault="00C15CF2" w:rsidP="00A20CC2">
            <w:pPr>
              <w:spacing w:before="40" w:after="120"/>
              <w:ind w:left="28" w:right="113"/>
            </w:pPr>
            <w:r w:rsidRPr="00153D83">
              <w:t>Промежуточный доклад о ходе работы</w:t>
            </w:r>
          </w:p>
        </w:tc>
      </w:tr>
      <w:tr w:rsidR="00C15CF2" w:rsidRPr="005134A7" w14:paraId="06CF33F5" w14:textId="77777777" w:rsidTr="00A20CC2">
        <w:tc>
          <w:tcPr>
            <w:tcW w:w="3360" w:type="dxa"/>
            <w:shd w:val="clear" w:color="auto" w:fill="auto"/>
          </w:tcPr>
          <w:p w14:paraId="6B4007C7" w14:textId="77777777" w:rsidR="00C15CF2" w:rsidRPr="00D06C5E" w:rsidRDefault="00C15CF2" w:rsidP="00A20CC2">
            <w:pPr>
              <w:spacing w:before="40" w:after="120"/>
              <w:ind w:left="28" w:right="113"/>
            </w:pPr>
            <w:r w:rsidRPr="00D06C5E">
              <w:t>GRSP-72-11</w:t>
            </w:r>
          </w:p>
        </w:tc>
        <w:tc>
          <w:tcPr>
            <w:tcW w:w="4010" w:type="dxa"/>
            <w:shd w:val="clear" w:color="auto" w:fill="auto"/>
          </w:tcPr>
          <w:p w14:paraId="1277539C" w14:textId="77777777" w:rsidR="00C15CF2" w:rsidRPr="00153D83" w:rsidRDefault="00C15CF2" w:rsidP="00A20CC2">
            <w:pPr>
              <w:spacing w:before="40" w:after="120"/>
              <w:ind w:left="28" w:right="113"/>
            </w:pPr>
            <w:r w:rsidRPr="00153D83">
              <w:t>2-й доклад о ходе работы</w:t>
            </w:r>
          </w:p>
        </w:tc>
      </w:tr>
      <w:tr w:rsidR="00C15CF2" w:rsidRPr="005134A7" w14:paraId="2A22FFE1" w14:textId="77777777" w:rsidTr="00A20CC2">
        <w:tc>
          <w:tcPr>
            <w:tcW w:w="3360" w:type="dxa"/>
            <w:shd w:val="clear" w:color="auto" w:fill="auto"/>
          </w:tcPr>
          <w:p w14:paraId="5608FEE4" w14:textId="77777777" w:rsidR="00C15CF2" w:rsidRPr="00D06C5E" w:rsidRDefault="00C15CF2" w:rsidP="00A20CC2">
            <w:pPr>
              <w:spacing w:before="40" w:after="120"/>
              <w:ind w:left="28" w:right="113"/>
            </w:pPr>
            <w:r w:rsidRPr="00D06C5E">
              <w:t>ECE/TRANS/WP.29/GRSP/2023/31</w:t>
            </w:r>
          </w:p>
        </w:tc>
        <w:tc>
          <w:tcPr>
            <w:tcW w:w="4010" w:type="dxa"/>
            <w:shd w:val="clear" w:color="auto" w:fill="auto"/>
          </w:tcPr>
          <w:p w14:paraId="32275635" w14:textId="77777777" w:rsidR="00C15CF2" w:rsidRPr="00153D83" w:rsidRDefault="00C15CF2" w:rsidP="00A20CC2">
            <w:pPr>
              <w:spacing w:before="40" w:after="120"/>
              <w:ind w:left="28" w:right="113"/>
            </w:pPr>
            <w:r w:rsidRPr="00153D83">
              <w:t>Предложение по поправке 3 к Глобальным техническим правилам №</w:t>
            </w:r>
            <w:r w:rsidRPr="00D06C5E">
              <w:t> </w:t>
            </w:r>
            <w:r w:rsidRPr="00153D83">
              <w:t>9 ООН (безопасность пешеходов)</w:t>
            </w:r>
          </w:p>
        </w:tc>
      </w:tr>
      <w:tr w:rsidR="00C15CF2" w:rsidRPr="005134A7" w14:paraId="1114A022" w14:textId="77777777" w:rsidTr="00A20CC2">
        <w:tc>
          <w:tcPr>
            <w:tcW w:w="3360" w:type="dxa"/>
            <w:shd w:val="clear" w:color="auto" w:fill="auto"/>
          </w:tcPr>
          <w:p w14:paraId="1BBF1F4D" w14:textId="77777777" w:rsidR="00C15CF2" w:rsidRPr="00D06C5E" w:rsidRDefault="00C15CF2" w:rsidP="00A20CC2">
            <w:pPr>
              <w:spacing w:before="40" w:after="120"/>
              <w:ind w:left="28" w:right="113"/>
            </w:pPr>
            <w:r w:rsidRPr="00D06C5E">
              <w:t>ECE/TRANS/WP.29/GRSP/2023/33</w:t>
            </w:r>
          </w:p>
        </w:tc>
        <w:tc>
          <w:tcPr>
            <w:tcW w:w="4010" w:type="dxa"/>
            <w:shd w:val="clear" w:color="auto" w:fill="auto"/>
          </w:tcPr>
          <w:p w14:paraId="0E20882B" w14:textId="77777777" w:rsidR="00C15CF2" w:rsidRPr="00153D83" w:rsidRDefault="00C15CF2" w:rsidP="00A20CC2">
            <w:pPr>
              <w:spacing w:before="40" w:after="120"/>
              <w:ind w:left="28" w:right="113"/>
            </w:pPr>
            <w:r w:rsidRPr="00153D83">
              <w:t>Предложение по поправке 4 к Общей резолюции № 1 (ОР.1) в контексте соглашений 1958 и 1998 годов</w:t>
            </w:r>
          </w:p>
        </w:tc>
      </w:tr>
      <w:tr w:rsidR="00C15CF2" w:rsidRPr="005134A7" w14:paraId="77221897" w14:textId="77777777" w:rsidTr="00A20CC2">
        <w:tc>
          <w:tcPr>
            <w:tcW w:w="3360" w:type="dxa"/>
            <w:shd w:val="clear" w:color="auto" w:fill="auto"/>
          </w:tcPr>
          <w:p w14:paraId="5F4FE8E7" w14:textId="77777777" w:rsidR="00C15CF2" w:rsidRPr="00D06C5E" w:rsidRDefault="00C15CF2" w:rsidP="00A20CC2">
            <w:pPr>
              <w:spacing w:before="40" w:after="120"/>
              <w:ind w:left="28" w:right="113"/>
            </w:pPr>
            <w:r w:rsidRPr="00D06C5E">
              <w:t xml:space="preserve">GRSP-74-22 </w:t>
            </w:r>
          </w:p>
        </w:tc>
        <w:tc>
          <w:tcPr>
            <w:tcW w:w="4010" w:type="dxa"/>
            <w:shd w:val="clear" w:color="auto" w:fill="auto"/>
          </w:tcPr>
          <w:p w14:paraId="17A6DABC" w14:textId="77777777" w:rsidR="00C15CF2" w:rsidRPr="00153D83" w:rsidRDefault="00C15CF2" w:rsidP="00A20CC2">
            <w:pPr>
              <w:spacing w:before="40" w:after="120"/>
              <w:ind w:left="28" w:right="113"/>
            </w:pPr>
            <w:r w:rsidRPr="00153D83">
              <w:t xml:space="preserve">Дополнение к неофициальному документу по </w:t>
            </w:r>
            <w:r w:rsidRPr="00D06C5E">
              <w:t>GTR</w:t>
            </w:r>
            <w:r w:rsidRPr="00153D83">
              <w:t>9-03</w:t>
            </w:r>
          </w:p>
        </w:tc>
      </w:tr>
      <w:tr w:rsidR="00C15CF2" w:rsidRPr="005134A7" w14:paraId="620FA6DD" w14:textId="77777777" w:rsidTr="00A20CC2">
        <w:tc>
          <w:tcPr>
            <w:tcW w:w="3360" w:type="dxa"/>
            <w:shd w:val="clear" w:color="auto" w:fill="auto"/>
          </w:tcPr>
          <w:p w14:paraId="72163ED5" w14:textId="77777777" w:rsidR="00C15CF2" w:rsidRPr="00D06C5E" w:rsidRDefault="00C15CF2" w:rsidP="00A20CC2">
            <w:pPr>
              <w:spacing w:before="40" w:after="120"/>
              <w:ind w:left="28" w:right="113"/>
            </w:pPr>
            <w:r w:rsidRPr="00D06C5E">
              <w:t>GRSP-74-23</w:t>
            </w:r>
          </w:p>
        </w:tc>
        <w:tc>
          <w:tcPr>
            <w:tcW w:w="4010" w:type="dxa"/>
            <w:shd w:val="clear" w:color="auto" w:fill="auto"/>
          </w:tcPr>
          <w:p w14:paraId="5A755375" w14:textId="77777777" w:rsidR="00C15CF2" w:rsidRPr="00153D83" w:rsidRDefault="00C15CF2" w:rsidP="00A20CC2">
            <w:pPr>
              <w:spacing w:before="40" w:after="120"/>
              <w:ind w:left="28" w:right="113"/>
            </w:pPr>
            <w:r w:rsidRPr="00153D83">
              <w:t>Дополнение к неофициальному документу по ОР.1</w:t>
            </w:r>
          </w:p>
        </w:tc>
      </w:tr>
      <w:tr w:rsidR="00C15CF2" w:rsidRPr="005134A7" w14:paraId="4AC31A35" w14:textId="77777777" w:rsidTr="00A20CC2">
        <w:tc>
          <w:tcPr>
            <w:tcW w:w="3360" w:type="dxa"/>
            <w:tcBorders>
              <w:bottom w:val="single" w:sz="12" w:space="0" w:color="auto"/>
            </w:tcBorders>
            <w:shd w:val="clear" w:color="auto" w:fill="auto"/>
          </w:tcPr>
          <w:p w14:paraId="0D8153B1" w14:textId="77777777" w:rsidR="00C15CF2" w:rsidRPr="00D06C5E" w:rsidRDefault="00C15CF2" w:rsidP="00A20CC2">
            <w:pPr>
              <w:spacing w:before="40" w:after="120"/>
              <w:ind w:left="28" w:right="113"/>
            </w:pPr>
            <w:r w:rsidRPr="00D06C5E">
              <w:t>GRSP-74-11</w:t>
            </w:r>
          </w:p>
        </w:tc>
        <w:tc>
          <w:tcPr>
            <w:tcW w:w="4010" w:type="dxa"/>
            <w:tcBorders>
              <w:bottom w:val="single" w:sz="12" w:space="0" w:color="auto"/>
            </w:tcBorders>
            <w:shd w:val="clear" w:color="auto" w:fill="auto"/>
          </w:tcPr>
          <w:p w14:paraId="357453E4" w14:textId="77777777" w:rsidR="00C15CF2" w:rsidRPr="00153D83" w:rsidRDefault="00C15CF2" w:rsidP="00A20CC2">
            <w:pPr>
              <w:spacing w:before="40" w:after="120"/>
              <w:ind w:left="28" w:right="113"/>
            </w:pPr>
            <w:r w:rsidRPr="00153D83">
              <w:t>Окончательный доклад НРГ по ССЗП о ходе разработки поправки 3 к Глобальным техническим правилам №</w:t>
            </w:r>
            <w:r w:rsidRPr="00D06C5E">
              <w:t> </w:t>
            </w:r>
            <w:r w:rsidRPr="00153D83">
              <w:t>9 ООН (безопасность пешеходов)</w:t>
            </w:r>
          </w:p>
        </w:tc>
      </w:tr>
    </w:tbl>
    <w:p w14:paraId="39D14EED" w14:textId="77777777" w:rsidR="00C15CF2" w:rsidRPr="00153D83" w:rsidRDefault="00C15CF2" w:rsidP="00C15CF2">
      <w:pPr>
        <w:suppressAutoHyphens w:val="0"/>
        <w:spacing w:line="240" w:lineRule="auto"/>
      </w:pPr>
    </w:p>
    <w:p w14:paraId="2DCDB49D" w14:textId="77777777" w:rsidR="00C15CF2" w:rsidRPr="00153D83" w:rsidRDefault="00C15CF2" w:rsidP="00C15CF2">
      <w:pPr>
        <w:spacing w:before="240"/>
        <w:jc w:val="center"/>
      </w:pPr>
      <w:r w:rsidRPr="00153D83">
        <w:rPr>
          <w:u w:val="single"/>
        </w:rPr>
        <w:tab/>
      </w:r>
      <w:r w:rsidRPr="00153D83">
        <w:rPr>
          <w:u w:val="single"/>
        </w:rPr>
        <w:tab/>
      </w:r>
      <w:r w:rsidRPr="00153D83">
        <w:rPr>
          <w:u w:val="single"/>
        </w:rPr>
        <w:tab/>
      </w:r>
    </w:p>
    <w:p w14:paraId="4A2C4E53" w14:textId="77777777" w:rsidR="00E12C5F" w:rsidRPr="008D53B6" w:rsidRDefault="00E12C5F" w:rsidP="00D9145B"/>
    <w:sectPr w:rsidR="00E12C5F" w:rsidRPr="008D53B6" w:rsidSect="00C15CF2">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88EE" w14:textId="77777777" w:rsidR="00EC6E8A" w:rsidRPr="00A312BC" w:rsidRDefault="00EC6E8A" w:rsidP="00A312BC"/>
  </w:endnote>
  <w:endnote w:type="continuationSeparator" w:id="0">
    <w:p w14:paraId="526BCC10" w14:textId="77777777" w:rsidR="00EC6E8A" w:rsidRPr="00A312BC" w:rsidRDefault="00EC6E8A"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A0E8" w14:textId="1AB6C1E2" w:rsidR="00C15CF2" w:rsidRPr="00C15CF2" w:rsidRDefault="00C15CF2">
    <w:pPr>
      <w:pStyle w:val="a8"/>
    </w:pPr>
    <w:r w:rsidRPr="00C15CF2">
      <w:rPr>
        <w:b/>
        <w:sz w:val="18"/>
      </w:rPr>
      <w:fldChar w:fldCharType="begin"/>
    </w:r>
    <w:r w:rsidRPr="00C15CF2">
      <w:rPr>
        <w:b/>
        <w:sz w:val="18"/>
      </w:rPr>
      <w:instrText xml:space="preserve"> PAGE  \* MERGEFORMAT </w:instrText>
    </w:r>
    <w:r w:rsidRPr="00C15CF2">
      <w:rPr>
        <w:b/>
        <w:sz w:val="18"/>
      </w:rPr>
      <w:fldChar w:fldCharType="separate"/>
    </w:r>
    <w:r w:rsidRPr="00C15CF2">
      <w:rPr>
        <w:b/>
        <w:noProof/>
        <w:sz w:val="18"/>
      </w:rPr>
      <w:t>2</w:t>
    </w:r>
    <w:r w:rsidRPr="00C15CF2">
      <w:rPr>
        <w:b/>
        <w:sz w:val="18"/>
      </w:rPr>
      <w:fldChar w:fldCharType="end"/>
    </w:r>
    <w:r>
      <w:rPr>
        <w:b/>
        <w:sz w:val="18"/>
      </w:rPr>
      <w:tab/>
    </w:r>
    <w:r>
      <w:t>GE.24-06009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4622" w14:textId="735414C1" w:rsidR="00C15CF2" w:rsidRPr="00C15CF2" w:rsidRDefault="00C15CF2" w:rsidP="00C15CF2">
    <w:pPr>
      <w:pStyle w:val="a8"/>
      <w:tabs>
        <w:tab w:val="clear" w:pos="9639"/>
        <w:tab w:val="right" w:pos="9638"/>
      </w:tabs>
      <w:rPr>
        <w:b/>
        <w:sz w:val="18"/>
      </w:rPr>
    </w:pPr>
    <w:r>
      <w:t>GE.24-06009</w:t>
    </w:r>
    <w:r>
      <w:tab/>
    </w:r>
    <w:r w:rsidRPr="00C15CF2">
      <w:rPr>
        <w:b/>
        <w:sz w:val="18"/>
      </w:rPr>
      <w:fldChar w:fldCharType="begin"/>
    </w:r>
    <w:r w:rsidRPr="00C15CF2">
      <w:rPr>
        <w:b/>
        <w:sz w:val="18"/>
      </w:rPr>
      <w:instrText xml:space="preserve"> PAGE  \* MERGEFORMAT </w:instrText>
    </w:r>
    <w:r w:rsidRPr="00C15CF2">
      <w:rPr>
        <w:b/>
        <w:sz w:val="18"/>
      </w:rPr>
      <w:fldChar w:fldCharType="separate"/>
    </w:r>
    <w:r w:rsidRPr="00C15CF2">
      <w:rPr>
        <w:b/>
        <w:noProof/>
        <w:sz w:val="18"/>
      </w:rPr>
      <w:t>3</w:t>
    </w:r>
    <w:r w:rsidRPr="00C15CF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9570" w14:textId="13226420" w:rsidR="00042B72" w:rsidRPr="00C15CF2" w:rsidRDefault="00C15CF2" w:rsidP="00C15CF2">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17E39FD2" wp14:editId="25CD96BA">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24-06009  (R)</w:t>
    </w:r>
    <w:r>
      <w:rPr>
        <w:noProof/>
      </w:rPr>
      <w:drawing>
        <wp:anchor distT="0" distB="0" distL="114300" distR="114300" simplePos="0" relativeHeight="251659264" behindDoc="0" locked="0" layoutInCell="1" allowOverlap="1" wp14:anchorId="4510C609" wp14:editId="3A023F57">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220424  240424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1130" w14:textId="77777777" w:rsidR="00EC6E8A" w:rsidRPr="001075E9" w:rsidRDefault="00EC6E8A" w:rsidP="001075E9">
      <w:pPr>
        <w:tabs>
          <w:tab w:val="right" w:pos="2155"/>
        </w:tabs>
        <w:spacing w:after="80" w:line="240" w:lineRule="auto"/>
        <w:ind w:left="680"/>
        <w:rPr>
          <w:u w:val="single"/>
        </w:rPr>
      </w:pPr>
      <w:r>
        <w:rPr>
          <w:u w:val="single"/>
        </w:rPr>
        <w:tab/>
      </w:r>
    </w:p>
  </w:footnote>
  <w:footnote w:type="continuationSeparator" w:id="0">
    <w:p w14:paraId="6D3CF8EA" w14:textId="77777777" w:rsidR="00EC6E8A" w:rsidRDefault="00EC6E8A" w:rsidP="00407B78">
      <w:pPr>
        <w:tabs>
          <w:tab w:val="right" w:pos="2155"/>
        </w:tabs>
        <w:spacing w:after="80"/>
        <w:ind w:left="680"/>
        <w:rPr>
          <w:u w:val="single"/>
        </w:rPr>
      </w:pPr>
      <w:r>
        <w:rPr>
          <w:u w:val="single"/>
        </w:rPr>
        <w:tab/>
      </w:r>
    </w:p>
  </w:footnote>
  <w:footnote w:id="1">
    <w:p w14:paraId="4796AEB2" w14:textId="27C33BF2" w:rsidR="00C15CF2" w:rsidRPr="00EA370C" w:rsidRDefault="00C15CF2" w:rsidP="00C15CF2">
      <w:pPr>
        <w:pStyle w:val="ad"/>
      </w:pPr>
      <w:r>
        <w:tab/>
      </w:r>
      <w:r w:rsidRPr="00C15CF2">
        <w:rPr>
          <w:sz w:val="20"/>
        </w:rPr>
        <w:t>*</w:t>
      </w:r>
      <w:r>
        <w:tab/>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w:t>
      </w:r>
      <w:r>
        <w:rPr>
          <w:lang w:val="fr-CH"/>
        </w:rPr>
        <w:t> </w:t>
      </w:r>
      <w:r>
        <w:t>20.5), Всемирный форум будет разрабатывать, согласовывать и обновлять правила</w:t>
      </w:r>
      <w:r>
        <w:rPr>
          <w:lang w:val="fr-CH"/>
        </w:rPr>
        <w:t> </w:t>
      </w:r>
      <w:r>
        <w:t>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7441" w14:textId="256C62BF" w:rsidR="00C15CF2" w:rsidRPr="00C15CF2" w:rsidRDefault="00C15CF2">
    <w:pPr>
      <w:pStyle w:val="a5"/>
    </w:pPr>
    <w:fldSimple w:instr=" TITLE  \* MERGEFORMAT ">
      <w:r w:rsidR="000C173E">
        <w:t>ECE/TRANS/WP.29/2024/78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5F83" w14:textId="23C09E91" w:rsidR="00C15CF2" w:rsidRPr="00C15CF2" w:rsidRDefault="00C15CF2" w:rsidP="00C15CF2">
    <w:pPr>
      <w:pStyle w:val="a5"/>
      <w:jc w:val="right"/>
    </w:pPr>
    <w:fldSimple w:instr=" TITLE  \* MERGEFORMAT ">
      <w:r w:rsidR="000C173E">
        <w:t>ECE/TRANS/WP.29/2024/78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1"/>
  </w:num>
  <w:num w:numId="3" w16cid:durableId="1816291531">
    <w:abstractNumId w:val="10"/>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212854487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8A"/>
    <w:rsid w:val="00033EE1"/>
    <w:rsid w:val="00042B72"/>
    <w:rsid w:val="000558BD"/>
    <w:rsid w:val="000B57E7"/>
    <w:rsid w:val="000B6373"/>
    <w:rsid w:val="000C173E"/>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C4FB9"/>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11BE4"/>
    <w:rsid w:val="009444A8"/>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15CF2"/>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91A4A"/>
    <w:rsid w:val="00EA2C9F"/>
    <w:rsid w:val="00EA420E"/>
    <w:rsid w:val="00EC6E8A"/>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9A7D"/>
  <w15:docId w15:val="{BEA83425-0CB1-4DB8-99A4-C2F2734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uiPriority w:val="99"/>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rsid w:val="00C15CF2"/>
    <w:rPr>
      <w:lang w:val="ru-RU" w:eastAsia="en-US"/>
    </w:rPr>
  </w:style>
  <w:style w:type="character" w:customStyle="1" w:styleId="HChGChar">
    <w:name w:val="_ H _Ch_G Char"/>
    <w:link w:val="HChG"/>
    <w:locked/>
    <w:rsid w:val="00C15CF2"/>
    <w:rPr>
      <w:b/>
      <w:sz w:val="28"/>
      <w:lang w:val="ru-RU" w:eastAsia="ru-RU"/>
    </w:rPr>
  </w:style>
  <w:style w:type="character" w:customStyle="1" w:styleId="H1GChar">
    <w:name w:val="_ H_1_G Char"/>
    <w:link w:val="H1G"/>
    <w:locked/>
    <w:rsid w:val="00C15CF2"/>
    <w:rPr>
      <w:b/>
      <w:sz w:val="24"/>
      <w:lang w:val="ru-RU" w:eastAsia="ru-RU"/>
    </w:rPr>
  </w:style>
  <w:style w:type="paragraph" w:customStyle="1" w:styleId="ParaNo">
    <w:name w:val="ParaNo."/>
    <w:basedOn w:val="a"/>
    <w:rsid w:val="00C15CF2"/>
    <w:pPr>
      <w:numPr>
        <w:numId w:val="22"/>
      </w:numPr>
      <w:tabs>
        <w:tab w:val="clear" w:pos="360"/>
      </w:tabs>
      <w:suppressAutoHyphens w:val="0"/>
      <w:spacing w:line="240" w:lineRule="auto"/>
    </w:pPr>
    <w:rPr>
      <w:rFonts w:ascii="Univers" w:eastAsia="Times New Roman" w:hAnsi="Univers" w:cs="Times New Roman"/>
      <w:snapToGrid w:val="0"/>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BCFB4-82DB-413E-B160-7EB05A2B2281}">
  <ds:schemaRefs>
    <ds:schemaRef ds:uri="http://schemas.openxmlformats.org/officeDocument/2006/bibliography"/>
  </ds:schemaRefs>
</ds:datastoreItem>
</file>

<file path=customXml/itemProps2.xml><?xml version="1.0" encoding="utf-8"?>
<ds:datastoreItem xmlns:ds="http://schemas.openxmlformats.org/officeDocument/2006/customXml" ds:itemID="{EEF10467-E925-4E9C-9964-5239A9FA847A}"/>
</file>

<file path=customXml/itemProps3.xml><?xml version="1.0" encoding="utf-8"?>
<ds:datastoreItem xmlns:ds="http://schemas.openxmlformats.org/officeDocument/2006/customXml" ds:itemID="{E12D0331-3DF2-450D-AED8-BD8A1B1B726D}"/>
</file>

<file path=docProps/app.xml><?xml version="1.0" encoding="utf-8"?>
<Properties xmlns="http://schemas.openxmlformats.org/officeDocument/2006/extended-properties" xmlns:vt="http://schemas.openxmlformats.org/officeDocument/2006/docPropsVTypes">
  <Template>ECE.dotm</Template>
  <TotalTime>2</TotalTime>
  <Pages>3</Pages>
  <Words>529</Words>
  <Characters>4713</Characters>
  <Application>Microsoft Office Word</Application>
  <DocSecurity>0</DocSecurity>
  <Lines>428</Lines>
  <Paragraphs>174</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ECE/TRANS/WP.29/2024/78</vt:lpstr>
      <vt:lpstr>A/</vt:lpstr>
      <vt:lpstr>A/</vt:lpstr>
    </vt:vector>
  </TitlesOfParts>
  <Company>DCM</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ECE/TRANS/WP.29/2024/78</dc:title>
  <dc:subject/>
  <dc:creator>Elena IZOTOVA</dc:creator>
  <cp:keywords/>
  <cp:lastModifiedBy>Elena Izotova</cp:lastModifiedBy>
  <cp:revision>3</cp:revision>
  <cp:lastPrinted>2024-04-24T07:08:00Z</cp:lastPrinted>
  <dcterms:created xsi:type="dcterms:W3CDTF">2024-04-24T07:08:00Z</dcterms:created>
  <dcterms:modified xsi:type="dcterms:W3CDTF">2024-04-24T07:11:00Z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