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675FB084" w14:textId="77777777" w:rsidTr="00C97039">
        <w:trPr>
          <w:trHeight w:hRule="exact" w:val="851"/>
        </w:trPr>
        <w:tc>
          <w:tcPr>
            <w:tcW w:w="1276" w:type="dxa"/>
            <w:tcBorders>
              <w:bottom w:val="single" w:sz="4" w:space="0" w:color="auto"/>
            </w:tcBorders>
          </w:tcPr>
          <w:p w14:paraId="37CBAF8F" w14:textId="77777777" w:rsidR="00F35BAF" w:rsidRPr="00DB58B5" w:rsidRDefault="00F35BAF" w:rsidP="00E76BE6"/>
        </w:tc>
        <w:tc>
          <w:tcPr>
            <w:tcW w:w="2268" w:type="dxa"/>
            <w:tcBorders>
              <w:bottom w:val="single" w:sz="4" w:space="0" w:color="auto"/>
            </w:tcBorders>
            <w:vAlign w:val="bottom"/>
          </w:tcPr>
          <w:p w14:paraId="1C1AD339"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C25F61E" w14:textId="57A39BAB" w:rsidR="00F35BAF" w:rsidRPr="00DB58B5" w:rsidRDefault="00E76BE6" w:rsidP="00E76BE6">
            <w:pPr>
              <w:jc w:val="right"/>
            </w:pPr>
            <w:r w:rsidRPr="00E76BE6">
              <w:rPr>
                <w:sz w:val="40"/>
              </w:rPr>
              <w:t>ECE</w:t>
            </w:r>
            <w:r>
              <w:t>/TRANS/WP.29/2024/70</w:t>
            </w:r>
          </w:p>
        </w:tc>
      </w:tr>
      <w:tr w:rsidR="00F35BAF" w:rsidRPr="00DB58B5" w14:paraId="4FF8B672" w14:textId="77777777" w:rsidTr="00C97039">
        <w:trPr>
          <w:trHeight w:hRule="exact" w:val="2835"/>
        </w:trPr>
        <w:tc>
          <w:tcPr>
            <w:tcW w:w="1276" w:type="dxa"/>
            <w:tcBorders>
              <w:top w:val="single" w:sz="4" w:space="0" w:color="auto"/>
              <w:bottom w:val="single" w:sz="12" w:space="0" w:color="auto"/>
            </w:tcBorders>
          </w:tcPr>
          <w:p w14:paraId="5D03AD11" w14:textId="77777777" w:rsidR="00F35BAF" w:rsidRPr="00DB58B5" w:rsidRDefault="00F35BAF" w:rsidP="00C97039">
            <w:pPr>
              <w:spacing w:before="120"/>
              <w:jc w:val="center"/>
            </w:pPr>
            <w:r>
              <w:rPr>
                <w:noProof/>
                <w:lang w:eastAsia="fr-CH"/>
              </w:rPr>
              <w:drawing>
                <wp:inline distT="0" distB="0" distL="0" distR="0" wp14:anchorId="3EA37F70" wp14:editId="215CBE6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1133B57"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156F4599" w14:textId="77777777" w:rsidR="00F35BAF" w:rsidRDefault="00E76BE6" w:rsidP="00C97039">
            <w:pPr>
              <w:spacing w:before="240"/>
            </w:pPr>
            <w:r>
              <w:t>Distr. générale</w:t>
            </w:r>
          </w:p>
          <w:p w14:paraId="5C858605" w14:textId="77777777" w:rsidR="00E76BE6" w:rsidRDefault="00E76BE6" w:rsidP="00E76BE6">
            <w:pPr>
              <w:spacing w:line="240" w:lineRule="exact"/>
            </w:pPr>
            <w:r>
              <w:t>8 avril 2024</w:t>
            </w:r>
          </w:p>
          <w:p w14:paraId="6BFFA489" w14:textId="77777777" w:rsidR="00E76BE6" w:rsidRDefault="00E76BE6" w:rsidP="00E76BE6">
            <w:pPr>
              <w:spacing w:line="240" w:lineRule="exact"/>
            </w:pPr>
            <w:r>
              <w:t>Français</w:t>
            </w:r>
          </w:p>
          <w:p w14:paraId="09D87477" w14:textId="50DA77CC" w:rsidR="00E76BE6" w:rsidRPr="00DB58B5" w:rsidRDefault="00E76BE6" w:rsidP="00E76BE6">
            <w:pPr>
              <w:spacing w:line="240" w:lineRule="exact"/>
            </w:pPr>
            <w:r>
              <w:t>Original : anglais</w:t>
            </w:r>
          </w:p>
        </w:tc>
      </w:tr>
    </w:tbl>
    <w:p w14:paraId="137C1C9E" w14:textId="77777777" w:rsidR="007F20FA" w:rsidRPr="000312C0" w:rsidRDefault="007F20FA" w:rsidP="007F20FA">
      <w:pPr>
        <w:spacing w:before="120"/>
        <w:rPr>
          <w:b/>
          <w:sz w:val="28"/>
          <w:szCs w:val="28"/>
        </w:rPr>
      </w:pPr>
      <w:r w:rsidRPr="000312C0">
        <w:rPr>
          <w:b/>
          <w:sz w:val="28"/>
          <w:szCs w:val="28"/>
        </w:rPr>
        <w:t>Commission économique pour l’Europe</w:t>
      </w:r>
    </w:p>
    <w:p w14:paraId="1B628DC7" w14:textId="77777777" w:rsidR="007F20FA" w:rsidRDefault="007F20FA" w:rsidP="007F20FA">
      <w:pPr>
        <w:spacing w:before="120"/>
        <w:rPr>
          <w:sz w:val="28"/>
          <w:szCs w:val="28"/>
        </w:rPr>
      </w:pPr>
      <w:r w:rsidRPr="00685843">
        <w:rPr>
          <w:sz w:val="28"/>
          <w:szCs w:val="28"/>
        </w:rPr>
        <w:t>Comité des transports intérieurs</w:t>
      </w:r>
    </w:p>
    <w:p w14:paraId="484FAFFA" w14:textId="77777777" w:rsidR="00E76BE6" w:rsidRDefault="00E76BE6"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58C77F3B" w14:textId="627CC707" w:rsidR="00E76BE6" w:rsidRPr="00662242" w:rsidRDefault="00E76BE6" w:rsidP="00E76BE6">
      <w:pPr>
        <w:spacing w:before="120"/>
        <w:rPr>
          <w:b/>
          <w:lang w:val="fr-FR"/>
        </w:rPr>
      </w:pPr>
      <w:r>
        <w:rPr>
          <w:b/>
          <w:bCs/>
          <w:lang w:val="fr-FR"/>
        </w:rPr>
        <w:t>193</w:t>
      </w:r>
      <w:r w:rsidRPr="00E76BE6">
        <w:rPr>
          <w:b/>
          <w:bCs/>
          <w:vertAlign w:val="superscript"/>
          <w:lang w:val="fr-FR"/>
        </w:rPr>
        <w:t>e</w:t>
      </w:r>
      <w:r>
        <w:rPr>
          <w:b/>
          <w:bCs/>
          <w:lang w:val="fr-FR"/>
        </w:rPr>
        <w:t xml:space="preserve"> </w:t>
      </w:r>
      <w:r>
        <w:rPr>
          <w:b/>
          <w:bCs/>
          <w:lang w:val="fr-FR"/>
        </w:rPr>
        <w:t>session</w:t>
      </w:r>
    </w:p>
    <w:p w14:paraId="7868EFEB" w14:textId="77777777" w:rsidR="00E76BE6" w:rsidRPr="00662242" w:rsidRDefault="00E76BE6" w:rsidP="00E76BE6">
      <w:pPr>
        <w:rPr>
          <w:lang w:val="fr-FR"/>
        </w:rPr>
      </w:pPr>
      <w:r>
        <w:rPr>
          <w:lang w:val="fr-FR"/>
        </w:rPr>
        <w:t>Genève, 25-28 juin 2024</w:t>
      </w:r>
    </w:p>
    <w:p w14:paraId="6CC90361" w14:textId="77777777" w:rsidR="00E76BE6" w:rsidRPr="00662242" w:rsidRDefault="00E76BE6" w:rsidP="00E76BE6">
      <w:pPr>
        <w:rPr>
          <w:lang w:val="fr-FR"/>
        </w:rPr>
      </w:pPr>
      <w:r>
        <w:rPr>
          <w:lang w:val="fr-FR"/>
        </w:rPr>
        <w:t>Point 4.9.8 de l’ordre du jour provisoire</w:t>
      </w:r>
    </w:p>
    <w:p w14:paraId="76938790" w14:textId="6F00A24D" w:rsidR="00E76BE6" w:rsidRPr="00662242" w:rsidRDefault="00E76BE6" w:rsidP="00E76BE6">
      <w:pPr>
        <w:rPr>
          <w:b/>
          <w:lang w:val="fr-FR"/>
        </w:rPr>
      </w:pPr>
      <w:r>
        <w:rPr>
          <w:b/>
          <w:bCs/>
          <w:lang w:val="fr-FR"/>
        </w:rPr>
        <w:t>Accord de 1958</w:t>
      </w:r>
      <w:r>
        <w:rPr>
          <w:b/>
          <w:bCs/>
          <w:lang w:val="fr-FR"/>
        </w:rPr>
        <w:t> </w:t>
      </w:r>
      <w:r>
        <w:rPr>
          <w:b/>
          <w:bCs/>
          <w:lang w:val="fr-FR"/>
        </w:rPr>
        <w:t>:</w:t>
      </w:r>
    </w:p>
    <w:p w14:paraId="53317ED7" w14:textId="117F4788" w:rsidR="00E76BE6" w:rsidRPr="00662242" w:rsidRDefault="00E76BE6" w:rsidP="00E76BE6">
      <w:pPr>
        <w:rPr>
          <w:b/>
          <w:bCs/>
          <w:lang w:val="fr-FR"/>
        </w:rPr>
      </w:pPr>
      <w:r>
        <w:rPr>
          <w:b/>
          <w:bCs/>
          <w:lang w:val="fr-FR"/>
        </w:rPr>
        <w:t>Examen de projets d’amendements à des Règlements ONU existants,</w:t>
      </w:r>
      <w:r>
        <w:rPr>
          <w:b/>
          <w:bCs/>
          <w:lang w:val="fr-FR"/>
        </w:rPr>
        <w:br/>
      </w:r>
      <w:r>
        <w:rPr>
          <w:b/>
          <w:bCs/>
          <w:lang w:val="fr-FR"/>
        </w:rPr>
        <w:t>soumis par le GRBP</w:t>
      </w:r>
    </w:p>
    <w:p w14:paraId="2CDBEC40" w14:textId="292EE7D6" w:rsidR="00E76BE6" w:rsidRPr="00662242" w:rsidRDefault="00E76BE6" w:rsidP="00E76BE6">
      <w:pPr>
        <w:pStyle w:val="HChG"/>
        <w:rPr>
          <w:lang w:val="fr-FR"/>
        </w:rPr>
      </w:pPr>
      <w:r>
        <w:rPr>
          <w:lang w:val="fr-FR"/>
        </w:rPr>
        <w:tab/>
      </w:r>
      <w:r>
        <w:rPr>
          <w:lang w:val="fr-FR"/>
        </w:rPr>
        <w:tab/>
      </w:r>
      <w:r>
        <w:rPr>
          <w:lang w:val="fr-FR"/>
        </w:rPr>
        <w:t xml:space="preserve">Proposition de complément 10 à la série 03 d’amendements au Règlement ONU </w:t>
      </w:r>
      <w:r w:rsidRPr="00E76BE6">
        <w:rPr>
          <w:rFonts w:eastAsia="MS Mincho"/>
          <w:lang w:val="fr-FR"/>
        </w:rPr>
        <w:t>n</w:t>
      </w:r>
      <w:r w:rsidRPr="00E76BE6">
        <w:rPr>
          <w:rFonts w:eastAsia="MS Mincho"/>
          <w:vertAlign w:val="superscript"/>
          <w:lang w:val="fr-FR"/>
        </w:rPr>
        <w:t>o</w:t>
      </w:r>
      <w:r>
        <w:rPr>
          <w:lang w:val="fr-FR"/>
        </w:rPr>
        <w:t xml:space="preserve"> </w:t>
      </w:r>
      <w:r>
        <w:rPr>
          <w:lang w:val="fr-FR"/>
        </w:rPr>
        <w:t>51 (Bruit des véhicules des catégories M et N)</w:t>
      </w:r>
    </w:p>
    <w:p w14:paraId="0C032D8B" w14:textId="7D0A42D7" w:rsidR="00E76BE6" w:rsidRPr="003A2072" w:rsidRDefault="00E76BE6" w:rsidP="00E76BE6">
      <w:pPr>
        <w:pStyle w:val="H1G"/>
        <w:rPr>
          <w:szCs w:val="24"/>
          <w:lang w:val="fr-FR"/>
        </w:rPr>
      </w:pPr>
      <w:r>
        <w:rPr>
          <w:lang w:val="fr-FR"/>
        </w:rPr>
        <w:tab/>
      </w:r>
      <w:r>
        <w:rPr>
          <w:lang w:val="fr-FR"/>
        </w:rPr>
        <w:tab/>
        <w:t>Communication du Groupe de travail du bruit et des pneumatiques</w:t>
      </w:r>
      <w:r w:rsidR="008A6D19" w:rsidRPr="008A6D19">
        <w:rPr>
          <w:rStyle w:val="Appelnotedebasdep"/>
          <w:b w:val="0"/>
          <w:bCs/>
          <w:sz w:val="20"/>
          <w:vertAlign w:val="baseline"/>
        </w:rPr>
        <w:footnoteReference w:customMarkFollows="1" w:id="2"/>
        <w:t>*</w:t>
      </w:r>
    </w:p>
    <w:p w14:paraId="70F6DC40" w14:textId="301C212C" w:rsidR="00E76BE6" w:rsidRDefault="008A6D19" w:rsidP="00E76BE6">
      <w:pPr>
        <w:pStyle w:val="SingleTxtG"/>
        <w:ind w:firstLine="567"/>
        <w:rPr>
          <w:sz w:val="24"/>
          <w:szCs w:val="24"/>
          <w:lang w:val="fr-FR"/>
        </w:rPr>
      </w:pPr>
      <w:r>
        <w:rPr>
          <w:lang w:val="fr-FR"/>
        </w:rPr>
        <w:t xml:space="preserve">Le </w:t>
      </w:r>
      <w:r w:rsidR="00E76BE6">
        <w:rPr>
          <w:lang w:val="fr-FR"/>
        </w:rPr>
        <w:t>texte ci-après a été adopté par le Groupe de travail du bruit et des pneumatiques (GRBP) à sa soixante-dix-neuvième session (ECE/TRANS/WP.29/GRBP/77, par. 7)</w:t>
      </w:r>
      <w:r w:rsidR="005265B1">
        <w:rPr>
          <w:lang w:val="fr-FR"/>
        </w:rPr>
        <w:t>.</w:t>
      </w:r>
      <w:r w:rsidR="00E76BE6">
        <w:rPr>
          <w:lang w:val="fr-FR"/>
        </w:rPr>
        <w:t xml:space="preserve"> Il est fondé sur le document informel GRBP-79-33-Rev.1 et est soumis au Forum mondial de l’harmonisation des Règlements concernant les véhicules (WP.29) et au Comité d’administration de l’Accord de 1958 (AC.1) pour examen à leurs sessions de juin 2024.</w:t>
      </w:r>
    </w:p>
    <w:p w14:paraId="496C6A47" w14:textId="77777777" w:rsidR="00E76BE6" w:rsidRPr="003A2072" w:rsidRDefault="00E76BE6" w:rsidP="00E76BE6">
      <w:pPr>
        <w:suppressAutoHyphens w:val="0"/>
        <w:spacing w:line="240" w:lineRule="auto"/>
        <w:rPr>
          <w:lang w:val="fr-FR"/>
        </w:rPr>
      </w:pPr>
      <w:r w:rsidRPr="003A2072">
        <w:rPr>
          <w:lang w:val="fr-FR"/>
        </w:rPr>
        <w:br w:type="page"/>
      </w:r>
    </w:p>
    <w:p w14:paraId="5F35F657" w14:textId="6B5DEF3B" w:rsidR="00E76BE6" w:rsidRPr="003A2072" w:rsidRDefault="00E76BE6" w:rsidP="00E76BE6">
      <w:pPr>
        <w:keepNext/>
        <w:keepLines/>
        <w:spacing w:after="120"/>
        <w:ind w:left="2268" w:right="1134" w:hanging="1134"/>
        <w:jc w:val="both"/>
        <w:rPr>
          <w:bCs/>
          <w:i/>
          <w:iCs/>
          <w:lang w:val="fr-FR"/>
        </w:rPr>
      </w:pPr>
      <w:r>
        <w:rPr>
          <w:i/>
          <w:iCs/>
          <w:lang w:val="fr-FR"/>
        </w:rPr>
        <w:lastRenderedPageBreak/>
        <w:t>Paragraphe 2.8,</w:t>
      </w:r>
      <w:r>
        <w:rPr>
          <w:lang w:val="fr-FR"/>
        </w:rPr>
        <w:t xml:space="preserve"> lire</w:t>
      </w:r>
      <w:r>
        <w:rPr>
          <w:lang w:val="fr-FR"/>
        </w:rPr>
        <w:t> </w:t>
      </w:r>
      <w:r>
        <w:rPr>
          <w:lang w:val="fr-FR"/>
        </w:rPr>
        <w:t xml:space="preserve">: </w:t>
      </w:r>
    </w:p>
    <w:p w14:paraId="34384B90" w14:textId="65B476A7" w:rsidR="00E76BE6" w:rsidRPr="003A2072" w:rsidRDefault="00E76BE6" w:rsidP="00E76BE6">
      <w:pPr>
        <w:keepNext/>
        <w:keepLines/>
        <w:spacing w:after="120"/>
        <w:ind w:left="2268" w:right="1134" w:hanging="1134"/>
        <w:jc w:val="both"/>
        <w:rPr>
          <w:bCs/>
          <w:lang w:val="fr-FR"/>
        </w:rPr>
      </w:pPr>
      <w:r>
        <w:rPr>
          <w:lang w:val="fr-FR"/>
        </w:rPr>
        <w:t>« 2.8</w:t>
      </w:r>
      <w:r>
        <w:rPr>
          <w:lang w:val="fr-FR"/>
        </w:rPr>
        <w:tab/>
        <w:t xml:space="preserve">Par “puissance maximale nette </w:t>
      </w:r>
      <w:proofErr w:type="spellStart"/>
      <w:r>
        <w:rPr>
          <w:lang w:val="fr-FR"/>
        </w:rPr>
        <w:t>Pn</w:t>
      </w:r>
      <w:proofErr w:type="spellEnd"/>
      <w:r>
        <w:rPr>
          <w:lang w:val="fr-FR"/>
        </w:rPr>
        <w:t xml:space="preserve">”, la puissance du moteur déclarée utilisée pour la propulsion, exprimée en kW et mesurée en fonction du type de groupe motopropulseur conformément au Règlement ONU </w:t>
      </w:r>
      <w:r w:rsidRPr="00E76BE6">
        <w:rPr>
          <w:rFonts w:eastAsia="MS Mincho"/>
          <w:lang w:val="fr-FR"/>
        </w:rPr>
        <w:t>n</w:t>
      </w:r>
      <w:r w:rsidRPr="00E76BE6">
        <w:rPr>
          <w:rFonts w:eastAsia="MS Mincho"/>
          <w:vertAlign w:val="superscript"/>
          <w:lang w:val="fr-FR"/>
        </w:rPr>
        <w:t>o</w:t>
      </w:r>
      <w:r>
        <w:rPr>
          <w:lang w:val="fr-FR"/>
        </w:rPr>
        <w:t xml:space="preserve"> </w:t>
      </w:r>
      <w:r>
        <w:rPr>
          <w:lang w:val="fr-FR"/>
        </w:rPr>
        <w:t xml:space="preserve">85 ou au Règlement technique mondial </w:t>
      </w:r>
      <w:r w:rsidRPr="00E76BE6">
        <w:rPr>
          <w:rFonts w:eastAsia="MS Mincho"/>
          <w:lang w:val="fr-FR"/>
        </w:rPr>
        <w:t>n</w:t>
      </w:r>
      <w:r w:rsidRPr="00E76BE6">
        <w:rPr>
          <w:rFonts w:eastAsia="MS Mincho"/>
          <w:vertAlign w:val="superscript"/>
          <w:lang w:val="fr-FR"/>
        </w:rPr>
        <w:t>o</w:t>
      </w:r>
      <w:r>
        <w:rPr>
          <w:lang w:val="fr-FR"/>
        </w:rPr>
        <w:t xml:space="preserve"> </w:t>
      </w:r>
      <w:r>
        <w:rPr>
          <w:lang w:val="fr-FR"/>
        </w:rPr>
        <w:t>21.</w:t>
      </w:r>
      <w:bookmarkStart w:id="0" w:name="_Hlk153877512"/>
      <w:bookmarkEnd w:id="0"/>
    </w:p>
    <w:p w14:paraId="6EB792A0" w14:textId="5738C1BA" w:rsidR="00E76BE6" w:rsidRPr="003A2072" w:rsidRDefault="00E76BE6" w:rsidP="00E76BE6">
      <w:pPr>
        <w:keepNext/>
        <w:keepLines/>
        <w:spacing w:after="120"/>
        <w:ind w:left="2268" w:right="1134"/>
        <w:jc w:val="both"/>
        <w:rPr>
          <w:bCs/>
          <w:lang w:val="fr-FR"/>
        </w:rPr>
      </w:pPr>
      <w:r>
        <w:rPr>
          <w:lang w:val="fr-FR"/>
        </w:rPr>
        <w:t>Les sources de puissance à prendre en compte sont celles qui assurent le déplacement du véhicule vers l’avant. »</w:t>
      </w:r>
      <w:r>
        <w:rPr>
          <w:lang w:val="fr-FR"/>
        </w:rPr>
        <w:t>.</w:t>
      </w:r>
    </w:p>
    <w:p w14:paraId="1380F0A0" w14:textId="68D9E43E" w:rsidR="00E76BE6" w:rsidRPr="003A2072" w:rsidRDefault="00E76BE6" w:rsidP="00E76BE6">
      <w:pPr>
        <w:keepNext/>
        <w:keepLines/>
        <w:spacing w:after="120"/>
        <w:ind w:left="2268" w:right="1134" w:hanging="1134"/>
        <w:jc w:val="both"/>
        <w:rPr>
          <w:bCs/>
          <w:i/>
          <w:iCs/>
          <w:lang w:val="fr-FR"/>
        </w:rPr>
      </w:pPr>
      <w:r>
        <w:rPr>
          <w:i/>
          <w:iCs/>
          <w:lang w:val="fr-FR"/>
        </w:rPr>
        <w:t>Paragraphe 11.6</w:t>
      </w:r>
      <w:r>
        <w:rPr>
          <w:lang w:val="fr-FR"/>
        </w:rPr>
        <w:t>, lire</w:t>
      </w:r>
      <w:r>
        <w:rPr>
          <w:lang w:val="fr-FR"/>
        </w:rPr>
        <w:t> </w:t>
      </w:r>
      <w:r>
        <w:rPr>
          <w:lang w:val="fr-FR"/>
        </w:rPr>
        <w:t xml:space="preserve">: </w:t>
      </w:r>
    </w:p>
    <w:p w14:paraId="549BDE33" w14:textId="3303F7C4" w:rsidR="00E76BE6" w:rsidRPr="003A2072" w:rsidRDefault="00E76BE6" w:rsidP="00E76BE6">
      <w:pPr>
        <w:keepNext/>
        <w:keepLines/>
        <w:spacing w:after="120"/>
        <w:ind w:left="2268" w:right="1134" w:hanging="1134"/>
        <w:jc w:val="both"/>
        <w:rPr>
          <w:bCs/>
          <w:lang w:val="fr-FR"/>
        </w:rPr>
      </w:pPr>
      <w:r>
        <w:rPr>
          <w:lang w:val="fr-FR"/>
        </w:rPr>
        <w:t>« 11.6</w:t>
      </w:r>
      <w:r>
        <w:rPr>
          <w:lang w:val="fr-FR"/>
        </w:rPr>
        <w:tab/>
        <w:t>Jusqu’au 30 juin 2028, les véhicules à chaîne de traction hybride sérielle équipés d’un moteur à combustion non couplé mécaniquement à la transmission sont dispensés des obligations du paragraphe 6.2.3 ci-dessus.</w:t>
      </w:r>
      <w:r>
        <w:rPr>
          <w:lang w:val="fr-FR"/>
        </w:rPr>
        <w:t> ».</w:t>
      </w:r>
    </w:p>
    <w:p w14:paraId="7AA82D94" w14:textId="7EF1E297" w:rsidR="00E76BE6" w:rsidRPr="003A2072" w:rsidRDefault="00E76BE6" w:rsidP="00E76BE6">
      <w:pPr>
        <w:keepNext/>
        <w:keepLines/>
        <w:spacing w:after="120"/>
        <w:ind w:left="2268" w:right="1134" w:hanging="1134"/>
        <w:jc w:val="both"/>
        <w:rPr>
          <w:lang w:val="fr-FR"/>
        </w:rPr>
      </w:pPr>
      <w:r>
        <w:rPr>
          <w:i/>
          <w:iCs/>
          <w:lang w:val="fr-FR"/>
        </w:rPr>
        <w:t>Ajouter un paragraphe 11.16</w:t>
      </w:r>
      <w:r>
        <w:rPr>
          <w:lang w:val="fr-FR"/>
        </w:rPr>
        <w:t>, libellé comme suit</w:t>
      </w:r>
      <w:r>
        <w:rPr>
          <w:lang w:val="fr-FR"/>
        </w:rPr>
        <w:t> </w:t>
      </w:r>
      <w:r>
        <w:rPr>
          <w:lang w:val="fr-FR"/>
        </w:rPr>
        <w:t xml:space="preserve">: </w:t>
      </w:r>
    </w:p>
    <w:p w14:paraId="20E98BEA" w14:textId="3492BE9D" w:rsidR="00E76BE6" w:rsidRPr="003A2072" w:rsidRDefault="00E76BE6" w:rsidP="00E76BE6">
      <w:pPr>
        <w:keepNext/>
        <w:keepLines/>
        <w:spacing w:after="120"/>
        <w:ind w:left="2268" w:right="1134" w:hanging="1134"/>
        <w:jc w:val="both"/>
        <w:rPr>
          <w:lang w:val="fr-FR"/>
        </w:rPr>
      </w:pPr>
      <w:r>
        <w:rPr>
          <w:lang w:val="fr-FR"/>
        </w:rPr>
        <w:t>« 11.16</w:t>
      </w:r>
      <w:r>
        <w:rPr>
          <w:lang w:val="fr-FR"/>
        </w:rPr>
        <w:tab/>
        <w:t>Le complément 9 ne s’applique pas aux homologations de type existantes et à leurs extensions accordées avant la date de son entrée en vigueur. »</w:t>
      </w:r>
      <w:r>
        <w:rPr>
          <w:lang w:val="fr-FR"/>
        </w:rPr>
        <w:t>.</w:t>
      </w:r>
    </w:p>
    <w:p w14:paraId="3AA9614E" w14:textId="3928DED4" w:rsidR="00E76BE6" w:rsidRPr="003A2072" w:rsidRDefault="00E76BE6" w:rsidP="00E76BE6">
      <w:pPr>
        <w:keepNext/>
        <w:keepLines/>
        <w:spacing w:after="120"/>
        <w:ind w:left="2268" w:right="1134" w:hanging="1134"/>
        <w:jc w:val="both"/>
        <w:rPr>
          <w:bCs/>
          <w:i/>
          <w:iCs/>
          <w:lang w:val="fr-FR"/>
        </w:rPr>
      </w:pPr>
      <w:r>
        <w:rPr>
          <w:i/>
          <w:iCs/>
          <w:lang w:val="fr-FR"/>
        </w:rPr>
        <w:t xml:space="preserve">Annexe 1 </w:t>
      </w:r>
      <w:r>
        <w:rPr>
          <w:i/>
          <w:iCs/>
          <w:lang w:val="fr-FR"/>
        </w:rPr>
        <w:t>−</w:t>
      </w:r>
      <w:r>
        <w:rPr>
          <w:i/>
          <w:iCs/>
          <w:lang w:val="fr-FR"/>
        </w:rPr>
        <w:t xml:space="preserve"> Appendice 2,</w:t>
      </w:r>
      <w:r>
        <w:rPr>
          <w:lang w:val="fr-FR"/>
        </w:rPr>
        <w:t xml:space="preserve"> </w:t>
      </w:r>
    </w:p>
    <w:p w14:paraId="0F06CA40" w14:textId="48EA5632" w:rsidR="00E76BE6" w:rsidRPr="003A2072" w:rsidRDefault="00E76BE6" w:rsidP="00E76BE6">
      <w:pPr>
        <w:keepNext/>
        <w:keepLines/>
        <w:spacing w:after="120"/>
        <w:ind w:left="2268" w:right="1134" w:hanging="1134"/>
        <w:jc w:val="both"/>
        <w:rPr>
          <w:lang w:val="fr-FR"/>
        </w:rPr>
      </w:pPr>
      <w:r>
        <w:rPr>
          <w:i/>
          <w:iCs/>
          <w:lang w:val="fr-FR"/>
        </w:rPr>
        <w:t>Point 3.3</w:t>
      </w:r>
      <w:r>
        <w:rPr>
          <w:lang w:val="fr-FR"/>
        </w:rPr>
        <w:t xml:space="preserve"> </w:t>
      </w:r>
      <w:r>
        <w:rPr>
          <w:i/>
          <w:iCs/>
          <w:lang w:val="fr-FR"/>
        </w:rPr>
        <w:t>et ses points subsidiaires</w:t>
      </w:r>
      <w:r>
        <w:rPr>
          <w:lang w:val="fr-FR"/>
        </w:rPr>
        <w:t>, lire</w:t>
      </w:r>
      <w:r>
        <w:rPr>
          <w:lang w:val="fr-FR"/>
        </w:rPr>
        <w:t> </w:t>
      </w:r>
      <w:r>
        <w:rPr>
          <w:lang w:val="fr-FR"/>
        </w:rPr>
        <w:t xml:space="preserve">: </w:t>
      </w:r>
    </w:p>
    <w:p w14:paraId="1289B5B8" w14:textId="77777777" w:rsidR="00E76BE6" w:rsidRPr="003A2072" w:rsidRDefault="00E76BE6" w:rsidP="00E76BE6">
      <w:pPr>
        <w:spacing w:after="120"/>
        <w:ind w:left="2268" w:right="1134" w:hanging="1134"/>
        <w:jc w:val="both"/>
        <w:rPr>
          <w:lang w:val="fr-FR"/>
        </w:rPr>
      </w:pPr>
      <w:r>
        <w:rPr>
          <w:lang w:val="fr-FR"/>
        </w:rPr>
        <w:t>« 3.3</w:t>
      </w:r>
      <w:r>
        <w:rPr>
          <w:lang w:val="fr-FR"/>
        </w:rPr>
        <w:tab/>
        <w:t>Moteur électrique (décrire séparément chaque type de moteur électrique)</w:t>
      </w:r>
    </w:p>
    <w:p w14:paraId="480D1DB9" w14:textId="77FD3139" w:rsidR="00E76BE6" w:rsidRPr="003A2072" w:rsidRDefault="00E76BE6" w:rsidP="00E76BE6">
      <w:pPr>
        <w:tabs>
          <w:tab w:val="left" w:pos="1134"/>
          <w:tab w:val="right" w:leader="dot" w:pos="8505"/>
        </w:tabs>
        <w:spacing w:after="120"/>
        <w:ind w:left="2268" w:right="1134" w:hanging="1134"/>
        <w:jc w:val="both"/>
        <w:rPr>
          <w:rFonts w:eastAsia="Calibri"/>
          <w:lang w:val="fr-FR"/>
        </w:rPr>
      </w:pPr>
      <w:r>
        <w:rPr>
          <w:lang w:val="fr-FR"/>
        </w:rPr>
        <w:t>3.3.1</w:t>
      </w:r>
      <w:r>
        <w:rPr>
          <w:lang w:val="fr-FR"/>
        </w:rPr>
        <w:tab/>
        <w:t>Marque</w:t>
      </w:r>
      <w:r>
        <w:rPr>
          <w:lang w:val="fr-FR"/>
        </w:rPr>
        <w:t> </w:t>
      </w:r>
      <w:r>
        <w:rPr>
          <w:lang w:val="fr-FR"/>
        </w:rPr>
        <w:t>:</w:t>
      </w:r>
      <w:r>
        <w:rPr>
          <w:lang w:val="fr-FR"/>
        </w:rPr>
        <w:tab/>
      </w:r>
    </w:p>
    <w:p w14:paraId="3A3A1FCB" w14:textId="5F6C5591" w:rsidR="00E76BE6" w:rsidRPr="003A2072" w:rsidRDefault="00E76BE6" w:rsidP="00E76BE6">
      <w:pPr>
        <w:tabs>
          <w:tab w:val="left" w:pos="1134"/>
          <w:tab w:val="right" w:leader="dot" w:pos="8505"/>
        </w:tabs>
        <w:spacing w:after="120"/>
        <w:ind w:left="2268" w:right="1134" w:hanging="1134"/>
        <w:jc w:val="both"/>
        <w:rPr>
          <w:rFonts w:eastAsia="Calibri"/>
          <w:lang w:val="fr-FR"/>
        </w:rPr>
      </w:pPr>
      <w:r>
        <w:rPr>
          <w:lang w:val="fr-FR"/>
        </w:rPr>
        <w:t>3.3.2</w:t>
      </w:r>
      <w:r>
        <w:rPr>
          <w:lang w:val="fr-FR"/>
        </w:rPr>
        <w:tab/>
        <w:t>Type</w:t>
      </w:r>
      <w:r>
        <w:rPr>
          <w:lang w:val="fr-FR"/>
        </w:rPr>
        <w:t> </w:t>
      </w:r>
      <w:r>
        <w:rPr>
          <w:lang w:val="fr-FR"/>
        </w:rPr>
        <w:t>:</w:t>
      </w:r>
      <w:r>
        <w:rPr>
          <w:lang w:val="fr-FR"/>
        </w:rPr>
        <w:tab/>
      </w:r>
    </w:p>
    <w:p w14:paraId="62E28390" w14:textId="77777777" w:rsidR="00E76BE6" w:rsidRPr="003A2072" w:rsidRDefault="00E76BE6" w:rsidP="00E76BE6">
      <w:pPr>
        <w:tabs>
          <w:tab w:val="left" w:pos="5670"/>
        </w:tabs>
        <w:spacing w:after="120"/>
        <w:ind w:left="2268" w:right="1134" w:hanging="1134"/>
        <w:jc w:val="both"/>
        <w:rPr>
          <w:lang w:val="fr-FR"/>
        </w:rPr>
      </w:pPr>
      <w:r>
        <w:rPr>
          <w:lang w:val="fr-FR"/>
        </w:rPr>
        <w:t>3.3.3</w:t>
      </w:r>
      <w:r>
        <w:rPr>
          <w:lang w:val="fr-FR"/>
        </w:rPr>
        <w:tab/>
        <w:t xml:space="preserve">Puissance nette maximale nominale : </w:t>
      </w:r>
      <w:r>
        <w:rPr>
          <w:lang w:val="fr-FR"/>
        </w:rPr>
        <w:tab/>
      </w:r>
      <w:r>
        <w:rPr>
          <w:lang w:val="fr-FR"/>
        </w:rPr>
        <w:tab/>
        <w:t>.... kW</w:t>
      </w:r>
    </w:p>
    <w:p w14:paraId="26DE1CD5" w14:textId="3B8E5032" w:rsidR="00E76BE6" w:rsidRDefault="00E76BE6" w:rsidP="00E76BE6">
      <w:pPr>
        <w:tabs>
          <w:tab w:val="left" w:pos="5670"/>
        </w:tabs>
        <w:spacing w:after="120"/>
        <w:ind w:left="2268" w:right="1134" w:hanging="1134"/>
        <w:jc w:val="both"/>
        <w:rPr>
          <w:lang w:val="fr-FR"/>
        </w:rPr>
      </w:pPr>
      <w:r>
        <w:rPr>
          <w:lang w:val="fr-FR"/>
        </w:rPr>
        <w:t>3.3.4</w:t>
      </w:r>
      <w:r>
        <w:rPr>
          <w:lang w:val="fr-FR"/>
        </w:rPr>
        <w:tab/>
        <w:t>Tension de fonctionnement</w:t>
      </w:r>
      <w:r>
        <w:rPr>
          <w:lang w:val="fr-FR"/>
        </w:rPr>
        <w:t> </w:t>
      </w:r>
      <w:r>
        <w:rPr>
          <w:lang w:val="fr-FR"/>
        </w:rPr>
        <w:t xml:space="preserve">: </w:t>
      </w:r>
      <w:r>
        <w:rPr>
          <w:lang w:val="fr-FR"/>
        </w:rPr>
        <w:tab/>
      </w:r>
      <w:r>
        <w:rPr>
          <w:lang w:val="fr-FR"/>
        </w:rPr>
        <w:tab/>
        <w:t>.... V »</w:t>
      </w:r>
    </w:p>
    <w:p w14:paraId="3204D1F9" w14:textId="77777777" w:rsidR="00E76BE6" w:rsidRPr="003A2072" w:rsidRDefault="00E76BE6" w:rsidP="00E76BE6">
      <w:pPr>
        <w:keepNext/>
        <w:tabs>
          <w:tab w:val="left" w:pos="2268"/>
        </w:tabs>
        <w:spacing w:after="120"/>
        <w:ind w:left="2268" w:right="1134" w:hanging="1134"/>
        <w:jc w:val="both"/>
        <w:rPr>
          <w:i/>
          <w:lang w:val="fr-FR"/>
        </w:rPr>
      </w:pPr>
      <w:r>
        <w:rPr>
          <w:i/>
          <w:iCs/>
          <w:lang w:val="fr-FR"/>
        </w:rPr>
        <w:t>Annexe 3,</w:t>
      </w:r>
      <w:r>
        <w:rPr>
          <w:lang w:val="fr-FR"/>
        </w:rPr>
        <w:t xml:space="preserve"> </w:t>
      </w:r>
    </w:p>
    <w:p w14:paraId="7DF818F1" w14:textId="773D0357" w:rsidR="00E76BE6" w:rsidRPr="003A2072" w:rsidRDefault="00E76BE6" w:rsidP="00E76BE6">
      <w:pPr>
        <w:keepNext/>
        <w:tabs>
          <w:tab w:val="left" w:pos="2268"/>
        </w:tabs>
        <w:spacing w:after="120"/>
        <w:ind w:left="2268" w:right="1134" w:hanging="1134"/>
        <w:jc w:val="both"/>
        <w:rPr>
          <w:lang w:val="fr-FR"/>
        </w:rPr>
      </w:pPr>
      <w:r>
        <w:rPr>
          <w:i/>
          <w:iCs/>
          <w:lang w:val="fr-FR"/>
        </w:rPr>
        <w:t>Paragraphe 2.2.3.4.2</w:t>
      </w:r>
      <w:r>
        <w:rPr>
          <w:lang w:val="fr-FR"/>
        </w:rPr>
        <w:t>, lire</w:t>
      </w:r>
      <w:r>
        <w:rPr>
          <w:lang w:val="fr-FR"/>
        </w:rPr>
        <w:t> </w:t>
      </w:r>
      <w:r>
        <w:rPr>
          <w:lang w:val="fr-FR"/>
        </w:rPr>
        <w:t xml:space="preserve">: </w:t>
      </w:r>
    </w:p>
    <w:p w14:paraId="31E1CD70" w14:textId="7AB60681" w:rsidR="00E76BE6" w:rsidRPr="003A2072" w:rsidRDefault="00E76BE6" w:rsidP="00E76BE6">
      <w:pPr>
        <w:keepNext/>
        <w:tabs>
          <w:tab w:val="left" w:pos="2268"/>
        </w:tabs>
        <w:spacing w:after="120"/>
        <w:ind w:left="2268" w:right="1134" w:hanging="1134"/>
        <w:jc w:val="both"/>
        <w:rPr>
          <w:iCs/>
          <w:lang w:val="fr-FR"/>
        </w:rPr>
      </w:pPr>
      <w:r>
        <w:rPr>
          <w:lang w:val="fr-FR"/>
        </w:rPr>
        <w:t>« 2.2.3.4.2</w:t>
      </w:r>
      <w:r>
        <w:rPr>
          <w:lang w:val="fr-FR"/>
        </w:rPr>
        <w:tab/>
        <w:t>Conditionnement des pneumatiques</w:t>
      </w:r>
    </w:p>
    <w:p w14:paraId="3E930D24" w14:textId="77777777" w:rsidR="00E76BE6" w:rsidRPr="003A2072" w:rsidRDefault="00E76BE6" w:rsidP="00E76BE6">
      <w:pPr>
        <w:keepNext/>
        <w:tabs>
          <w:tab w:val="left" w:pos="2268"/>
        </w:tabs>
        <w:spacing w:after="120"/>
        <w:ind w:left="2268" w:right="1134" w:hanging="1134"/>
        <w:jc w:val="both"/>
        <w:rPr>
          <w:iCs/>
          <w:lang w:val="fr-FR"/>
        </w:rPr>
      </w:pPr>
      <w:r>
        <w:rPr>
          <w:lang w:val="fr-FR"/>
        </w:rPr>
        <w:tab/>
        <w:t>Les pneumatiques auxquels s’appliquent des prescriptions de montage particulières, tels que les pneumatiques à conception asymétrique ou directionnelle, doivent également être montés conformément aux présentes prescriptions.</w:t>
      </w:r>
    </w:p>
    <w:p w14:paraId="2A6BF48C" w14:textId="77777777" w:rsidR="00E76BE6" w:rsidRPr="00A56115" w:rsidRDefault="00E76BE6" w:rsidP="00E76BE6">
      <w:pPr>
        <w:tabs>
          <w:tab w:val="left" w:pos="2268"/>
        </w:tabs>
        <w:spacing w:after="120"/>
        <w:ind w:left="2268" w:right="1134" w:hanging="1134"/>
        <w:jc w:val="both"/>
        <w:rPr>
          <w:iCs/>
          <w:lang w:val="fr-FR"/>
        </w:rPr>
      </w:pPr>
      <w:r>
        <w:rPr>
          <w:lang w:val="fr-FR"/>
        </w:rPr>
        <w:tab/>
        <w:t>Avant l’essai, les pneumatiques doivent être conditionnés (rodage). Ce conditionnement doit être représentatif d’environ 100 km de fonctionnement normal sur route. Les pneumatiques auxquels s’appliquent des prescriptions de montage particulières doivent être conditionnés conformément à ces mêmes prescriptions. Les pneumatiques doivent être montés sur le véhicule d’essai dans le même sens de rotation que celui retenu pour le conditionnement.</w:t>
      </w:r>
    </w:p>
    <w:p w14:paraId="0A9169DE" w14:textId="35FE8A61" w:rsidR="00E76BE6" w:rsidRPr="003A2072" w:rsidRDefault="00E76BE6" w:rsidP="00E76BE6">
      <w:pPr>
        <w:tabs>
          <w:tab w:val="left" w:pos="2268"/>
        </w:tabs>
        <w:spacing w:after="120"/>
        <w:ind w:left="2268" w:right="1134" w:hanging="1134"/>
        <w:jc w:val="both"/>
        <w:rPr>
          <w:iCs/>
          <w:lang w:val="fr-FR"/>
        </w:rPr>
      </w:pPr>
      <w:r>
        <w:rPr>
          <w:lang w:val="fr-FR"/>
        </w:rPr>
        <w:tab/>
        <w:t>Les pneumatiques d’essai doivent être chauffés immédiatement avant l’essai pendant au moins 10 min, dans la plage des vitesses d’essai, avec une accélération latérale et longitudinale modérée. L’accélération latérale doit être choisie de manière à éviter les effets d’une usure excessive de la bande de roulement des pneumatiques. Si les pneumatiques d’essai ont des limites de température de fonctionnement qui ne couvrent pas toute la plage de température du présent Règlement, les pneumatiques doivent être conditionnés à leur température de fonctionnement conformément aux dispositions du paragraphe</w:t>
      </w:r>
      <w:r>
        <w:rPr>
          <w:lang w:val="fr-FR"/>
        </w:rPr>
        <w:t> </w:t>
      </w:r>
      <w:r>
        <w:rPr>
          <w:lang w:val="fr-FR"/>
        </w:rPr>
        <w:t>2.2.3.1. »</w:t>
      </w:r>
      <w:r>
        <w:rPr>
          <w:lang w:val="fr-FR"/>
        </w:rPr>
        <w:t>.</w:t>
      </w:r>
    </w:p>
    <w:p w14:paraId="0797164F" w14:textId="4A406FA5" w:rsidR="00E76BE6" w:rsidRPr="00621E49" w:rsidRDefault="00E76BE6" w:rsidP="00E76BE6">
      <w:pPr>
        <w:spacing w:after="120"/>
        <w:ind w:left="2268" w:right="1134" w:hanging="1134"/>
        <w:jc w:val="both"/>
        <w:rPr>
          <w:bCs/>
          <w:snapToGrid w:val="0"/>
          <w:lang w:val="fr-FR"/>
        </w:rPr>
      </w:pPr>
      <w:r>
        <w:rPr>
          <w:i/>
          <w:iCs/>
          <w:lang w:val="fr-FR"/>
        </w:rPr>
        <w:t>Paragraphe 3.1.3.4.1.2</w:t>
      </w:r>
      <w:r>
        <w:rPr>
          <w:lang w:val="fr-FR"/>
        </w:rPr>
        <w:t>, lire</w:t>
      </w:r>
      <w:r>
        <w:rPr>
          <w:lang w:val="fr-FR"/>
        </w:rPr>
        <w:t> </w:t>
      </w:r>
      <w:r>
        <w:rPr>
          <w:lang w:val="fr-FR"/>
        </w:rPr>
        <w:t xml:space="preserve">: </w:t>
      </w:r>
    </w:p>
    <w:p w14:paraId="4A3F9211" w14:textId="77777777" w:rsidR="00E76BE6" w:rsidRPr="00621E49" w:rsidRDefault="00E76BE6" w:rsidP="00E76BE6">
      <w:pPr>
        <w:spacing w:after="120"/>
        <w:ind w:left="2268" w:right="1134" w:hanging="1134"/>
        <w:jc w:val="both"/>
        <w:rPr>
          <w:bCs/>
          <w:snapToGrid w:val="0"/>
          <w:lang w:val="fr-FR"/>
        </w:rPr>
      </w:pPr>
      <w:r>
        <w:rPr>
          <w:lang w:val="fr-FR"/>
        </w:rPr>
        <w:t>« 3.1.3.4.1.2</w:t>
      </w:r>
      <w:r>
        <w:rPr>
          <w:lang w:val="fr-FR"/>
        </w:rPr>
        <w:tab/>
        <w:t>...</w:t>
      </w:r>
    </w:p>
    <w:p w14:paraId="03D366F4" w14:textId="77777777" w:rsidR="00E76BE6" w:rsidRPr="00A56115" w:rsidRDefault="00E76BE6" w:rsidP="00E76BE6">
      <w:pPr>
        <w:spacing w:after="120"/>
        <w:ind w:left="2268" w:right="1134"/>
        <w:jc w:val="both"/>
        <w:rPr>
          <w:bCs/>
          <w:snapToGrid w:val="0"/>
          <w:lang w:val="fr-FR"/>
        </w:rPr>
      </w:pPr>
      <w:r>
        <w:rPr>
          <w:lang w:val="fr-FR"/>
        </w:rPr>
        <w:t xml:space="preserve">Le résultat final est obtenu par combinaison de </w:t>
      </w:r>
      <w:proofErr w:type="spellStart"/>
      <w:r>
        <w:rPr>
          <w:lang w:val="fr-FR"/>
        </w:rPr>
        <w:t>L</w:t>
      </w:r>
      <w:r w:rsidRPr="00491F49">
        <w:rPr>
          <w:vertAlign w:val="subscript"/>
          <w:lang w:val="fr-FR"/>
        </w:rPr>
        <w:t>acc</w:t>
      </w:r>
      <w:proofErr w:type="spellEnd"/>
      <w:r w:rsidRPr="00491F49">
        <w:rPr>
          <w:vertAlign w:val="subscript"/>
          <w:lang w:val="fr-FR"/>
        </w:rPr>
        <w:t xml:space="preserve"> rep</w:t>
      </w:r>
      <w:r>
        <w:rPr>
          <w:lang w:val="fr-FR"/>
        </w:rPr>
        <w:t xml:space="preserve"> et </w:t>
      </w:r>
      <w:proofErr w:type="spellStart"/>
      <w:r>
        <w:rPr>
          <w:lang w:val="fr-FR"/>
        </w:rPr>
        <w:t>L</w:t>
      </w:r>
      <w:r w:rsidRPr="00491F49">
        <w:rPr>
          <w:vertAlign w:val="subscript"/>
          <w:lang w:val="fr-FR"/>
        </w:rPr>
        <w:t>crs</w:t>
      </w:r>
      <w:proofErr w:type="spellEnd"/>
      <w:r w:rsidRPr="00491F49">
        <w:rPr>
          <w:vertAlign w:val="subscript"/>
          <w:lang w:val="fr-FR"/>
        </w:rPr>
        <w:t xml:space="preserve"> rep</w:t>
      </w:r>
      <w:r>
        <w:rPr>
          <w:lang w:val="fr-FR"/>
        </w:rPr>
        <w:t>. L’équation est la suivante :</w:t>
      </w:r>
    </w:p>
    <w:p w14:paraId="3D554AF6" w14:textId="77777777" w:rsidR="00E76BE6" w:rsidRPr="00E76BE6" w:rsidRDefault="00E76BE6" w:rsidP="00E76BE6">
      <w:pPr>
        <w:spacing w:after="120"/>
        <w:ind w:left="2268" w:right="1134"/>
        <w:jc w:val="both"/>
        <w:rPr>
          <w:bCs/>
          <w:snapToGrid w:val="0"/>
          <w:lang w:val="en-US"/>
        </w:rPr>
      </w:pPr>
      <w:r w:rsidRPr="001318C7">
        <w:rPr>
          <w:bCs/>
          <w:snapToGrid w:val="0"/>
        </w:rPr>
        <w:tab/>
      </w:r>
      <w:proofErr w:type="spellStart"/>
      <w:r w:rsidRPr="00E76BE6">
        <w:rPr>
          <w:bCs/>
          <w:snapToGrid w:val="0"/>
          <w:lang w:val="en-US"/>
        </w:rPr>
        <w:t>L</w:t>
      </w:r>
      <w:r w:rsidRPr="00E76BE6">
        <w:rPr>
          <w:bCs/>
          <w:snapToGrid w:val="0"/>
          <w:vertAlign w:val="subscript"/>
          <w:lang w:val="en-US"/>
        </w:rPr>
        <w:t>urban</w:t>
      </w:r>
      <w:proofErr w:type="spellEnd"/>
      <w:r w:rsidRPr="00E76BE6">
        <w:rPr>
          <w:bCs/>
          <w:snapToGrid w:val="0"/>
          <w:lang w:val="en-US"/>
        </w:rPr>
        <w:t xml:space="preserve"> = </w:t>
      </w:r>
      <w:proofErr w:type="spellStart"/>
      <w:r w:rsidRPr="00E76BE6">
        <w:rPr>
          <w:bCs/>
          <w:snapToGrid w:val="0"/>
          <w:lang w:val="en-US"/>
        </w:rPr>
        <w:t>L</w:t>
      </w:r>
      <w:r w:rsidRPr="00E76BE6">
        <w:rPr>
          <w:bCs/>
          <w:snapToGrid w:val="0"/>
          <w:vertAlign w:val="subscript"/>
          <w:lang w:val="en-US"/>
        </w:rPr>
        <w:t>wot</w:t>
      </w:r>
      <w:proofErr w:type="spellEnd"/>
      <w:r w:rsidRPr="00E76BE6">
        <w:rPr>
          <w:bCs/>
          <w:snapToGrid w:val="0"/>
          <w:vertAlign w:val="subscript"/>
          <w:lang w:val="en-US"/>
        </w:rPr>
        <w:t xml:space="preserve"> rep</w:t>
      </w:r>
      <w:r w:rsidRPr="00E76BE6">
        <w:rPr>
          <w:bCs/>
          <w:snapToGrid w:val="0"/>
          <w:lang w:val="en-US"/>
        </w:rPr>
        <w:t xml:space="preserve"> – </w:t>
      </w:r>
      <w:proofErr w:type="spellStart"/>
      <w:r w:rsidRPr="00E76BE6">
        <w:rPr>
          <w:bCs/>
          <w:snapToGrid w:val="0"/>
          <w:lang w:val="en-US"/>
        </w:rPr>
        <w:t>k</w:t>
      </w:r>
      <w:r w:rsidRPr="00E76BE6">
        <w:rPr>
          <w:bCs/>
          <w:snapToGrid w:val="0"/>
          <w:vertAlign w:val="subscript"/>
          <w:lang w:val="en-US"/>
        </w:rPr>
        <w:t>P</w:t>
      </w:r>
      <w:proofErr w:type="spellEnd"/>
      <w:r w:rsidRPr="00E76BE6">
        <w:rPr>
          <w:bCs/>
          <w:snapToGrid w:val="0"/>
          <w:lang w:val="en-US"/>
        </w:rPr>
        <w:t xml:space="preserve"> * (</w:t>
      </w:r>
      <w:proofErr w:type="spellStart"/>
      <w:r w:rsidRPr="00E76BE6">
        <w:rPr>
          <w:bCs/>
          <w:snapToGrid w:val="0"/>
          <w:lang w:val="en-US"/>
        </w:rPr>
        <w:t>L</w:t>
      </w:r>
      <w:r w:rsidRPr="00E76BE6">
        <w:rPr>
          <w:bCs/>
          <w:snapToGrid w:val="0"/>
          <w:vertAlign w:val="subscript"/>
          <w:lang w:val="en-US"/>
        </w:rPr>
        <w:t>wot</w:t>
      </w:r>
      <w:proofErr w:type="spellEnd"/>
      <w:r w:rsidRPr="00E76BE6">
        <w:rPr>
          <w:bCs/>
          <w:snapToGrid w:val="0"/>
          <w:vertAlign w:val="subscript"/>
          <w:lang w:val="en-US"/>
        </w:rPr>
        <w:t xml:space="preserve"> rep</w:t>
      </w:r>
      <w:r w:rsidRPr="00E76BE6">
        <w:rPr>
          <w:bCs/>
          <w:snapToGrid w:val="0"/>
          <w:lang w:val="en-US"/>
        </w:rPr>
        <w:t xml:space="preserve"> – </w:t>
      </w:r>
      <w:proofErr w:type="spellStart"/>
      <w:r w:rsidRPr="00E76BE6">
        <w:rPr>
          <w:bCs/>
          <w:snapToGrid w:val="0"/>
          <w:lang w:val="en-US"/>
        </w:rPr>
        <w:t>L</w:t>
      </w:r>
      <w:r w:rsidRPr="00E76BE6">
        <w:rPr>
          <w:bCs/>
          <w:snapToGrid w:val="0"/>
          <w:vertAlign w:val="subscript"/>
          <w:lang w:val="en-US"/>
        </w:rPr>
        <w:t>crs</w:t>
      </w:r>
      <w:proofErr w:type="spellEnd"/>
      <w:r w:rsidRPr="00E76BE6">
        <w:rPr>
          <w:bCs/>
          <w:snapToGrid w:val="0"/>
          <w:vertAlign w:val="subscript"/>
          <w:lang w:val="en-US"/>
        </w:rPr>
        <w:t xml:space="preserve"> rep</w:t>
      </w:r>
      <w:r w:rsidRPr="00E76BE6">
        <w:rPr>
          <w:bCs/>
          <w:snapToGrid w:val="0"/>
          <w:lang w:val="en-US"/>
        </w:rPr>
        <w:t>)</w:t>
      </w:r>
    </w:p>
    <w:p w14:paraId="783E673E" w14:textId="78804673" w:rsidR="00E76BE6" w:rsidRPr="003A2072" w:rsidRDefault="00E76BE6" w:rsidP="00E76BE6">
      <w:pPr>
        <w:spacing w:after="120"/>
        <w:ind w:left="2268" w:right="1134"/>
        <w:jc w:val="both"/>
        <w:rPr>
          <w:bCs/>
          <w:snapToGrid w:val="0"/>
          <w:lang w:val="fr-FR"/>
        </w:rPr>
      </w:pPr>
      <w:r>
        <w:rPr>
          <w:lang w:val="fr-FR"/>
        </w:rPr>
        <w:lastRenderedPageBreak/>
        <w:t xml:space="preserve">Le facteur de puissance partielle </w:t>
      </w:r>
      <w:proofErr w:type="spellStart"/>
      <w:r>
        <w:rPr>
          <w:lang w:val="fr-FR"/>
        </w:rPr>
        <w:t>k</w:t>
      </w:r>
      <w:r w:rsidRPr="00AA677F">
        <w:rPr>
          <w:vertAlign w:val="subscript"/>
          <w:lang w:val="fr-FR"/>
        </w:rPr>
        <w:t>P</w:t>
      </w:r>
      <w:proofErr w:type="spellEnd"/>
      <w:r>
        <w:rPr>
          <w:lang w:val="fr-FR"/>
        </w:rPr>
        <w:t xml:space="preserve"> est donné pour la conduite urbaine. Si l’essai n’est pas effectué sur un seul rapport, le facteur </w:t>
      </w:r>
      <w:proofErr w:type="spellStart"/>
      <w:r>
        <w:rPr>
          <w:lang w:val="fr-FR"/>
        </w:rPr>
        <w:t>k</w:t>
      </w:r>
      <w:r w:rsidRPr="00AA677F">
        <w:rPr>
          <w:vertAlign w:val="subscript"/>
          <w:lang w:val="fr-FR"/>
        </w:rPr>
        <w:t>P</w:t>
      </w:r>
      <w:proofErr w:type="spellEnd"/>
      <w:r>
        <w:rPr>
          <w:lang w:val="fr-FR"/>
        </w:rPr>
        <w:t xml:space="preserve"> se calcule comme suit</w:t>
      </w:r>
      <w:r>
        <w:rPr>
          <w:lang w:val="fr-FR"/>
        </w:rPr>
        <w:t> </w:t>
      </w:r>
      <w:r>
        <w:rPr>
          <w:lang w:val="fr-FR"/>
        </w:rPr>
        <w:t>:</w:t>
      </w:r>
    </w:p>
    <w:p w14:paraId="0D0BA326" w14:textId="77777777" w:rsidR="00E76BE6" w:rsidRPr="003A2072" w:rsidRDefault="00E76BE6" w:rsidP="00E76BE6">
      <w:pPr>
        <w:spacing w:after="120"/>
        <w:ind w:left="2268" w:right="1134"/>
        <w:jc w:val="both"/>
        <w:rPr>
          <w:bCs/>
          <w:snapToGrid w:val="0"/>
          <w:lang w:val="fr-FR"/>
        </w:rPr>
      </w:pPr>
      <w:r>
        <w:rPr>
          <w:lang w:val="fr-FR"/>
        </w:rPr>
        <w:tab/>
      </w:r>
      <w:proofErr w:type="spellStart"/>
      <w:r>
        <w:rPr>
          <w:lang w:val="fr-FR"/>
        </w:rPr>
        <w:t>k</w:t>
      </w:r>
      <w:r>
        <w:rPr>
          <w:vertAlign w:val="subscript"/>
          <w:lang w:val="fr-FR"/>
        </w:rPr>
        <w:t>P</w:t>
      </w:r>
      <w:proofErr w:type="spellEnd"/>
      <w:r>
        <w:rPr>
          <w:lang w:val="fr-FR"/>
        </w:rPr>
        <w:t xml:space="preserve"> = 1 – (</w:t>
      </w:r>
      <w:proofErr w:type="spellStart"/>
      <w:r>
        <w:rPr>
          <w:lang w:val="fr-FR"/>
        </w:rPr>
        <w:t>a</w:t>
      </w:r>
      <w:r>
        <w:rPr>
          <w:vertAlign w:val="subscript"/>
          <w:lang w:val="fr-FR"/>
        </w:rPr>
        <w:t>urban</w:t>
      </w:r>
      <w:proofErr w:type="spellEnd"/>
      <w:r>
        <w:rPr>
          <w:lang w:val="fr-FR"/>
        </w:rPr>
        <w:t xml:space="preserve"> / </w:t>
      </w:r>
      <w:proofErr w:type="spellStart"/>
      <w:r>
        <w:rPr>
          <w:lang w:val="fr-FR"/>
        </w:rPr>
        <w:t>a</w:t>
      </w:r>
      <w:r>
        <w:rPr>
          <w:vertAlign w:val="subscript"/>
          <w:lang w:val="fr-FR"/>
        </w:rPr>
        <w:t>wot</w:t>
      </w:r>
      <w:proofErr w:type="spellEnd"/>
      <w:r>
        <w:rPr>
          <w:vertAlign w:val="subscript"/>
          <w:lang w:val="fr-FR"/>
        </w:rPr>
        <w:t xml:space="preserve"> </w:t>
      </w:r>
      <w:proofErr w:type="spellStart"/>
      <w:r>
        <w:rPr>
          <w:vertAlign w:val="subscript"/>
          <w:lang w:val="fr-FR"/>
        </w:rPr>
        <w:t>ref</w:t>
      </w:r>
      <w:proofErr w:type="spellEnd"/>
      <w:r>
        <w:rPr>
          <w:lang w:val="fr-FR"/>
        </w:rPr>
        <w:t>)</w:t>
      </w:r>
    </w:p>
    <w:p w14:paraId="127E9265" w14:textId="799493B0" w:rsidR="00E76BE6" w:rsidRPr="003A2072" w:rsidRDefault="00E76BE6" w:rsidP="00E76BE6">
      <w:pPr>
        <w:spacing w:after="120"/>
        <w:ind w:left="2268" w:right="1134"/>
        <w:jc w:val="both"/>
        <w:rPr>
          <w:bCs/>
          <w:snapToGrid w:val="0"/>
          <w:lang w:val="fr-FR"/>
        </w:rPr>
      </w:pPr>
      <w:r>
        <w:rPr>
          <w:lang w:val="fr-FR"/>
        </w:rPr>
        <w:tab/>
        <w:t xml:space="preserve">Si l’essai est effectué sur un seul rapport, le facteur </w:t>
      </w:r>
      <w:proofErr w:type="spellStart"/>
      <w:r>
        <w:rPr>
          <w:lang w:val="fr-FR"/>
        </w:rPr>
        <w:t>k</w:t>
      </w:r>
      <w:r w:rsidRPr="00AA677F">
        <w:rPr>
          <w:vertAlign w:val="subscript"/>
          <w:lang w:val="fr-FR"/>
        </w:rPr>
        <w:t>P</w:t>
      </w:r>
      <w:proofErr w:type="spellEnd"/>
      <w:r>
        <w:rPr>
          <w:lang w:val="fr-FR"/>
        </w:rPr>
        <w:t xml:space="preserve"> se calcule comme suit</w:t>
      </w:r>
      <w:r>
        <w:rPr>
          <w:lang w:val="fr-FR"/>
        </w:rPr>
        <w:t> </w:t>
      </w:r>
      <w:r>
        <w:rPr>
          <w:lang w:val="fr-FR"/>
        </w:rPr>
        <w:t>:</w:t>
      </w:r>
    </w:p>
    <w:p w14:paraId="1CC2D8E7" w14:textId="77777777" w:rsidR="00E76BE6" w:rsidRPr="003A2072" w:rsidRDefault="00E76BE6" w:rsidP="00E76BE6">
      <w:pPr>
        <w:spacing w:after="120"/>
        <w:ind w:left="2268" w:right="1134"/>
        <w:jc w:val="both"/>
        <w:rPr>
          <w:bCs/>
          <w:snapToGrid w:val="0"/>
          <w:lang w:val="fr-FR"/>
        </w:rPr>
      </w:pPr>
      <w:r>
        <w:rPr>
          <w:lang w:val="fr-FR"/>
        </w:rPr>
        <w:tab/>
      </w:r>
      <w:proofErr w:type="spellStart"/>
      <w:r>
        <w:rPr>
          <w:lang w:val="fr-FR"/>
        </w:rPr>
        <w:t>k</w:t>
      </w:r>
      <w:r>
        <w:rPr>
          <w:vertAlign w:val="subscript"/>
          <w:lang w:val="fr-FR"/>
        </w:rPr>
        <w:t>P</w:t>
      </w:r>
      <w:proofErr w:type="spellEnd"/>
      <w:r>
        <w:rPr>
          <w:lang w:val="fr-FR"/>
        </w:rPr>
        <w:t xml:space="preserve"> = 1 – (</w:t>
      </w:r>
      <w:proofErr w:type="spellStart"/>
      <w:r>
        <w:rPr>
          <w:lang w:val="fr-FR"/>
        </w:rPr>
        <w:t>a</w:t>
      </w:r>
      <w:r>
        <w:rPr>
          <w:vertAlign w:val="subscript"/>
          <w:lang w:val="fr-FR"/>
        </w:rPr>
        <w:t>urban</w:t>
      </w:r>
      <w:proofErr w:type="spellEnd"/>
      <w:r>
        <w:rPr>
          <w:lang w:val="fr-FR"/>
        </w:rPr>
        <w:t xml:space="preserve"> / </w:t>
      </w:r>
      <w:proofErr w:type="spellStart"/>
      <w:r>
        <w:rPr>
          <w:lang w:val="fr-FR"/>
        </w:rPr>
        <w:t>a</w:t>
      </w:r>
      <w:r>
        <w:rPr>
          <w:vertAlign w:val="subscript"/>
          <w:lang w:val="fr-FR"/>
        </w:rPr>
        <w:t>wot</w:t>
      </w:r>
      <w:proofErr w:type="spellEnd"/>
      <w:r>
        <w:rPr>
          <w:vertAlign w:val="subscript"/>
          <w:lang w:val="fr-FR"/>
        </w:rPr>
        <w:t xml:space="preserve"> test</w:t>
      </w:r>
      <w:r>
        <w:rPr>
          <w:lang w:val="fr-FR"/>
        </w:rPr>
        <w:t>)</w:t>
      </w:r>
    </w:p>
    <w:p w14:paraId="7A07CFD6" w14:textId="21EB978E" w:rsidR="00E76BE6" w:rsidRPr="003A2072" w:rsidRDefault="00E76BE6" w:rsidP="00E76BE6">
      <w:pPr>
        <w:spacing w:after="120"/>
        <w:ind w:left="2268" w:right="1134"/>
        <w:jc w:val="both"/>
        <w:rPr>
          <w:bCs/>
          <w:snapToGrid w:val="0"/>
          <w:lang w:val="fr-FR"/>
        </w:rPr>
      </w:pPr>
      <w:r>
        <w:rPr>
          <w:lang w:val="fr-FR"/>
        </w:rPr>
        <w:tab/>
        <w:t xml:space="preserve">Lorsque </w:t>
      </w:r>
      <w:proofErr w:type="spellStart"/>
      <w:r>
        <w:rPr>
          <w:lang w:val="fr-FR"/>
        </w:rPr>
        <w:t>a</w:t>
      </w:r>
      <w:r>
        <w:rPr>
          <w:vertAlign w:val="subscript"/>
          <w:lang w:val="fr-FR"/>
        </w:rPr>
        <w:t>wot</w:t>
      </w:r>
      <w:proofErr w:type="spellEnd"/>
      <w:r>
        <w:rPr>
          <w:vertAlign w:val="subscript"/>
          <w:lang w:val="fr-FR"/>
        </w:rPr>
        <w:t xml:space="preserve"> test</w:t>
      </w:r>
      <w:r>
        <w:rPr>
          <w:lang w:val="fr-FR"/>
        </w:rPr>
        <w:t xml:space="preserve"> est inférieur à </w:t>
      </w:r>
      <w:proofErr w:type="spellStart"/>
      <w:r>
        <w:rPr>
          <w:lang w:val="fr-FR"/>
        </w:rPr>
        <w:t>a</w:t>
      </w:r>
      <w:r>
        <w:rPr>
          <w:vertAlign w:val="subscript"/>
          <w:lang w:val="fr-FR"/>
        </w:rPr>
        <w:t>urban</w:t>
      </w:r>
      <w:proofErr w:type="spellEnd"/>
      <w:r w:rsidRPr="00E76BE6">
        <w:rPr>
          <w:lang w:val="fr-FR"/>
        </w:rPr>
        <w:t> </w:t>
      </w:r>
      <w:r>
        <w:rPr>
          <w:lang w:val="fr-FR"/>
        </w:rPr>
        <w:t>:</w:t>
      </w:r>
    </w:p>
    <w:p w14:paraId="18BD2E3E" w14:textId="6621DE60" w:rsidR="00E76BE6" w:rsidRDefault="00E76BE6" w:rsidP="00E76BE6">
      <w:pPr>
        <w:spacing w:after="120"/>
        <w:ind w:left="2268" w:right="1134"/>
        <w:jc w:val="both"/>
        <w:rPr>
          <w:bCs/>
          <w:i/>
          <w:iCs/>
          <w:lang w:val="fr-FR"/>
        </w:rPr>
      </w:pPr>
      <w:r>
        <w:rPr>
          <w:lang w:val="fr-FR"/>
        </w:rPr>
        <w:tab/>
      </w:r>
      <w:proofErr w:type="spellStart"/>
      <w:r>
        <w:rPr>
          <w:lang w:val="fr-FR"/>
        </w:rPr>
        <w:t>k</w:t>
      </w:r>
      <w:r>
        <w:rPr>
          <w:vertAlign w:val="subscript"/>
          <w:lang w:val="fr-FR"/>
        </w:rPr>
        <w:t>P</w:t>
      </w:r>
      <w:proofErr w:type="spellEnd"/>
      <w:r>
        <w:rPr>
          <w:lang w:val="fr-FR"/>
        </w:rPr>
        <w:t xml:space="preserve"> = 0 … »</w:t>
      </w:r>
      <w:r>
        <w:rPr>
          <w:lang w:val="fr-FR"/>
        </w:rPr>
        <w:t>.</w:t>
      </w:r>
    </w:p>
    <w:p w14:paraId="2CA3D0C6" w14:textId="57E7594C" w:rsidR="00E76BE6" w:rsidRPr="003A2072" w:rsidRDefault="00E76BE6" w:rsidP="00E76BE6">
      <w:pPr>
        <w:spacing w:after="120"/>
        <w:ind w:left="2268" w:right="1134" w:hanging="1134"/>
        <w:jc w:val="both"/>
        <w:rPr>
          <w:i/>
          <w:lang w:val="fr-FR"/>
        </w:rPr>
      </w:pPr>
      <w:r>
        <w:rPr>
          <w:i/>
          <w:iCs/>
          <w:lang w:val="fr-FR"/>
        </w:rPr>
        <w:t xml:space="preserve">Annexe 3 </w:t>
      </w:r>
      <w:r>
        <w:rPr>
          <w:i/>
          <w:iCs/>
          <w:lang w:val="fr-FR"/>
        </w:rPr>
        <w:t>−</w:t>
      </w:r>
      <w:r>
        <w:rPr>
          <w:i/>
          <w:iCs/>
          <w:lang w:val="fr-FR"/>
        </w:rPr>
        <w:t xml:space="preserve"> Appendice 2,</w:t>
      </w:r>
      <w:r>
        <w:rPr>
          <w:lang w:val="fr-FR"/>
        </w:rPr>
        <w:t xml:space="preserve"> </w:t>
      </w:r>
    </w:p>
    <w:p w14:paraId="238D0403" w14:textId="48D1E3B8" w:rsidR="00E76BE6" w:rsidRPr="003A2072" w:rsidRDefault="00E76BE6" w:rsidP="00E76BE6">
      <w:pPr>
        <w:spacing w:after="120"/>
        <w:ind w:left="2268" w:right="1134" w:hanging="1134"/>
        <w:jc w:val="both"/>
        <w:rPr>
          <w:i/>
          <w:lang w:val="fr-FR"/>
        </w:rPr>
      </w:pPr>
      <w:r>
        <w:rPr>
          <w:i/>
          <w:iCs/>
          <w:lang w:val="fr-FR"/>
        </w:rPr>
        <w:t>Paragraphe 3.2.4</w:t>
      </w:r>
      <w:r>
        <w:rPr>
          <w:lang w:val="fr-FR"/>
        </w:rPr>
        <w:t>, lire</w:t>
      </w:r>
      <w:r>
        <w:rPr>
          <w:lang w:val="fr-FR"/>
        </w:rPr>
        <w:t> </w:t>
      </w:r>
      <w:r>
        <w:rPr>
          <w:lang w:val="fr-FR"/>
        </w:rPr>
        <w:t>:</w:t>
      </w:r>
    </w:p>
    <w:p w14:paraId="73DFB6E3" w14:textId="775D40F3" w:rsidR="00E76BE6" w:rsidRPr="00A56115" w:rsidRDefault="00E76BE6" w:rsidP="00E76BE6">
      <w:pPr>
        <w:keepNext/>
        <w:keepLines/>
        <w:spacing w:after="120"/>
        <w:ind w:left="2268" w:right="1134" w:hanging="1134"/>
        <w:jc w:val="both"/>
        <w:rPr>
          <w:bCs/>
          <w:lang w:val="fr-FR"/>
        </w:rPr>
      </w:pPr>
      <w:r>
        <w:rPr>
          <w:lang w:val="fr-FR"/>
        </w:rPr>
        <w:t>« 3.2.4</w:t>
      </w:r>
      <w:r>
        <w:rPr>
          <w:lang w:val="fr-FR"/>
        </w:rPr>
        <w:tab/>
        <w:t xml:space="preserve">Pour chaque rapport, chaque parcours et chaque côté du véhicule, à vitesse constante, extraire par calcul la composante groupe motopropulseur </w:t>
      </w:r>
      <w:proofErr w:type="spellStart"/>
      <w:r>
        <w:rPr>
          <w:lang w:val="fr-FR"/>
        </w:rPr>
        <w:t>L</w:t>
      </w:r>
      <w:r w:rsidRPr="00BA52CD">
        <w:rPr>
          <w:vertAlign w:val="subscript"/>
          <w:lang w:val="fr-FR"/>
        </w:rPr>
        <w:t>PT,crs,j</w:t>
      </w:r>
      <w:proofErr w:type="spellEnd"/>
      <w:r>
        <w:rPr>
          <w:lang w:val="fr-FR"/>
        </w:rPr>
        <w:t xml:space="preserve"> du résultat de l’essai </w:t>
      </w:r>
      <w:proofErr w:type="spellStart"/>
      <w:r>
        <w:rPr>
          <w:lang w:val="fr-FR"/>
        </w:rPr>
        <w:t>L</w:t>
      </w:r>
      <w:r w:rsidRPr="00BA52CD">
        <w:rPr>
          <w:vertAlign w:val="subscript"/>
          <w:lang w:val="fr-FR"/>
        </w:rPr>
        <w:t>crs,j</w:t>
      </w:r>
      <w:proofErr w:type="spellEnd"/>
      <w:r>
        <w:rPr>
          <w:lang w:val="fr-FR"/>
        </w:rPr>
        <w:t>, en appliquant la formule suivante</w:t>
      </w:r>
      <w:r>
        <w:rPr>
          <w:lang w:val="fr-FR"/>
        </w:rPr>
        <w:t> </w:t>
      </w:r>
      <w:r>
        <w:rPr>
          <w:lang w:val="fr-FR"/>
        </w:rPr>
        <w:t xml:space="preserve">: </w:t>
      </w:r>
    </w:p>
    <w:p w14:paraId="68780D76" w14:textId="77777777" w:rsidR="00E76BE6" w:rsidRPr="00601DE2" w:rsidRDefault="00E76BE6" w:rsidP="00E76BE6">
      <w:pPr>
        <w:keepLines/>
        <w:spacing w:after="120"/>
        <w:ind w:left="2268" w:right="1134"/>
        <w:jc w:val="both"/>
        <w:rPr>
          <w:bCs/>
        </w:rPr>
      </w:pPr>
      <m:oMathPara>
        <m:oMathParaPr>
          <m:jc m:val="left"/>
        </m:oMathParaP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PT,crs,j</m:t>
              </m:r>
            </m:sub>
          </m:sSub>
          <m:r>
            <m:rPr>
              <m:sty m:val="p"/>
            </m:rPr>
            <w:rPr>
              <w:rFonts w:ascii="Cambria Math" w:hAnsi="Cambria Math"/>
            </w:rPr>
            <m:t>=10×</m:t>
          </m:r>
          <m:func>
            <m:funcPr>
              <m:ctrlPr>
                <w:rPr>
                  <w:rFonts w:ascii="Cambria Math" w:hAnsi="Cambria Math"/>
                  <w:bCs/>
                </w:rPr>
              </m:ctrlPr>
            </m:funcPr>
            <m:fName>
              <m:r>
                <m:rPr>
                  <m:sty m:val="p"/>
                </m:rPr>
                <w:rPr>
                  <w:rFonts w:ascii="Cambria Math" w:hAnsi="Cambria Math"/>
                </w:rPr>
                <m:t>lg</m:t>
              </m:r>
            </m:fName>
            <m:e>
              <m:d>
                <m:dPr>
                  <m:ctrlPr>
                    <w:rPr>
                      <w:rFonts w:ascii="Cambria Math" w:hAnsi="Cambria Math"/>
                      <w:bCs/>
                    </w:rPr>
                  </m:ctrlPr>
                </m:dPr>
                <m:e>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crs,j</m:t>
                          </m:r>
                        </m:sub>
                      </m:sSub>
                    </m:sup>
                  </m:sSup>
                  <m:r>
                    <m:rPr>
                      <m:sty m:val="p"/>
                    </m:rPr>
                    <w:rPr>
                      <w:rFonts w:ascii="Cambria Math" w:hAnsi="Cambria Math"/>
                    </w:rPr>
                    <m:t>-</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TR,crs,j,ϑ</m:t>
                          </m:r>
                          <m:r>
                            <m:rPr>
                              <m:sty m:val="p"/>
                            </m:rPr>
                            <w:rPr>
                              <w:rFonts w:ascii="Cambria Math" w:hAnsi="Cambria Math"/>
                              <w:position w:val="-4"/>
                            </w:rPr>
                            <m:t>crs</m:t>
                          </m:r>
                        </m:sub>
                      </m:sSub>
                    </m:sup>
                  </m:sSup>
                </m:e>
              </m:d>
            </m:e>
          </m:func>
        </m:oMath>
      </m:oMathPara>
    </w:p>
    <w:p w14:paraId="60A95064" w14:textId="21C7881F" w:rsidR="00E76BE6" w:rsidRPr="00A56115" w:rsidRDefault="00E76BE6" w:rsidP="00E76BE6">
      <w:pPr>
        <w:keepLines/>
        <w:spacing w:after="120"/>
        <w:ind w:left="2268" w:right="1134"/>
        <w:jc w:val="both"/>
        <w:rPr>
          <w:bCs/>
          <w:lang w:val="fr-FR"/>
        </w:rPr>
      </w:pPr>
      <w:r>
        <w:rPr>
          <w:lang w:val="fr-FR"/>
        </w:rPr>
        <w:t xml:space="preserve">Si </w:t>
      </w:r>
      <w:proofErr w:type="spellStart"/>
      <w:r>
        <w:rPr>
          <w:lang w:val="fr-FR"/>
        </w:rPr>
        <w:t>L</w:t>
      </w:r>
      <w:r w:rsidRPr="00EF3091">
        <w:rPr>
          <w:vertAlign w:val="subscript"/>
          <w:lang w:val="fr-FR"/>
        </w:rPr>
        <w:t>TR,crs,ϑcrs</w:t>
      </w:r>
      <w:proofErr w:type="spellEnd"/>
      <w:r>
        <w:rPr>
          <w:lang w:val="fr-FR"/>
        </w:rPr>
        <w:t xml:space="preserve"> est supérieur à </w:t>
      </w:r>
      <w:proofErr w:type="spellStart"/>
      <w:r>
        <w:rPr>
          <w:lang w:val="fr-FR"/>
        </w:rPr>
        <w:t>L</w:t>
      </w:r>
      <w:r w:rsidRPr="00EF3091">
        <w:rPr>
          <w:vertAlign w:val="subscript"/>
          <w:lang w:val="fr-FR"/>
        </w:rPr>
        <w:t>crs,j</w:t>
      </w:r>
      <w:proofErr w:type="spellEnd"/>
      <w:r>
        <w:rPr>
          <w:lang w:val="fr-FR"/>
        </w:rPr>
        <w:t xml:space="preserve">, la composante groupe motopropulseur </w:t>
      </w:r>
      <w:proofErr w:type="spellStart"/>
      <w:r>
        <w:rPr>
          <w:lang w:val="fr-FR"/>
        </w:rPr>
        <w:t>L</w:t>
      </w:r>
      <w:r w:rsidRPr="00EF3091">
        <w:rPr>
          <w:vertAlign w:val="subscript"/>
          <w:lang w:val="fr-FR"/>
        </w:rPr>
        <w:t>PT,crs,j</w:t>
      </w:r>
      <w:proofErr w:type="spellEnd"/>
      <w:r>
        <w:rPr>
          <w:lang w:val="fr-FR"/>
        </w:rPr>
        <w:t xml:space="preserve"> est déterminée au moyen de la formule suivante</w:t>
      </w:r>
      <w:r>
        <w:rPr>
          <w:lang w:val="fr-FR"/>
        </w:rPr>
        <w:t> </w:t>
      </w:r>
      <w:r>
        <w:rPr>
          <w:lang w:val="fr-FR"/>
        </w:rPr>
        <w:t xml:space="preserve">: </w:t>
      </w:r>
    </w:p>
    <w:p w14:paraId="5A7DF514" w14:textId="77777777" w:rsidR="00E76BE6" w:rsidRPr="003A2072" w:rsidRDefault="00E76BE6" w:rsidP="00E76BE6">
      <w:pPr>
        <w:keepLines/>
        <w:spacing w:after="120"/>
        <w:ind w:left="2268" w:right="1134"/>
        <w:jc w:val="both"/>
        <w:rPr>
          <w:bCs/>
          <w:lang w:val="fr-FR"/>
        </w:rPr>
      </w:pPr>
      <m:oMath>
        <m:sSub>
          <m:sSubPr>
            <m:ctrlPr>
              <w:rPr>
                <w:rFonts w:ascii="Cambria Math" w:hAnsi="Cambria Math"/>
                <w:bCs/>
              </w:rPr>
            </m:ctrlPr>
          </m:sSubPr>
          <m:e>
            <m:r>
              <m:rPr>
                <m:sty m:val="p"/>
              </m:rPr>
              <w:rPr>
                <w:rFonts w:ascii="Cambria Math" w:hAnsi="Cambria Math"/>
                <w:lang w:val="fr-FR"/>
              </w:rPr>
              <m:t>L</m:t>
            </m:r>
          </m:e>
          <m:sub>
            <m:r>
              <m:rPr>
                <m:sty m:val="p"/>
              </m:rPr>
              <w:rPr>
                <w:rFonts w:ascii="Cambria Math" w:hAnsi="Cambria Math"/>
                <w:lang w:val="fr-FR"/>
              </w:rPr>
              <m:t>PT,crs,j</m:t>
            </m:r>
          </m:sub>
        </m:sSub>
        <m:r>
          <m:rPr>
            <m:sty m:val="p"/>
          </m:rPr>
          <w:rPr>
            <w:rFonts w:ascii="Cambria Math" w:hAnsi="Cambria Math"/>
            <w:lang w:val="fr-FR"/>
          </w:rPr>
          <m:t>=10×</m:t>
        </m:r>
        <m:func>
          <m:funcPr>
            <m:ctrlPr>
              <w:rPr>
                <w:rFonts w:ascii="Cambria Math" w:hAnsi="Cambria Math"/>
                <w:bCs/>
              </w:rPr>
            </m:ctrlPr>
          </m:funcPr>
          <m:fName>
            <m:r>
              <m:rPr>
                <m:sty m:val="p"/>
              </m:rPr>
              <w:rPr>
                <w:rFonts w:ascii="Cambria Math" w:hAnsi="Cambria Math"/>
                <w:lang w:val="fr-FR"/>
              </w:rPr>
              <m:t>lg</m:t>
            </m:r>
          </m:fName>
          <m:e>
            <m:d>
              <m:dPr>
                <m:ctrlPr>
                  <w:rPr>
                    <w:rFonts w:ascii="Cambria Math" w:hAnsi="Cambria Math"/>
                    <w:bCs/>
                  </w:rPr>
                </m:ctrlPr>
              </m:dPr>
              <m:e>
                <m:sSup>
                  <m:sSupPr>
                    <m:ctrlPr>
                      <w:rPr>
                        <w:rFonts w:ascii="Cambria Math" w:hAnsi="Cambria Math"/>
                        <w:bCs/>
                      </w:rPr>
                    </m:ctrlPr>
                  </m:sSupPr>
                  <m:e>
                    <m:r>
                      <m:rPr>
                        <m:sty m:val="p"/>
                      </m:rPr>
                      <w:rPr>
                        <w:rFonts w:ascii="Cambria Math" w:hAnsi="Cambria Math"/>
                        <w:lang w:val="fr-FR"/>
                      </w:rPr>
                      <m:t>0,01×10</m:t>
                    </m:r>
                  </m:e>
                  <m:sup>
                    <m:r>
                      <m:rPr>
                        <m:sty m:val="p"/>
                      </m:rPr>
                      <w:rPr>
                        <w:rFonts w:ascii="Cambria Math" w:hAnsi="Cambria Math"/>
                        <w:lang w:val="fr-FR"/>
                      </w:rPr>
                      <m:t>0,1×</m:t>
                    </m:r>
                    <m:sSub>
                      <m:sSubPr>
                        <m:ctrlPr>
                          <w:rPr>
                            <w:rFonts w:ascii="Cambria Math" w:hAnsi="Cambria Math"/>
                            <w:bCs/>
                          </w:rPr>
                        </m:ctrlPr>
                      </m:sSubPr>
                      <m:e>
                        <m:r>
                          <m:rPr>
                            <m:sty m:val="p"/>
                          </m:rPr>
                          <w:rPr>
                            <w:rFonts w:ascii="Cambria Math" w:hAnsi="Cambria Math"/>
                            <w:lang w:val="fr-FR"/>
                          </w:rPr>
                          <m:t>L</m:t>
                        </m:r>
                      </m:e>
                      <m:sub>
                        <m:r>
                          <m:rPr>
                            <m:sty m:val="p"/>
                          </m:rPr>
                          <w:rPr>
                            <w:rFonts w:ascii="Cambria Math" w:hAnsi="Cambria Math"/>
                            <w:lang w:val="fr-FR"/>
                          </w:rPr>
                          <m:t>crs,j</m:t>
                        </m:r>
                      </m:sub>
                    </m:sSub>
                  </m:sup>
                </m:sSup>
              </m:e>
            </m:d>
          </m:e>
        </m:func>
      </m:oMath>
      <w:r w:rsidRPr="003A2072">
        <w:rPr>
          <w:bCs/>
          <w:lang w:val="fr-FR"/>
        </w:rPr>
        <w:t xml:space="preserve"> </w:t>
      </w:r>
    </w:p>
    <w:p w14:paraId="2D2FD78F" w14:textId="77777777" w:rsidR="00E76BE6" w:rsidRPr="00A56115" w:rsidRDefault="00E76BE6" w:rsidP="00E76BE6">
      <w:pPr>
        <w:tabs>
          <w:tab w:val="left" w:pos="2268"/>
        </w:tabs>
        <w:spacing w:after="120"/>
        <w:ind w:left="2268" w:right="1134" w:hanging="1134"/>
        <w:rPr>
          <w:lang w:val="fr-FR"/>
        </w:rPr>
      </w:pPr>
      <w:r>
        <w:rPr>
          <w:lang w:val="fr-FR"/>
        </w:rPr>
        <w:tab/>
        <w:t xml:space="preserve">où </w:t>
      </w:r>
      <w:proofErr w:type="spellStart"/>
      <w:r>
        <w:rPr>
          <w:lang w:val="fr-FR"/>
        </w:rPr>
        <w:t>L</w:t>
      </w:r>
      <w:r>
        <w:rPr>
          <w:vertAlign w:val="subscript"/>
          <w:lang w:val="fr-FR"/>
        </w:rPr>
        <w:t>TR,crs,j,ϑcrs</w:t>
      </w:r>
      <w:proofErr w:type="spellEnd"/>
      <w:r>
        <w:rPr>
          <w:lang w:val="fr-FR"/>
        </w:rPr>
        <w:t xml:space="preserve"> est redéfini comme suit :</w:t>
      </w:r>
    </w:p>
    <w:p w14:paraId="1F6D53E1" w14:textId="77777777" w:rsidR="00E76BE6" w:rsidRPr="00A56115" w:rsidRDefault="00E76BE6" w:rsidP="00E76BE6">
      <w:pPr>
        <w:tabs>
          <w:tab w:val="left" w:pos="2268"/>
        </w:tabs>
        <w:spacing w:after="120"/>
        <w:ind w:left="2268" w:right="1134" w:hanging="1134"/>
        <w:rPr>
          <w:lang w:val="fr-FR"/>
        </w:rPr>
      </w:pPr>
      <w:r>
        <w:rPr>
          <w:lang w:val="fr-FR"/>
        </w:rPr>
        <w:tab/>
      </w:r>
      <w:proofErr w:type="spellStart"/>
      <w:r>
        <w:rPr>
          <w:lang w:val="fr-FR"/>
        </w:rPr>
        <w:t>L</w:t>
      </w:r>
      <w:r>
        <w:rPr>
          <w:vertAlign w:val="subscript"/>
          <w:lang w:val="fr-FR"/>
        </w:rPr>
        <w:t>TR,crs,j,ϑcrs</w:t>
      </w:r>
      <w:proofErr w:type="spellEnd"/>
      <w:r>
        <w:rPr>
          <w:lang w:val="fr-FR"/>
        </w:rPr>
        <w:t xml:space="preserve"> = 10 × lg(0,99 × 10</w:t>
      </w:r>
      <w:r>
        <w:rPr>
          <w:vertAlign w:val="superscript"/>
          <w:lang w:val="fr-FR"/>
        </w:rPr>
        <w:t>0,1×Lcrs,j</w:t>
      </w:r>
      <w:r>
        <w:rPr>
          <w:lang w:val="fr-FR"/>
        </w:rPr>
        <w:t>)</w:t>
      </w:r>
    </w:p>
    <w:p w14:paraId="4037AACA" w14:textId="55BF48F8" w:rsidR="00E76BE6" w:rsidRPr="00A56115" w:rsidRDefault="00E76BE6" w:rsidP="00E76BE6">
      <w:pPr>
        <w:tabs>
          <w:tab w:val="left" w:pos="2268"/>
        </w:tabs>
        <w:spacing w:after="120"/>
        <w:ind w:left="2268" w:right="1134" w:hanging="1134"/>
        <w:rPr>
          <w:lang w:val="fr-FR"/>
        </w:rPr>
      </w:pPr>
      <w:r>
        <w:rPr>
          <w:lang w:val="fr-FR"/>
        </w:rPr>
        <w:tab/>
        <w:t xml:space="preserve">La </w:t>
      </w:r>
      <w:proofErr w:type="spellStart"/>
      <w:r>
        <w:rPr>
          <w:lang w:val="fr-FR"/>
        </w:rPr>
        <w:t>L</w:t>
      </w:r>
      <w:r w:rsidRPr="00186885">
        <w:rPr>
          <w:vertAlign w:val="subscript"/>
          <w:lang w:val="fr-FR"/>
        </w:rPr>
        <w:t>TR,crs,j,ϑcrs</w:t>
      </w:r>
      <w:proofErr w:type="spellEnd"/>
      <w:r>
        <w:rPr>
          <w:lang w:val="fr-FR"/>
        </w:rPr>
        <w:t xml:space="preserve"> redéfinie est ensuite soumise à la correction de température prévue au paragraphe 3.2.3 pour obtenir la </w:t>
      </w:r>
      <w:proofErr w:type="spellStart"/>
      <w:r>
        <w:rPr>
          <w:lang w:val="fr-FR"/>
        </w:rPr>
        <w:t>L</w:t>
      </w:r>
      <w:r w:rsidRPr="00E31070">
        <w:rPr>
          <w:vertAlign w:val="subscript"/>
          <w:lang w:val="fr-FR"/>
        </w:rPr>
        <w:t>TR,crs,j,ϑref</w:t>
      </w:r>
      <w:proofErr w:type="spellEnd"/>
      <w:r>
        <w:rPr>
          <w:lang w:val="fr-FR"/>
        </w:rPr>
        <w:t xml:space="preserve"> correspondante. »</w:t>
      </w:r>
      <w:r>
        <w:rPr>
          <w:lang w:val="fr-FR"/>
        </w:rPr>
        <w:t>.</w:t>
      </w:r>
    </w:p>
    <w:p w14:paraId="329FEF3C" w14:textId="3013543C" w:rsidR="00E76BE6" w:rsidRPr="00F831DD" w:rsidRDefault="00E76BE6" w:rsidP="00E76BE6">
      <w:pPr>
        <w:keepNext/>
        <w:keepLines/>
        <w:spacing w:after="120"/>
        <w:ind w:left="2268" w:right="1134" w:hanging="1134"/>
        <w:jc w:val="both"/>
      </w:pPr>
      <w:r>
        <w:rPr>
          <w:i/>
          <w:iCs/>
          <w:lang w:val="fr-FR"/>
        </w:rPr>
        <w:t>Paragraphe 3.3.4</w:t>
      </w:r>
      <w:r>
        <w:rPr>
          <w:lang w:val="fr-FR"/>
        </w:rPr>
        <w:t>, lire</w:t>
      </w:r>
      <w:r>
        <w:rPr>
          <w:lang w:val="fr-FR"/>
        </w:rPr>
        <w:t> </w:t>
      </w:r>
      <w:r>
        <w:rPr>
          <w:lang w:val="fr-FR"/>
        </w:rPr>
        <w:t>:</w:t>
      </w:r>
    </w:p>
    <w:p w14:paraId="3CA9A132" w14:textId="2BFAC91E" w:rsidR="00E76BE6" w:rsidRPr="00A56115" w:rsidRDefault="00E76BE6" w:rsidP="00E76BE6">
      <w:pPr>
        <w:keepLines/>
        <w:spacing w:after="120"/>
        <w:ind w:left="2268" w:right="1134" w:hanging="1134"/>
        <w:jc w:val="both"/>
        <w:rPr>
          <w:bCs/>
          <w:lang w:val="fr-FR"/>
        </w:rPr>
      </w:pPr>
      <w:r>
        <w:rPr>
          <w:lang w:val="fr-FR"/>
        </w:rPr>
        <w:t>« 3.3.4</w:t>
      </w:r>
      <w:r>
        <w:rPr>
          <w:lang w:val="fr-FR"/>
        </w:rPr>
        <w:tab/>
        <w:t xml:space="preserve">Pour chaque rapport, chaque essai et chaque côté du véhicule, extraire la composante groupe motopropulseur </w:t>
      </w:r>
      <w:proofErr w:type="spellStart"/>
      <w:r>
        <w:rPr>
          <w:lang w:val="fr-FR"/>
        </w:rPr>
        <w:t>L</w:t>
      </w:r>
      <w:r w:rsidRPr="000A06F9">
        <w:rPr>
          <w:vertAlign w:val="subscript"/>
          <w:lang w:val="fr-FR"/>
        </w:rPr>
        <w:t>PT,wot,j</w:t>
      </w:r>
      <w:proofErr w:type="spellEnd"/>
      <w:r>
        <w:rPr>
          <w:lang w:val="fr-FR"/>
        </w:rPr>
        <w:t xml:space="preserve"> de la valeur </w:t>
      </w:r>
      <w:proofErr w:type="spellStart"/>
      <w:r>
        <w:rPr>
          <w:lang w:val="fr-FR"/>
        </w:rPr>
        <w:t>L</w:t>
      </w:r>
      <w:r w:rsidRPr="000A06F9">
        <w:rPr>
          <w:vertAlign w:val="subscript"/>
          <w:lang w:val="fr-FR"/>
        </w:rPr>
        <w:t>wot,j</w:t>
      </w:r>
      <w:proofErr w:type="spellEnd"/>
      <w:r>
        <w:rPr>
          <w:lang w:val="fr-FR"/>
        </w:rPr>
        <w:t xml:space="preserve"> relevée pour l’essai d’accélération, comme suit</w:t>
      </w:r>
      <w:r>
        <w:rPr>
          <w:lang w:val="fr-FR"/>
        </w:rPr>
        <w:t> </w:t>
      </w:r>
      <w:r>
        <w:rPr>
          <w:lang w:val="fr-FR"/>
        </w:rPr>
        <w:t>:</w:t>
      </w:r>
    </w:p>
    <w:p w14:paraId="5299D12E" w14:textId="77777777" w:rsidR="00E76BE6" w:rsidRPr="001B72D4" w:rsidRDefault="00E76BE6" w:rsidP="00E76BE6">
      <w:pPr>
        <w:keepLines/>
        <w:spacing w:after="120"/>
        <w:ind w:left="2268" w:right="1134"/>
        <w:jc w:val="both"/>
        <w:rPr>
          <w:bCs/>
        </w:rPr>
      </w:pPr>
      <m:oMathPara>
        <m:oMathParaPr>
          <m:jc m:val="left"/>
        </m:oMathParaP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PT,wot,j</m:t>
              </m:r>
            </m:sub>
          </m:sSub>
          <m:r>
            <m:rPr>
              <m:sty m:val="p"/>
            </m:rPr>
            <w:rPr>
              <w:rFonts w:ascii="Cambria Math" w:hAnsi="Cambria Math"/>
            </w:rPr>
            <m:t>=10×</m:t>
          </m:r>
          <m:func>
            <m:funcPr>
              <m:ctrlPr>
                <w:rPr>
                  <w:rFonts w:ascii="Cambria Math" w:hAnsi="Cambria Math"/>
                  <w:bCs/>
                </w:rPr>
              </m:ctrlPr>
            </m:funcPr>
            <m:fName>
              <m:r>
                <m:rPr>
                  <m:sty m:val="p"/>
                </m:rPr>
                <w:rPr>
                  <w:rFonts w:ascii="Cambria Math" w:hAnsi="Cambria Math"/>
                </w:rPr>
                <m:t>lg</m:t>
              </m:r>
            </m:fName>
            <m:e>
              <m:d>
                <m:dPr>
                  <m:ctrlPr>
                    <w:rPr>
                      <w:rFonts w:ascii="Cambria Math" w:hAnsi="Cambria Math"/>
                      <w:bCs/>
                    </w:rPr>
                  </m:ctrlPr>
                </m:dPr>
                <m:e>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wot,j</m:t>
                          </m:r>
                        </m:sub>
                      </m:sSub>
                    </m:sup>
                  </m:sSup>
                  <m:r>
                    <m:rPr>
                      <m:sty m:val="p"/>
                    </m:rPr>
                    <w:rPr>
                      <w:rFonts w:ascii="Cambria Math" w:hAnsi="Cambria Math"/>
                    </w:rPr>
                    <m:t>-</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TR,wot,j,ϑ</m:t>
                          </m:r>
                          <m:r>
                            <m:rPr>
                              <m:sty m:val="p"/>
                            </m:rPr>
                            <w:rPr>
                              <w:rFonts w:ascii="Cambria Math" w:hAnsi="Cambria Math"/>
                              <w:position w:val="-4"/>
                            </w:rPr>
                            <m:t>wot</m:t>
                          </m:r>
                        </m:sub>
                      </m:sSub>
                    </m:sup>
                  </m:sSup>
                </m:e>
              </m:d>
            </m:e>
          </m:func>
        </m:oMath>
      </m:oMathPara>
    </w:p>
    <w:p w14:paraId="71FABFA1" w14:textId="77777777" w:rsidR="00E76BE6" w:rsidRPr="00A56115" w:rsidRDefault="00E76BE6" w:rsidP="00E76BE6">
      <w:pPr>
        <w:keepLines/>
        <w:spacing w:after="120"/>
        <w:ind w:left="2268" w:right="1134"/>
        <w:jc w:val="both"/>
        <w:rPr>
          <w:bCs/>
          <w:strike/>
          <w:lang w:val="fr-FR"/>
        </w:rPr>
      </w:pPr>
      <w:r>
        <w:rPr>
          <w:lang w:val="fr-FR"/>
        </w:rPr>
        <w:t>Si</w:t>
      </w:r>
      <w:r>
        <w:rPr>
          <w:strike/>
          <w:lang w:val="fr-FR"/>
        </w:rPr>
        <w:t xml:space="preserve"> </w:t>
      </w:r>
      <w:proofErr w:type="spellStart"/>
      <w:r>
        <w:rPr>
          <w:strike/>
          <w:lang w:val="fr-FR"/>
        </w:rPr>
        <w:t>L</w:t>
      </w:r>
      <w:r w:rsidRPr="00A61AB0">
        <w:rPr>
          <w:strike/>
          <w:vertAlign w:val="subscript"/>
          <w:lang w:val="fr-FR"/>
        </w:rPr>
        <w:t>TR,wot,j,ϑwot</w:t>
      </w:r>
      <w:proofErr w:type="spellEnd"/>
      <w:r>
        <w:rPr>
          <w:strike/>
          <w:lang w:val="fr-FR"/>
        </w:rPr>
        <w:t xml:space="preserve"> est supérieur à </w:t>
      </w:r>
      <w:proofErr w:type="spellStart"/>
      <w:r>
        <w:rPr>
          <w:strike/>
          <w:lang w:val="fr-FR"/>
        </w:rPr>
        <w:t>L</w:t>
      </w:r>
      <w:r w:rsidRPr="00E76BE6">
        <w:rPr>
          <w:strike/>
          <w:vertAlign w:val="subscript"/>
          <w:lang w:val="fr-FR"/>
        </w:rPr>
        <w:t>wot,j</w:t>
      </w:r>
      <w:proofErr w:type="spellEnd"/>
      <w:r>
        <w:rPr>
          <w:lang w:val="fr-FR"/>
        </w:rPr>
        <w:t xml:space="preserve"> </w:t>
      </w:r>
    </w:p>
    <w:p w14:paraId="3B966F3C" w14:textId="77777777" w:rsidR="00E76BE6" w:rsidRPr="00A56115" w:rsidRDefault="00E76BE6" w:rsidP="00E76BE6">
      <w:pPr>
        <w:tabs>
          <w:tab w:val="left" w:pos="2268"/>
        </w:tabs>
        <w:spacing w:after="120"/>
        <w:ind w:left="2268" w:right="1134" w:hanging="1134"/>
        <w:jc w:val="both"/>
        <w:rPr>
          <w:lang w:val="fr-FR"/>
        </w:rPr>
      </w:pPr>
      <w:r>
        <w:rPr>
          <w:lang w:val="fr-FR"/>
        </w:rPr>
        <w:tab/>
        <w:t>10</w:t>
      </w:r>
      <w:r>
        <w:rPr>
          <w:vertAlign w:val="superscript"/>
          <w:lang w:val="fr-FR"/>
        </w:rPr>
        <w:t>0,1×LTR,wot,j,ϑwot</w:t>
      </w:r>
      <w:r>
        <w:rPr>
          <w:lang w:val="fr-FR"/>
        </w:rPr>
        <w:t xml:space="preserve"> ≥ 0,99 × 10</w:t>
      </w:r>
      <w:r>
        <w:rPr>
          <w:vertAlign w:val="superscript"/>
          <w:lang w:val="fr-FR"/>
        </w:rPr>
        <w:t>0,1×Lwot,j</w:t>
      </w:r>
    </w:p>
    <w:p w14:paraId="1536326E" w14:textId="28E70C6E" w:rsidR="00E76BE6" w:rsidRPr="00A56115" w:rsidRDefault="00E76BE6" w:rsidP="00E76BE6">
      <w:pPr>
        <w:keepLines/>
        <w:spacing w:after="120"/>
        <w:ind w:left="2268" w:right="1134"/>
        <w:jc w:val="both"/>
        <w:rPr>
          <w:lang w:val="fr-FR"/>
        </w:rPr>
      </w:pPr>
      <w:r>
        <w:rPr>
          <w:lang w:val="fr-FR"/>
        </w:rPr>
        <w:t xml:space="preserve">la composante groupe motopropulseur </w:t>
      </w:r>
      <w:proofErr w:type="spellStart"/>
      <w:r>
        <w:rPr>
          <w:lang w:val="fr-FR"/>
        </w:rPr>
        <w:t>L</w:t>
      </w:r>
      <w:r w:rsidRPr="007E3A2D">
        <w:rPr>
          <w:vertAlign w:val="subscript"/>
          <w:lang w:val="fr-FR"/>
        </w:rPr>
        <w:t>PT,wot,j</w:t>
      </w:r>
      <w:proofErr w:type="spellEnd"/>
      <w:r>
        <w:rPr>
          <w:lang w:val="fr-FR"/>
        </w:rPr>
        <w:t xml:space="preserve"> est déterminée comme suit</w:t>
      </w:r>
      <w:r>
        <w:rPr>
          <w:lang w:val="fr-FR"/>
        </w:rPr>
        <w:t> </w:t>
      </w:r>
      <w:r>
        <w:rPr>
          <w:lang w:val="fr-FR"/>
        </w:rPr>
        <w:t xml:space="preserve">: </w:t>
      </w:r>
    </w:p>
    <w:p w14:paraId="5B39736F" w14:textId="77777777" w:rsidR="00E76BE6" w:rsidRPr="00D46DD1" w:rsidRDefault="00E76BE6" w:rsidP="00E76BE6">
      <w:pPr>
        <w:keepLines/>
        <w:spacing w:after="120"/>
        <w:ind w:left="2268" w:right="1134"/>
        <w:jc w:val="both"/>
      </w:pPr>
      <m:oMathPara>
        <m:oMathParaPr>
          <m:jc m:val="left"/>
        </m:oMathParaP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PT,wot,j</m:t>
              </m:r>
            </m:sub>
          </m:sSub>
          <m:r>
            <m:rPr>
              <m:sty m:val="p"/>
            </m:rPr>
            <w:rPr>
              <w:rFonts w:ascii="Cambria Math" w:hAnsi="Cambria Math"/>
            </w:rPr>
            <m:t>=10×</m:t>
          </m:r>
          <m:func>
            <m:funcPr>
              <m:ctrlPr>
                <w:rPr>
                  <w:rFonts w:ascii="Cambria Math" w:hAnsi="Cambria Math"/>
                </w:rPr>
              </m:ctrlPr>
            </m:funcPr>
            <m:fName>
              <m:r>
                <m:rPr>
                  <m:sty m:val="p"/>
                </m:rPr>
                <w:rPr>
                  <w:rFonts w:ascii="Cambria Math" w:hAnsi="Cambria Math"/>
                </w:rPr>
                <m:t>lg</m:t>
              </m:r>
            </m:fName>
            <m:e>
              <m:d>
                <m:dPr>
                  <m:ctrlPr>
                    <w:rPr>
                      <w:rFonts w:ascii="Cambria Math" w:hAnsi="Cambria Math"/>
                    </w:rPr>
                  </m:ctrlPr>
                </m:dPr>
                <m:e>
                  <m:r>
                    <m:rPr>
                      <m:sty m:val="p"/>
                    </m:rPr>
                    <w:rPr>
                      <w:rFonts w:ascii="Cambria Math" w:hAnsi="Cambria Math"/>
                    </w:rPr>
                    <m:t>0,01×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wot,j</m:t>
                          </m:r>
                        </m:sub>
                      </m:sSub>
                    </m:sup>
                  </m:sSup>
                </m:e>
              </m:d>
            </m:e>
          </m:func>
        </m:oMath>
      </m:oMathPara>
    </w:p>
    <w:p w14:paraId="460E627C" w14:textId="32CD04C1" w:rsidR="00E76BE6" w:rsidRPr="00A56115" w:rsidRDefault="00E76BE6" w:rsidP="00E76BE6">
      <w:pPr>
        <w:tabs>
          <w:tab w:val="left" w:pos="2268"/>
        </w:tabs>
        <w:spacing w:after="120"/>
        <w:ind w:left="2268" w:right="1134" w:hanging="1134"/>
        <w:rPr>
          <w:lang w:val="fr-FR"/>
        </w:rPr>
      </w:pPr>
      <w:r>
        <w:rPr>
          <w:lang w:val="fr-FR"/>
        </w:rPr>
        <w:tab/>
        <w:t xml:space="preserve">où </w:t>
      </w:r>
      <w:proofErr w:type="spellStart"/>
      <w:r w:rsidRPr="00D46DD1">
        <w:t>L</w:t>
      </w:r>
      <w:r w:rsidRPr="00D46DD1">
        <w:rPr>
          <w:vertAlign w:val="subscript"/>
        </w:rPr>
        <w:t>TR,wot,j,ϑwot</w:t>
      </w:r>
      <w:proofErr w:type="spellEnd"/>
      <w:r w:rsidRPr="00D46DD1">
        <w:t xml:space="preserve"> </w:t>
      </w:r>
      <w:r>
        <w:rPr>
          <w:lang w:val="fr-FR"/>
        </w:rPr>
        <w:t>est redéfini comme suit :</w:t>
      </w:r>
    </w:p>
    <w:p w14:paraId="30E4FDDF" w14:textId="77777777" w:rsidR="00E76BE6" w:rsidRPr="00A56115" w:rsidRDefault="00E76BE6" w:rsidP="00E76BE6">
      <w:pPr>
        <w:tabs>
          <w:tab w:val="left" w:pos="2268"/>
        </w:tabs>
        <w:spacing w:after="120"/>
        <w:ind w:left="2268" w:right="1134" w:hanging="1134"/>
        <w:rPr>
          <w:lang w:val="fr-FR"/>
        </w:rPr>
      </w:pPr>
      <w:r>
        <w:rPr>
          <w:lang w:val="fr-FR"/>
        </w:rPr>
        <w:tab/>
      </w:r>
      <w:proofErr w:type="spellStart"/>
      <w:r>
        <w:rPr>
          <w:lang w:val="fr-FR"/>
        </w:rPr>
        <w:t>L</w:t>
      </w:r>
      <w:r>
        <w:rPr>
          <w:vertAlign w:val="subscript"/>
          <w:lang w:val="fr-FR"/>
        </w:rPr>
        <w:t>TR,wot,j,ϑwot</w:t>
      </w:r>
      <w:proofErr w:type="spellEnd"/>
      <w:r>
        <w:rPr>
          <w:lang w:val="fr-FR"/>
        </w:rPr>
        <w:t xml:space="preserve"> = 10 × lg(0,99 × 10</w:t>
      </w:r>
      <w:r>
        <w:rPr>
          <w:vertAlign w:val="superscript"/>
          <w:lang w:val="fr-FR"/>
        </w:rPr>
        <w:t>0,1×Lwot,j</w:t>
      </w:r>
      <w:r>
        <w:rPr>
          <w:lang w:val="fr-FR"/>
        </w:rPr>
        <w:t>)</w:t>
      </w:r>
    </w:p>
    <w:p w14:paraId="5BEC3125" w14:textId="65071426" w:rsidR="00E76BE6" w:rsidRPr="00A56115" w:rsidRDefault="00E76BE6" w:rsidP="00E76BE6">
      <w:pPr>
        <w:tabs>
          <w:tab w:val="left" w:pos="2268"/>
        </w:tabs>
        <w:spacing w:after="120"/>
        <w:ind w:left="2268" w:right="1134" w:hanging="1134"/>
        <w:rPr>
          <w:lang w:val="fr-FR"/>
        </w:rPr>
      </w:pPr>
      <w:r>
        <w:rPr>
          <w:lang w:val="fr-FR"/>
        </w:rPr>
        <w:tab/>
        <w:t xml:space="preserve">La </w:t>
      </w:r>
      <w:proofErr w:type="spellStart"/>
      <w:r>
        <w:rPr>
          <w:lang w:val="fr-FR"/>
        </w:rPr>
        <w:t>L</w:t>
      </w:r>
      <w:r w:rsidRPr="0080145B">
        <w:rPr>
          <w:vertAlign w:val="subscript"/>
          <w:lang w:val="fr-FR"/>
        </w:rPr>
        <w:t>TR,wot,j,ϑwot</w:t>
      </w:r>
      <w:proofErr w:type="spellEnd"/>
      <w:r>
        <w:rPr>
          <w:lang w:val="fr-FR"/>
        </w:rPr>
        <w:t xml:space="preserve"> redéfinie est ensuite soumise à la correction de température prévue au paragraphe 3.2.3 pour obtenir la </w:t>
      </w:r>
      <w:proofErr w:type="spellStart"/>
      <w:r>
        <w:rPr>
          <w:lang w:val="fr-FR"/>
        </w:rPr>
        <w:t>L</w:t>
      </w:r>
      <w:r w:rsidRPr="00361690">
        <w:rPr>
          <w:vertAlign w:val="subscript"/>
          <w:lang w:val="fr-FR"/>
        </w:rPr>
        <w:t>TR,wot,j,ϑref</w:t>
      </w:r>
      <w:proofErr w:type="spellEnd"/>
      <w:r w:rsidRPr="00361690">
        <w:rPr>
          <w:vertAlign w:val="subscript"/>
          <w:lang w:val="fr-FR"/>
        </w:rPr>
        <w:t>.</w:t>
      </w:r>
      <w:r>
        <w:rPr>
          <w:lang w:val="fr-FR"/>
        </w:rPr>
        <w:t xml:space="preserve"> correspondante. »</w:t>
      </w:r>
      <w:r>
        <w:rPr>
          <w:lang w:val="fr-FR"/>
        </w:rPr>
        <w:t>.</w:t>
      </w:r>
    </w:p>
    <w:p w14:paraId="0F26502E" w14:textId="77777777" w:rsidR="00E76BE6" w:rsidRPr="003A2072" w:rsidRDefault="00E76BE6" w:rsidP="00E76BE6">
      <w:pPr>
        <w:spacing w:after="120"/>
        <w:ind w:left="2268" w:right="1134" w:hanging="1134"/>
        <w:jc w:val="both"/>
        <w:rPr>
          <w:i/>
          <w:lang w:val="fr-FR"/>
        </w:rPr>
      </w:pPr>
      <w:bookmarkStart w:id="1" w:name="_Hlk152832941"/>
      <w:r>
        <w:rPr>
          <w:i/>
          <w:iCs/>
          <w:lang w:val="fr-FR"/>
        </w:rPr>
        <w:t>Annexe 7,</w:t>
      </w:r>
      <w:r>
        <w:rPr>
          <w:lang w:val="fr-FR"/>
        </w:rPr>
        <w:t xml:space="preserve"> </w:t>
      </w:r>
    </w:p>
    <w:p w14:paraId="4BDEB23A" w14:textId="2F460005" w:rsidR="00E76BE6" w:rsidRPr="003A2072" w:rsidRDefault="00E76BE6" w:rsidP="00E76BE6">
      <w:pPr>
        <w:spacing w:after="120"/>
        <w:ind w:left="2268" w:right="1134" w:hanging="1134"/>
        <w:jc w:val="both"/>
        <w:rPr>
          <w:lang w:val="fr-FR"/>
        </w:rPr>
      </w:pPr>
      <w:r>
        <w:rPr>
          <w:i/>
          <w:iCs/>
          <w:lang w:val="fr-FR"/>
        </w:rPr>
        <w:t>Paragraphe 5.2</w:t>
      </w:r>
      <w:r>
        <w:rPr>
          <w:lang w:val="fr-FR"/>
        </w:rPr>
        <w:t>, lire</w:t>
      </w:r>
      <w:r>
        <w:rPr>
          <w:lang w:val="fr-FR"/>
        </w:rPr>
        <w:t> </w:t>
      </w:r>
      <w:r>
        <w:rPr>
          <w:lang w:val="fr-FR"/>
        </w:rPr>
        <w:t xml:space="preserve">: </w:t>
      </w:r>
      <w:bookmarkEnd w:id="1"/>
    </w:p>
    <w:p w14:paraId="396839C8" w14:textId="3E81DB7A" w:rsidR="00E76BE6" w:rsidRPr="003A2072" w:rsidRDefault="00E76BE6" w:rsidP="00E76BE6">
      <w:pPr>
        <w:spacing w:after="120"/>
        <w:ind w:left="2268" w:right="1134" w:hanging="1134"/>
        <w:jc w:val="both"/>
        <w:rPr>
          <w:lang w:val="fr-FR"/>
        </w:rPr>
      </w:pPr>
      <w:r>
        <w:rPr>
          <w:lang w:val="fr-FR"/>
        </w:rPr>
        <w:t>« 5.2</w:t>
      </w:r>
      <w:r>
        <w:rPr>
          <w:lang w:val="fr-FR"/>
        </w:rPr>
        <w:tab/>
        <w:t>Le rapport α est déterminé comme suit</w:t>
      </w:r>
      <w:r>
        <w:rPr>
          <w:lang w:val="fr-FR"/>
        </w:rPr>
        <w:t> </w:t>
      </w:r>
      <w:r>
        <w:rPr>
          <w:lang w:val="fr-FR"/>
        </w:rPr>
        <w:t>:</w:t>
      </w:r>
    </w:p>
    <w:p w14:paraId="6E7D77E8" w14:textId="77777777" w:rsidR="00E76BE6" w:rsidRPr="00BD7004" w:rsidRDefault="00E76BE6" w:rsidP="00E76BE6">
      <w:pPr>
        <w:pStyle w:val="Paragraphedeliste"/>
        <w:widowControl/>
        <w:suppressAutoHyphens/>
        <w:spacing w:after="120" w:line="240" w:lineRule="atLeast"/>
        <w:ind w:left="2835" w:right="1134" w:hanging="567"/>
        <w:contextualSpacing w:val="0"/>
        <w:rPr>
          <w:sz w:val="20"/>
          <w:szCs w:val="20"/>
          <w:lang w:val="fr-FR"/>
        </w:rPr>
      </w:pPr>
      <w:r w:rsidRPr="00BD7004">
        <w:rPr>
          <w:rFonts w:eastAsia="Times New Roman"/>
          <w:sz w:val="20"/>
          <w:szCs w:val="20"/>
          <w:lang w:val="fr-FR"/>
        </w:rPr>
        <w:t>-</w:t>
      </w:r>
      <w:r w:rsidRPr="00BD7004">
        <w:rPr>
          <w:rFonts w:eastAsia="Times New Roman"/>
          <w:sz w:val="20"/>
          <w:szCs w:val="20"/>
          <w:lang w:val="fr-FR"/>
        </w:rPr>
        <w:tab/>
      </w:r>
      <w:r w:rsidRPr="00BD7004">
        <w:rPr>
          <w:sz w:val="20"/>
          <w:szCs w:val="20"/>
          <w:lang w:val="fr-FR"/>
        </w:rPr>
        <w:t>α = 3 pour une transmission manuelle et pour une transmission automatique testée en position bloquée avec jusqu</w:t>
      </w:r>
      <w:r>
        <w:rPr>
          <w:sz w:val="20"/>
          <w:szCs w:val="20"/>
          <w:lang w:val="fr-FR"/>
        </w:rPr>
        <w:t>’</w:t>
      </w:r>
      <w:r w:rsidRPr="00BD7004">
        <w:rPr>
          <w:sz w:val="20"/>
          <w:szCs w:val="20"/>
          <w:lang w:val="fr-FR"/>
        </w:rPr>
        <w:t>à 5 rapports ;</w:t>
      </w:r>
    </w:p>
    <w:p w14:paraId="5E6DFFB5" w14:textId="77777777" w:rsidR="00E76BE6" w:rsidRPr="00BD7004" w:rsidRDefault="00E76BE6" w:rsidP="00E76BE6">
      <w:pPr>
        <w:pStyle w:val="Paragraphedeliste"/>
        <w:widowControl/>
        <w:suppressAutoHyphens/>
        <w:spacing w:after="120" w:line="240" w:lineRule="atLeast"/>
        <w:ind w:left="2835" w:right="1134" w:hanging="567"/>
        <w:contextualSpacing w:val="0"/>
        <w:rPr>
          <w:sz w:val="20"/>
          <w:szCs w:val="20"/>
          <w:lang w:val="fr-FR"/>
        </w:rPr>
      </w:pPr>
      <w:r w:rsidRPr="00BD7004">
        <w:rPr>
          <w:rFonts w:eastAsia="Times New Roman"/>
          <w:sz w:val="20"/>
          <w:szCs w:val="20"/>
          <w:lang w:val="fr-FR"/>
        </w:rPr>
        <w:t>-</w:t>
      </w:r>
      <w:r w:rsidRPr="00BD7004">
        <w:rPr>
          <w:rFonts w:eastAsia="Times New Roman"/>
          <w:sz w:val="20"/>
          <w:szCs w:val="20"/>
          <w:lang w:val="fr-FR"/>
        </w:rPr>
        <w:tab/>
      </w:r>
      <w:r w:rsidRPr="00BD7004">
        <w:rPr>
          <w:sz w:val="20"/>
          <w:szCs w:val="20"/>
          <w:lang w:val="fr-FR"/>
        </w:rPr>
        <w:t>α = 4 pour une transmission manuelle et pour transmission automatique testée en position bloquée avec 6 rapports ou plus. Si l</w:t>
      </w:r>
      <w:r>
        <w:rPr>
          <w:sz w:val="20"/>
          <w:szCs w:val="20"/>
          <w:lang w:val="fr-FR"/>
        </w:rPr>
        <w:t>’</w:t>
      </w:r>
      <w:r w:rsidRPr="00BD7004">
        <w:rPr>
          <w:sz w:val="20"/>
          <w:szCs w:val="20"/>
          <w:lang w:val="fr-FR"/>
        </w:rPr>
        <w:t xml:space="preserve">accélération calculée de AA à BB + longueur du véhicule sur le rapport 4 est supérieure à 1,9 m/s², le premier rapport supérieur α &gt; 4 avec une accélération inférieure ou égale à 1,9 m/s² doit être sélectionné. Si </w:t>
      </w:r>
      <w:r w:rsidRPr="00BD7004">
        <w:rPr>
          <w:sz w:val="20"/>
          <w:szCs w:val="20"/>
          <w:lang w:val="fr-FR"/>
        </w:rPr>
        <w:lastRenderedPageBreak/>
        <w:t>aucun rapport avec une accélération inférieure ou égale à 1,9 m/s² n</w:t>
      </w:r>
      <w:r>
        <w:rPr>
          <w:sz w:val="20"/>
          <w:szCs w:val="20"/>
          <w:lang w:val="fr-FR"/>
        </w:rPr>
        <w:t>’</w:t>
      </w:r>
      <w:r w:rsidRPr="00BD7004">
        <w:rPr>
          <w:sz w:val="20"/>
          <w:szCs w:val="20"/>
          <w:lang w:val="fr-FR"/>
        </w:rPr>
        <w:t>est disponible, le rapport disponible le plus élevé doit être sélectionné.</w:t>
      </w:r>
      <w:bookmarkStart w:id="2" w:name="_Hlk152834489"/>
      <w:bookmarkEnd w:id="2"/>
    </w:p>
    <w:p w14:paraId="3CF7A97B" w14:textId="77777777" w:rsidR="00E76BE6" w:rsidRPr="00E76BE6" w:rsidRDefault="00E76BE6" w:rsidP="00E76BE6">
      <w:pPr>
        <w:spacing w:after="120"/>
        <w:ind w:left="2268" w:right="1134"/>
        <w:jc w:val="both"/>
        <w:rPr>
          <w:lang w:val="fr-FR"/>
        </w:rPr>
      </w:pPr>
      <w:r>
        <w:rPr>
          <w:lang w:val="fr-FR"/>
        </w:rPr>
        <w:t>Pour les véhicules testés sur un rapport bloqué, le rapport de transmission à prendre en compte pour la suite du calcul est déterminé à partir des résultats de l’essai d’accélération figurant à l’annexe 3.</w:t>
      </w:r>
    </w:p>
    <w:p w14:paraId="042DAEA7" w14:textId="259E817B" w:rsidR="00E76BE6" w:rsidRPr="003A2072" w:rsidRDefault="00E76BE6" w:rsidP="00E76BE6">
      <w:pPr>
        <w:spacing w:after="120"/>
        <w:ind w:left="2268" w:right="1134"/>
        <w:jc w:val="both"/>
        <w:rPr>
          <w:u w:val="single"/>
          <w:lang w:val="fr-FR"/>
        </w:rPr>
      </w:pPr>
      <w:r>
        <w:rPr>
          <w:lang w:val="fr-FR"/>
        </w:rPr>
        <w:t>Pour les véhicules testés sur un rapport non bloqué, le rapport de transmission à prendre en compte pour la suite du calcul est déterminé à partir des résultats de l’essai d’accélération figurant à l’annexe 3 en utilisant le régime moteur et la vitesse du véhicule au droit de la ligne BB’. »</w:t>
      </w:r>
      <w:r>
        <w:rPr>
          <w:lang w:val="fr-FR"/>
        </w:rPr>
        <w:t>.</w:t>
      </w:r>
    </w:p>
    <w:p w14:paraId="0E03D268" w14:textId="4CDA011B" w:rsidR="00F9573C" w:rsidRPr="00E76BE6" w:rsidRDefault="00E76BE6" w:rsidP="00E76BE6">
      <w:pPr>
        <w:spacing w:before="240"/>
        <w:jc w:val="center"/>
        <w:rPr>
          <w:lang w:val="fr-FR"/>
        </w:rPr>
      </w:pPr>
      <w:r w:rsidRPr="003A2072">
        <w:rPr>
          <w:u w:val="single"/>
          <w:lang w:val="fr-FR"/>
        </w:rPr>
        <w:tab/>
      </w:r>
      <w:r w:rsidRPr="003A2072">
        <w:rPr>
          <w:u w:val="single"/>
          <w:lang w:val="fr-FR"/>
        </w:rPr>
        <w:tab/>
      </w:r>
      <w:r w:rsidRPr="003A2072">
        <w:rPr>
          <w:u w:val="single"/>
          <w:lang w:val="fr-FR"/>
        </w:rPr>
        <w:tab/>
      </w:r>
    </w:p>
    <w:sectPr w:rsidR="00F9573C" w:rsidRPr="00E76BE6" w:rsidSect="00E76BE6">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8D86" w14:textId="77777777" w:rsidR="008D5929" w:rsidRDefault="008D5929" w:rsidP="00F95C08">
      <w:pPr>
        <w:spacing w:line="240" w:lineRule="auto"/>
      </w:pPr>
    </w:p>
  </w:endnote>
  <w:endnote w:type="continuationSeparator" w:id="0">
    <w:p w14:paraId="66588EBD" w14:textId="77777777" w:rsidR="008D5929" w:rsidRPr="00AC3823" w:rsidRDefault="008D5929" w:rsidP="00AC3823">
      <w:pPr>
        <w:pStyle w:val="Pieddepage"/>
      </w:pPr>
    </w:p>
  </w:endnote>
  <w:endnote w:type="continuationNotice" w:id="1">
    <w:p w14:paraId="4492D351" w14:textId="77777777" w:rsidR="008D5929" w:rsidRDefault="008D59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F97D" w14:textId="2D087394" w:rsidR="00E76BE6" w:rsidRPr="00E76BE6" w:rsidRDefault="00E76BE6" w:rsidP="00E76BE6">
    <w:pPr>
      <w:pStyle w:val="Pieddepage"/>
      <w:tabs>
        <w:tab w:val="right" w:pos="9638"/>
      </w:tabs>
    </w:pPr>
    <w:r w:rsidRPr="00E76BE6">
      <w:rPr>
        <w:b/>
        <w:sz w:val="18"/>
      </w:rPr>
      <w:fldChar w:fldCharType="begin"/>
    </w:r>
    <w:r w:rsidRPr="00E76BE6">
      <w:rPr>
        <w:b/>
        <w:sz w:val="18"/>
      </w:rPr>
      <w:instrText xml:space="preserve"> PAGE  \* MERGEFORMAT </w:instrText>
    </w:r>
    <w:r w:rsidRPr="00E76BE6">
      <w:rPr>
        <w:b/>
        <w:sz w:val="18"/>
      </w:rPr>
      <w:fldChar w:fldCharType="separate"/>
    </w:r>
    <w:r w:rsidRPr="00E76BE6">
      <w:rPr>
        <w:b/>
        <w:noProof/>
        <w:sz w:val="18"/>
      </w:rPr>
      <w:t>2</w:t>
    </w:r>
    <w:r w:rsidRPr="00E76BE6">
      <w:rPr>
        <w:b/>
        <w:sz w:val="18"/>
      </w:rPr>
      <w:fldChar w:fldCharType="end"/>
    </w:r>
    <w:r>
      <w:rPr>
        <w:b/>
        <w:sz w:val="18"/>
      </w:rPr>
      <w:tab/>
    </w:r>
    <w:r>
      <w:t>GE.24-06264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1E02" w14:textId="2E41301F" w:rsidR="00E76BE6" w:rsidRPr="00E76BE6" w:rsidRDefault="00E76BE6" w:rsidP="00E76BE6">
    <w:pPr>
      <w:pStyle w:val="Pieddepage"/>
      <w:tabs>
        <w:tab w:val="right" w:pos="9638"/>
      </w:tabs>
      <w:rPr>
        <w:b/>
        <w:sz w:val="18"/>
      </w:rPr>
    </w:pPr>
    <w:r>
      <w:t>GE.24-06264</w:t>
    </w:r>
    <w:r>
      <w:tab/>
    </w:r>
    <w:r w:rsidRPr="00E76BE6">
      <w:rPr>
        <w:b/>
        <w:sz w:val="18"/>
      </w:rPr>
      <w:fldChar w:fldCharType="begin"/>
    </w:r>
    <w:r w:rsidRPr="00E76BE6">
      <w:rPr>
        <w:b/>
        <w:sz w:val="18"/>
      </w:rPr>
      <w:instrText xml:space="preserve"> PAGE  \* MERGEFORMAT </w:instrText>
    </w:r>
    <w:r w:rsidRPr="00E76BE6">
      <w:rPr>
        <w:b/>
        <w:sz w:val="18"/>
      </w:rPr>
      <w:fldChar w:fldCharType="separate"/>
    </w:r>
    <w:r w:rsidRPr="00E76BE6">
      <w:rPr>
        <w:b/>
        <w:noProof/>
        <w:sz w:val="18"/>
      </w:rPr>
      <w:t>3</w:t>
    </w:r>
    <w:r w:rsidRPr="00E76BE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82B7" w14:textId="1DE5C663" w:rsidR="007F20FA" w:rsidRPr="00E76BE6" w:rsidRDefault="00E76BE6" w:rsidP="00E76BE6">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2082A64E" wp14:editId="38DEE963">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24-06264  (F)</w:t>
    </w:r>
    <w:r>
      <w:rPr>
        <w:noProof/>
        <w:sz w:val="20"/>
      </w:rPr>
      <w:drawing>
        <wp:anchor distT="0" distB="0" distL="114300" distR="114300" simplePos="0" relativeHeight="251660288" behindDoc="0" locked="0" layoutInCell="1" allowOverlap="1" wp14:anchorId="1A6172EA" wp14:editId="5AB55036">
          <wp:simplePos x="0" y="0"/>
          <wp:positionH relativeFrom="margin">
            <wp:posOffset>5489575</wp:posOffset>
          </wp:positionH>
          <wp:positionV relativeFrom="margin">
            <wp:posOffset>8891905</wp:posOffset>
          </wp:positionV>
          <wp:extent cx="628650" cy="62865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030524    030524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189FF" w14:textId="77777777" w:rsidR="008D5929" w:rsidRPr="00AC3823" w:rsidRDefault="008D5929" w:rsidP="00AC3823">
      <w:pPr>
        <w:pStyle w:val="Pieddepage"/>
        <w:tabs>
          <w:tab w:val="right" w:pos="2155"/>
        </w:tabs>
        <w:spacing w:after="80" w:line="240" w:lineRule="atLeast"/>
        <w:ind w:left="680"/>
        <w:rPr>
          <w:u w:val="single"/>
        </w:rPr>
      </w:pPr>
      <w:r>
        <w:rPr>
          <w:u w:val="single"/>
        </w:rPr>
        <w:tab/>
      </w:r>
    </w:p>
  </w:footnote>
  <w:footnote w:type="continuationSeparator" w:id="0">
    <w:p w14:paraId="6041CC1F" w14:textId="77777777" w:rsidR="008D5929" w:rsidRPr="00AC3823" w:rsidRDefault="008D5929" w:rsidP="00AC3823">
      <w:pPr>
        <w:pStyle w:val="Pieddepage"/>
        <w:tabs>
          <w:tab w:val="right" w:pos="2155"/>
        </w:tabs>
        <w:spacing w:after="80" w:line="240" w:lineRule="atLeast"/>
        <w:ind w:left="680"/>
        <w:rPr>
          <w:u w:val="single"/>
        </w:rPr>
      </w:pPr>
      <w:r>
        <w:rPr>
          <w:u w:val="single"/>
        </w:rPr>
        <w:tab/>
      </w:r>
    </w:p>
  </w:footnote>
  <w:footnote w:type="continuationNotice" w:id="1">
    <w:p w14:paraId="68A9F6A7" w14:textId="77777777" w:rsidR="008D5929" w:rsidRPr="00AC3823" w:rsidRDefault="008D5929">
      <w:pPr>
        <w:spacing w:line="240" w:lineRule="auto"/>
        <w:rPr>
          <w:sz w:val="2"/>
          <w:szCs w:val="2"/>
        </w:rPr>
      </w:pPr>
    </w:p>
  </w:footnote>
  <w:footnote w:id="2">
    <w:p w14:paraId="09EC18B8" w14:textId="038FE01B" w:rsidR="008A6D19" w:rsidRPr="008A6D19" w:rsidRDefault="008A6D19">
      <w:pPr>
        <w:pStyle w:val="Notedebasdepage"/>
      </w:pPr>
      <w:r>
        <w:rPr>
          <w:rStyle w:val="Appelnotedebasdep"/>
        </w:rPr>
        <w:tab/>
      </w:r>
      <w:r w:rsidRPr="008A6D19">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852B" w14:textId="4E845ABF" w:rsidR="00E76BE6" w:rsidRPr="00E76BE6" w:rsidRDefault="00E76BE6">
    <w:pPr>
      <w:pStyle w:val="En-tte"/>
    </w:pPr>
    <w:fldSimple w:instr=" TITLE  \* MERGEFORMAT ">
      <w:r w:rsidR="00B10FF9">
        <w:t>ECE/TRANS/WP.29/2024/70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92E1" w14:textId="22B5AA8A" w:rsidR="00E76BE6" w:rsidRPr="00E76BE6" w:rsidRDefault="00E76BE6" w:rsidP="00E76BE6">
    <w:pPr>
      <w:pStyle w:val="En-tte"/>
      <w:jc w:val="right"/>
    </w:pPr>
    <w:fldSimple w:instr=" TITLE  \* MERGEFORMAT ">
      <w:r w:rsidR="00B10FF9">
        <w:t>ECE/TRANS/WP.29/2024/70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502545948">
    <w:abstractNumId w:val="12"/>
  </w:num>
  <w:num w:numId="2" w16cid:durableId="1632128211">
    <w:abstractNumId w:val="11"/>
  </w:num>
  <w:num w:numId="3" w16cid:durableId="1154688166">
    <w:abstractNumId w:val="10"/>
  </w:num>
  <w:num w:numId="4" w16cid:durableId="1678463685">
    <w:abstractNumId w:val="8"/>
  </w:num>
  <w:num w:numId="5" w16cid:durableId="748036710">
    <w:abstractNumId w:val="3"/>
  </w:num>
  <w:num w:numId="6" w16cid:durableId="106971125">
    <w:abstractNumId w:val="2"/>
  </w:num>
  <w:num w:numId="7" w16cid:durableId="1311056813">
    <w:abstractNumId w:val="1"/>
  </w:num>
  <w:num w:numId="8" w16cid:durableId="1842548256">
    <w:abstractNumId w:val="0"/>
  </w:num>
  <w:num w:numId="9" w16cid:durableId="206066908">
    <w:abstractNumId w:val="9"/>
  </w:num>
  <w:num w:numId="10" w16cid:durableId="1754546422">
    <w:abstractNumId w:val="7"/>
  </w:num>
  <w:num w:numId="11" w16cid:durableId="1058743403">
    <w:abstractNumId w:val="6"/>
  </w:num>
  <w:num w:numId="12" w16cid:durableId="627736301">
    <w:abstractNumId w:val="5"/>
  </w:num>
  <w:num w:numId="13" w16cid:durableId="775756200">
    <w:abstractNumId w:val="4"/>
  </w:num>
  <w:num w:numId="14" w16cid:durableId="1499343655">
    <w:abstractNumId w:val="12"/>
  </w:num>
  <w:num w:numId="15" w16cid:durableId="455174250">
    <w:abstractNumId w:val="11"/>
  </w:num>
  <w:num w:numId="16" w16cid:durableId="1315187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revisionView w:inkAnnotation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29"/>
    <w:rsid w:val="00017F94"/>
    <w:rsid w:val="00023842"/>
    <w:rsid w:val="000334F9"/>
    <w:rsid w:val="00045FEB"/>
    <w:rsid w:val="0007796D"/>
    <w:rsid w:val="000B7790"/>
    <w:rsid w:val="00111F2F"/>
    <w:rsid w:val="0014365E"/>
    <w:rsid w:val="00143C66"/>
    <w:rsid w:val="00176178"/>
    <w:rsid w:val="001F525A"/>
    <w:rsid w:val="00201148"/>
    <w:rsid w:val="00223272"/>
    <w:rsid w:val="00235EDE"/>
    <w:rsid w:val="0024779E"/>
    <w:rsid w:val="00257168"/>
    <w:rsid w:val="002744B8"/>
    <w:rsid w:val="002832AC"/>
    <w:rsid w:val="002D7C93"/>
    <w:rsid w:val="00305801"/>
    <w:rsid w:val="003916DE"/>
    <w:rsid w:val="00421996"/>
    <w:rsid w:val="00441C3B"/>
    <w:rsid w:val="00446FE5"/>
    <w:rsid w:val="00452396"/>
    <w:rsid w:val="00477EB2"/>
    <w:rsid w:val="004837D8"/>
    <w:rsid w:val="004E2EED"/>
    <w:rsid w:val="004E468C"/>
    <w:rsid w:val="005265B1"/>
    <w:rsid w:val="005505B7"/>
    <w:rsid w:val="00573BE5"/>
    <w:rsid w:val="00586ED3"/>
    <w:rsid w:val="00596AA9"/>
    <w:rsid w:val="0071601D"/>
    <w:rsid w:val="007A62E6"/>
    <w:rsid w:val="007F20FA"/>
    <w:rsid w:val="0080684C"/>
    <w:rsid w:val="00871C75"/>
    <w:rsid w:val="008776DC"/>
    <w:rsid w:val="008A6D19"/>
    <w:rsid w:val="008D5929"/>
    <w:rsid w:val="008D5EF9"/>
    <w:rsid w:val="009446C0"/>
    <w:rsid w:val="009705C8"/>
    <w:rsid w:val="009C1CF4"/>
    <w:rsid w:val="009F6B74"/>
    <w:rsid w:val="00A3029F"/>
    <w:rsid w:val="00A30353"/>
    <w:rsid w:val="00AC3823"/>
    <w:rsid w:val="00AE323C"/>
    <w:rsid w:val="00AF0CB5"/>
    <w:rsid w:val="00B00181"/>
    <w:rsid w:val="00B00B0D"/>
    <w:rsid w:val="00B10FF9"/>
    <w:rsid w:val="00B45F2E"/>
    <w:rsid w:val="00B765F7"/>
    <w:rsid w:val="00B77993"/>
    <w:rsid w:val="00B872F4"/>
    <w:rsid w:val="00BA0CA9"/>
    <w:rsid w:val="00C02897"/>
    <w:rsid w:val="00C97039"/>
    <w:rsid w:val="00D3439C"/>
    <w:rsid w:val="00D56562"/>
    <w:rsid w:val="00D7622E"/>
    <w:rsid w:val="00DB1831"/>
    <w:rsid w:val="00DD3BFD"/>
    <w:rsid w:val="00DF6678"/>
    <w:rsid w:val="00E0299A"/>
    <w:rsid w:val="00E76BE6"/>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24F4C"/>
  <w15:docId w15:val="{5FCF14AC-83AA-43A9-8202-32D946BE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5_GR Car,-E Fußnotentext Car,footnote text Car,Fußnotentext Ursprung Car,Footnote Text Char Char Char Char Car,Footnote Text1 Car,Footnote Text Char Char Char Car,Fußnotentext Char1 Car,Fußn Car"/>
    <w:basedOn w:val="Policepardfaut"/>
    <w:link w:val="Notedebasdepage"/>
    <w:qFormat/>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E76BE6"/>
    <w:rPr>
      <w:rFonts w:ascii="Times New Roman" w:eastAsiaTheme="minorHAnsi" w:hAnsi="Times New Roman" w:cs="Times New Roman"/>
      <w:sz w:val="20"/>
      <w:szCs w:val="20"/>
      <w:lang w:eastAsia="en-US"/>
    </w:rPr>
  </w:style>
  <w:style w:type="character" w:customStyle="1" w:styleId="HChGChar">
    <w:name w:val="_ H _Ch_G Char"/>
    <w:link w:val="HChG"/>
    <w:locked/>
    <w:rsid w:val="00E76BE6"/>
    <w:rPr>
      <w:rFonts w:ascii="Times New Roman" w:eastAsiaTheme="minorHAnsi" w:hAnsi="Times New Roman" w:cs="Times New Roman"/>
      <w:b/>
      <w:sz w:val="28"/>
      <w:szCs w:val="20"/>
      <w:lang w:eastAsia="en-US"/>
    </w:rPr>
  </w:style>
  <w:style w:type="character" w:customStyle="1" w:styleId="H1GChar">
    <w:name w:val="_ H_1_G Char"/>
    <w:link w:val="H1G"/>
    <w:locked/>
    <w:rsid w:val="00E76BE6"/>
    <w:rPr>
      <w:rFonts w:ascii="Times New Roman" w:eastAsiaTheme="minorHAnsi" w:hAnsi="Times New Roman" w:cs="Times New Roman"/>
      <w:b/>
      <w:sz w:val="24"/>
      <w:szCs w:val="20"/>
      <w:lang w:eastAsia="en-US"/>
    </w:rPr>
  </w:style>
  <w:style w:type="paragraph" w:styleId="Paragraphedeliste">
    <w:name w:val="List Paragraph"/>
    <w:basedOn w:val="Normal"/>
    <w:uiPriority w:val="34"/>
    <w:qFormat/>
    <w:rsid w:val="00E76BE6"/>
    <w:pPr>
      <w:widowControl w:val="0"/>
      <w:suppressAutoHyphens w:val="0"/>
      <w:kinsoku/>
      <w:overflowPunct/>
      <w:autoSpaceDE/>
      <w:autoSpaceDN/>
      <w:adjustRightInd/>
      <w:snapToGrid/>
      <w:spacing w:line="240" w:lineRule="auto"/>
      <w:ind w:left="720"/>
      <w:contextualSpacing/>
      <w:jc w:val="both"/>
    </w:pPr>
    <w:rPr>
      <w:rFonts w:eastAsia="MS Mincho"/>
      <w:kern w:val="2"/>
      <w:sz w:val="24"/>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6372D-689F-42A0-BE43-BD3001CF9F4C}"/>
</file>

<file path=customXml/itemProps2.xml><?xml version="1.0" encoding="utf-8"?>
<ds:datastoreItem xmlns:ds="http://schemas.openxmlformats.org/officeDocument/2006/customXml" ds:itemID="{4FB992E7-A426-433F-8BE0-F4239DA840A1}"/>
</file>

<file path=docProps/app.xml><?xml version="1.0" encoding="utf-8"?>
<Properties xmlns="http://schemas.openxmlformats.org/officeDocument/2006/extended-properties" xmlns:vt="http://schemas.openxmlformats.org/officeDocument/2006/docPropsVTypes">
  <Template>ECE_TRANS.dotm</Template>
  <TotalTime>0</TotalTime>
  <Pages>4</Pages>
  <Words>855</Words>
  <Characters>5986</Characters>
  <Application>Microsoft Office Word</Application>
  <DocSecurity>0</DocSecurity>
  <Lines>498</Lines>
  <Paragraphs>273</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ECE/TRANS/WP.29/2024/70</dc:title>
  <dc:subject/>
  <dc:creator>Sandrine CLERE</dc:creator>
  <cp:keywords/>
  <cp:lastModifiedBy>Sandrine Clere</cp:lastModifiedBy>
  <cp:revision>2</cp:revision>
  <cp:lastPrinted>2024-05-03T09:52:00Z</cp:lastPrinted>
  <dcterms:created xsi:type="dcterms:W3CDTF">2024-05-03T09:59:00Z</dcterms:created>
  <dcterms:modified xsi:type="dcterms:W3CDTF">2024-05-03T09:59:00Z</dcterms:modified>
</cp:coreProperties>
</file>