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3F390A8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9D44442" w14:textId="77777777" w:rsidR="002D5AAC" w:rsidRDefault="002D5AAC" w:rsidP="005172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F4B6F57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BFB54DE" w14:textId="6DCF8DA3" w:rsidR="002D5AAC" w:rsidRDefault="00517234" w:rsidP="00517234">
            <w:pPr>
              <w:jc w:val="right"/>
            </w:pPr>
            <w:r w:rsidRPr="00517234">
              <w:rPr>
                <w:sz w:val="40"/>
              </w:rPr>
              <w:t>ECE</w:t>
            </w:r>
            <w:r>
              <w:t>/TRANS/WP.29/2024/68</w:t>
            </w:r>
          </w:p>
        </w:tc>
      </w:tr>
      <w:tr w:rsidR="002D5AAC" w14:paraId="2D3407EE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20145DD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6FE50F6" wp14:editId="2574C928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5E1F80B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7D2D20C" w14:textId="77777777" w:rsidR="002D5AAC" w:rsidRDefault="00517234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1274EB56" w14:textId="77777777" w:rsidR="00517234" w:rsidRDefault="00517234" w:rsidP="0051723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8 April 2024</w:t>
            </w:r>
          </w:p>
          <w:p w14:paraId="57C6F1C3" w14:textId="77777777" w:rsidR="00517234" w:rsidRDefault="00517234" w:rsidP="0051723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68F57FC8" w14:textId="5583021E" w:rsidR="00517234" w:rsidRPr="008D53B6" w:rsidRDefault="00517234" w:rsidP="0051723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 English</w:t>
            </w:r>
          </w:p>
        </w:tc>
      </w:tr>
    </w:tbl>
    <w:p w14:paraId="4020FAFF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525E115" w14:textId="77777777" w:rsidR="00517234" w:rsidRPr="002F0BD2" w:rsidRDefault="00517234" w:rsidP="00517234">
      <w:pPr>
        <w:spacing w:before="120"/>
        <w:rPr>
          <w:sz w:val="28"/>
          <w:szCs w:val="28"/>
        </w:rPr>
      </w:pPr>
      <w:r w:rsidRPr="002F0BD2">
        <w:rPr>
          <w:sz w:val="28"/>
          <w:szCs w:val="28"/>
        </w:rPr>
        <w:t>Комитет по внутреннему транспорту</w:t>
      </w:r>
    </w:p>
    <w:p w14:paraId="2938B820" w14:textId="77777777" w:rsidR="00517234" w:rsidRPr="002F0BD2" w:rsidRDefault="00517234" w:rsidP="00517234">
      <w:pPr>
        <w:spacing w:before="120" w:after="120"/>
        <w:rPr>
          <w:b/>
          <w:bCs/>
          <w:sz w:val="24"/>
          <w:szCs w:val="24"/>
        </w:rPr>
      </w:pPr>
      <w:r w:rsidRPr="002F0BD2">
        <w:rPr>
          <w:b/>
          <w:bCs/>
          <w:sz w:val="24"/>
          <w:szCs w:val="24"/>
        </w:rPr>
        <w:t>Всемирный форум для согласования правил</w:t>
      </w:r>
      <w:r w:rsidRPr="002F0BD2">
        <w:rPr>
          <w:b/>
          <w:bCs/>
          <w:sz w:val="24"/>
          <w:szCs w:val="24"/>
        </w:rPr>
        <w:br/>
        <w:t>в области транспортных средств</w:t>
      </w:r>
    </w:p>
    <w:p w14:paraId="7FFC60C3" w14:textId="77777777" w:rsidR="00517234" w:rsidRPr="002F0BD2" w:rsidRDefault="00517234" w:rsidP="00517234">
      <w:pPr>
        <w:spacing w:before="120"/>
        <w:rPr>
          <w:b/>
        </w:rPr>
      </w:pPr>
      <w:r w:rsidRPr="002F0BD2">
        <w:rPr>
          <w:b/>
        </w:rPr>
        <w:t>Сто девяносто третья сессия</w:t>
      </w:r>
    </w:p>
    <w:p w14:paraId="10192170" w14:textId="77777777" w:rsidR="00517234" w:rsidRPr="002F0BD2" w:rsidRDefault="00517234" w:rsidP="00517234">
      <w:r w:rsidRPr="002F0BD2">
        <w:t>Женева, 25–28 июня 2024 года</w:t>
      </w:r>
    </w:p>
    <w:p w14:paraId="2F247E42" w14:textId="77777777" w:rsidR="00517234" w:rsidRPr="002F0BD2" w:rsidRDefault="00517234" w:rsidP="00517234">
      <w:r w:rsidRPr="002F0BD2">
        <w:t xml:space="preserve">Пункт 4.9.6 </w:t>
      </w:r>
      <w:r w:rsidRPr="002F0BD2">
        <w:rPr>
          <w:shd w:val="clear" w:color="auto" w:fill="FFFFFF"/>
        </w:rPr>
        <w:t>предварительной повестки дня</w:t>
      </w:r>
    </w:p>
    <w:p w14:paraId="260C8923" w14:textId="77777777" w:rsidR="00517234" w:rsidRPr="002F0BD2" w:rsidRDefault="00517234" w:rsidP="00517234">
      <w:pPr>
        <w:rPr>
          <w:b/>
        </w:rPr>
      </w:pPr>
      <w:r w:rsidRPr="002F0BD2">
        <w:rPr>
          <w:b/>
        </w:rPr>
        <w:t>Соглашение 1958 года:</w:t>
      </w:r>
    </w:p>
    <w:p w14:paraId="49F5D16A" w14:textId="77777777" w:rsidR="00517234" w:rsidRPr="002F0BD2" w:rsidRDefault="00517234" w:rsidP="00517234">
      <w:pPr>
        <w:ind w:right="4819"/>
        <w:rPr>
          <w:b/>
        </w:rPr>
      </w:pPr>
      <w:r w:rsidRPr="002F0BD2">
        <w:rPr>
          <w:b/>
        </w:rPr>
        <w:t>Рассмотрение проектов поправок к существующим правилам ООН, представленных GRBP</w:t>
      </w:r>
    </w:p>
    <w:p w14:paraId="766FB735" w14:textId="33404470" w:rsidR="00517234" w:rsidRPr="002F0BD2" w:rsidRDefault="00517234" w:rsidP="00517234">
      <w:pPr>
        <w:pStyle w:val="HChG"/>
        <w:ind w:left="1124" w:right="992" w:firstLine="0"/>
      </w:pPr>
      <w:r w:rsidRPr="002F0BD2">
        <w:t>Предложение по дополнению 3 к поправкам серии 05 к</w:t>
      </w:r>
      <w:bookmarkStart w:id="0" w:name="_Hlk156293670"/>
      <w:r w:rsidRPr="00D560E7">
        <w:rPr>
          <w:lang w:val="en-US"/>
        </w:rPr>
        <w:t> </w:t>
      </w:r>
      <w:bookmarkEnd w:id="0"/>
      <w:r w:rsidRPr="002F0BD2">
        <w:t>Правилам № 41 ООН (шум, производимый мотоциклами)</w:t>
      </w:r>
    </w:p>
    <w:p w14:paraId="36D45514" w14:textId="77777777" w:rsidR="00517234" w:rsidRPr="002F0BD2" w:rsidRDefault="00517234" w:rsidP="00517234">
      <w:pPr>
        <w:pStyle w:val="H1G"/>
        <w:rPr>
          <w:szCs w:val="24"/>
        </w:rPr>
      </w:pPr>
      <w:r w:rsidRPr="002F0BD2">
        <w:rPr>
          <w:szCs w:val="24"/>
        </w:rPr>
        <w:tab/>
      </w:r>
      <w:r w:rsidRPr="002F0BD2">
        <w:rPr>
          <w:szCs w:val="24"/>
        </w:rPr>
        <w:tab/>
      </w:r>
      <w:r w:rsidRPr="002F0BD2">
        <w:rPr>
          <w:szCs w:val="24"/>
          <w:shd w:val="clear" w:color="auto" w:fill="FFFFFF"/>
        </w:rPr>
        <w:t>Представлено Рабочей группой по вопросам шума и шин</w:t>
      </w:r>
      <w:r w:rsidRPr="00517234">
        <w:rPr>
          <w:b w:val="0"/>
          <w:bCs/>
          <w:sz w:val="18"/>
          <w:szCs w:val="18"/>
        </w:rPr>
        <w:footnoteReference w:customMarkFollows="1" w:id="1"/>
        <w:t>*</w:t>
      </w:r>
    </w:p>
    <w:p w14:paraId="0AD0BE9B" w14:textId="77777777" w:rsidR="00517234" w:rsidRPr="002F0BD2" w:rsidRDefault="00517234" w:rsidP="00517234">
      <w:pPr>
        <w:pStyle w:val="SingleTxtG"/>
        <w:ind w:firstLine="567"/>
        <w:rPr>
          <w:shd w:val="clear" w:color="auto" w:fill="FFFFFF"/>
        </w:rPr>
      </w:pPr>
      <w:r w:rsidRPr="002F0BD2">
        <w:rPr>
          <w:shd w:val="clear" w:color="auto" w:fill="FFFFFF"/>
        </w:rPr>
        <w:t>Воспроизведенный ниже текст был принят Рабочей группой по вопросам шума и шин (GRBP) на ее семьдесят девятой сессии (ECE/TRANS/WP.29/GRBP/77, пункт 3). В его основу положен документ ECE/TRANS/WP.29/GRBP/2023/15 с поправками, содержащимися в неофициальном документе GRBP-79-13.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июне 2024 года.</w:t>
      </w:r>
    </w:p>
    <w:p w14:paraId="052CE7BA" w14:textId="77777777" w:rsidR="00517234" w:rsidRPr="00970851" w:rsidRDefault="00517234" w:rsidP="00517234">
      <w:pPr>
        <w:suppressAutoHyphens w:val="0"/>
        <w:spacing w:line="240" w:lineRule="auto"/>
      </w:pPr>
      <w:r w:rsidRPr="00970851">
        <w:br w:type="page"/>
      </w:r>
    </w:p>
    <w:p w14:paraId="26C26C84" w14:textId="77777777" w:rsidR="00517234" w:rsidRPr="002F0BD2" w:rsidRDefault="00517234" w:rsidP="00517234">
      <w:pPr>
        <w:pStyle w:val="SingleTxtG"/>
        <w:ind w:left="1985" w:hanging="851"/>
      </w:pPr>
      <w:r w:rsidRPr="002F0BD2">
        <w:rPr>
          <w:i/>
        </w:rPr>
        <w:lastRenderedPageBreak/>
        <w:t xml:space="preserve">Пункт 12.7 </w:t>
      </w:r>
      <w:r w:rsidRPr="002F0BD2">
        <w:rPr>
          <w:shd w:val="clear" w:color="auto" w:fill="FFFFFF"/>
        </w:rPr>
        <w:t>изменить следующим образом</w:t>
      </w:r>
      <w:r w:rsidRPr="002F0BD2">
        <w:t>:</w:t>
      </w:r>
    </w:p>
    <w:p w14:paraId="0BC9C24C" w14:textId="77777777" w:rsidR="00517234" w:rsidRPr="002F0BD2" w:rsidRDefault="00517234" w:rsidP="00517234">
      <w:pPr>
        <w:pStyle w:val="para"/>
        <w:rPr>
          <w:lang w:val="ru-RU"/>
        </w:rPr>
      </w:pPr>
      <w:r w:rsidRPr="002F0BD2">
        <w:rPr>
          <w:lang w:val="ru-RU"/>
        </w:rPr>
        <w:t>«12.7</w:t>
      </w:r>
      <w:r w:rsidRPr="002F0BD2">
        <w:rPr>
          <w:lang w:val="ru-RU"/>
        </w:rPr>
        <w:tab/>
        <w:t>Договаривающиеся стороны, применяющие настоящие Правила, могут предоставлять официальные утверждения типа на основании любой предыдущей серии поправок к настоящим Правилам».</w:t>
      </w:r>
    </w:p>
    <w:p w14:paraId="562F95E1" w14:textId="77777777" w:rsidR="00517234" w:rsidRPr="002F0BD2" w:rsidRDefault="00517234" w:rsidP="00517234">
      <w:pPr>
        <w:pStyle w:val="SingleTxtG"/>
        <w:ind w:left="2268" w:hanging="1134"/>
      </w:pPr>
      <w:r w:rsidRPr="002F0BD2">
        <w:rPr>
          <w:i/>
        </w:rPr>
        <w:t xml:space="preserve">Пункт 12.8 </w:t>
      </w:r>
      <w:r w:rsidRPr="002F0BD2">
        <w:rPr>
          <w:shd w:val="clear" w:color="auto" w:fill="FFFFFF"/>
        </w:rPr>
        <w:t>изменить следующим образом</w:t>
      </w:r>
      <w:r w:rsidRPr="002F0BD2">
        <w:t>:</w:t>
      </w:r>
    </w:p>
    <w:p w14:paraId="7A95C262" w14:textId="77777777" w:rsidR="00517234" w:rsidRPr="002F0BD2" w:rsidRDefault="00517234" w:rsidP="00517234">
      <w:pPr>
        <w:pStyle w:val="para"/>
        <w:rPr>
          <w:lang w:val="ru-RU"/>
        </w:rPr>
      </w:pPr>
      <w:r w:rsidRPr="002F0BD2">
        <w:rPr>
          <w:lang w:val="ru-RU"/>
        </w:rPr>
        <w:t>«12.8</w:t>
      </w:r>
      <w:r w:rsidRPr="002F0BD2">
        <w:rPr>
          <w:lang w:val="ru-RU"/>
        </w:rPr>
        <w:tab/>
        <w:t xml:space="preserve">Договаривающиеся стороны, применяющие настоящие Правила, продолжают предоставлять распространения существующих официальных утверждений на основании </w:t>
      </w:r>
      <w:bookmarkStart w:id="1" w:name="_Hlk137932387"/>
      <w:r w:rsidRPr="002F0BD2">
        <w:rPr>
          <w:lang w:val="ru-RU"/>
        </w:rPr>
        <w:t>любой предыдущей серии поправок</w:t>
      </w:r>
      <w:bookmarkEnd w:id="1"/>
      <w:r w:rsidRPr="002F0BD2">
        <w:rPr>
          <w:lang w:val="ru-RU"/>
        </w:rPr>
        <w:t xml:space="preserve"> к настоящим Правилам».</w:t>
      </w:r>
    </w:p>
    <w:p w14:paraId="5E4F2E26" w14:textId="77777777" w:rsidR="00517234" w:rsidRPr="002F0BD2" w:rsidRDefault="00517234" w:rsidP="00517234">
      <w:pPr>
        <w:pStyle w:val="para"/>
        <w:rPr>
          <w:i/>
          <w:iCs/>
          <w:lang w:val="ru-RU"/>
        </w:rPr>
      </w:pPr>
      <w:r w:rsidRPr="002F0BD2">
        <w:rPr>
          <w:i/>
          <w:iCs/>
          <w:shd w:val="clear" w:color="auto" w:fill="FFFFFF"/>
          <w:lang w:val="ru-RU"/>
        </w:rPr>
        <w:t>Добавить новый пункт 12.9</w:t>
      </w:r>
      <w:r w:rsidRPr="002F0BD2">
        <w:rPr>
          <w:shd w:val="clear" w:color="auto" w:fill="FFFFFF"/>
          <w:lang w:val="ru-RU"/>
        </w:rPr>
        <w:t xml:space="preserve"> следующего содержания:</w:t>
      </w:r>
    </w:p>
    <w:p w14:paraId="1EAA4E16" w14:textId="77777777" w:rsidR="00517234" w:rsidRPr="002F0BD2" w:rsidRDefault="00517234" w:rsidP="00517234">
      <w:pPr>
        <w:pStyle w:val="para"/>
        <w:rPr>
          <w:lang w:val="ru-RU"/>
        </w:rPr>
      </w:pPr>
      <w:r w:rsidRPr="002F0BD2">
        <w:rPr>
          <w:lang w:val="ru-RU"/>
        </w:rPr>
        <w:t xml:space="preserve">«12.9 </w:t>
      </w:r>
      <w:r w:rsidRPr="002F0BD2">
        <w:rPr>
          <w:lang w:val="ru-RU"/>
        </w:rPr>
        <w:tab/>
      </w:r>
      <w:r w:rsidRPr="002F0BD2">
        <w:rPr>
          <w:shd w:val="clear" w:color="auto" w:fill="FFFFFF"/>
          <w:lang w:val="ru-RU"/>
        </w:rPr>
        <w:t xml:space="preserve">С момента вступления в силу дополнения 3 применительно ко всем официальным утверждениям, предоставляемым на основании настоящих Правил, принимается стандарт </w:t>
      </w:r>
      <w:r w:rsidRPr="002F0BD2">
        <w:rPr>
          <w:shd w:val="clear" w:color="auto" w:fill="FFFFFF"/>
        </w:rPr>
        <w:t>ISO</w:t>
      </w:r>
      <w:r w:rsidRPr="002F0BD2">
        <w:rPr>
          <w:shd w:val="clear" w:color="auto" w:fill="FFFFFF"/>
          <w:lang w:val="ru-RU"/>
        </w:rPr>
        <w:t xml:space="preserve"> 108</w:t>
      </w:r>
      <w:r>
        <w:rPr>
          <w:shd w:val="clear" w:color="auto" w:fill="FFFFFF"/>
          <w:lang w:val="ru-RU"/>
        </w:rPr>
        <w:t>4</w:t>
      </w:r>
      <w:r w:rsidRPr="002F0BD2">
        <w:rPr>
          <w:shd w:val="clear" w:color="auto" w:fill="FFFFFF"/>
          <w:lang w:val="ru-RU"/>
        </w:rPr>
        <w:t xml:space="preserve">4 4:2021. До истечения пяти лет после вступления в силу дополнения 3 применительно ко всем официальным утверждениям, предоставляемым на основании настоящих Правил, принимается стандарт </w:t>
      </w:r>
      <w:r w:rsidRPr="002F0BD2">
        <w:rPr>
          <w:shd w:val="clear" w:color="auto" w:fill="FFFFFF"/>
        </w:rPr>
        <w:t>ISO</w:t>
      </w:r>
      <w:r w:rsidRPr="002F0BD2">
        <w:rPr>
          <w:shd w:val="clear" w:color="auto" w:fill="FFFFFF"/>
          <w:lang w:val="ru-RU"/>
        </w:rPr>
        <w:t xml:space="preserve"> 10844:2014».</w:t>
      </w:r>
    </w:p>
    <w:p w14:paraId="06825326" w14:textId="77777777" w:rsidR="00517234" w:rsidRPr="002F0BD2" w:rsidRDefault="00517234" w:rsidP="00517234">
      <w:pPr>
        <w:pStyle w:val="SingleTxtG"/>
        <w:ind w:left="1985" w:hanging="851"/>
      </w:pPr>
      <w:r w:rsidRPr="002F0BD2">
        <w:rPr>
          <w:i/>
        </w:rPr>
        <w:t xml:space="preserve">Приложение 3, пункт 1.2.1 </w:t>
      </w:r>
      <w:r w:rsidRPr="002F0BD2">
        <w:rPr>
          <w:shd w:val="clear" w:color="auto" w:fill="FFFFFF"/>
        </w:rPr>
        <w:t>изменить следующим образом</w:t>
      </w:r>
      <w:r w:rsidRPr="002F0BD2">
        <w:t>:</w:t>
      </w:r>
    </w:p>
    <w:p w14:paraId="50BC9246" w14:textId="77777777" w:rsidR="00517234" w:rsidRPr="002F0BD2" w:rsidRDefault="00517234" w:rsidP="00517234">
      <w:pPr>
        <w:pStyle w:val="para"/>
        <w:ind w:left="1985" w:hanging="851"/>
        <w:rPr>
          <w:lang w:val="ru-RU"/>
        </w:rPr>
      </w:pPr>
      <w:r w:rsidRPr="002F0BD2">
        <w:rPr>
          <w:lang w:val="ru-RU"/>
        </w:rPr>
        <w:t>«1.2.1</w:t>
      </w:r>
      <w:r w:rsidRPr="002F0BD2">
        <w:rPr>
          <w:lang w:val="ru-RU"/>
        </w:rPr>
        <w:tab/>
      </w:r>
      <w:r w:rsidRPr="002F0BD2">
        <w:rPr>
          <w:lang w:val="ru-RU"/>
        </w:rPr>
        <w:tab/>
        <w:t>Испытательная площадка</w:t>
      </w:r>
    </w:p>
    <w:p w14:paraId="6D446D7B" w14:textId="77777777" w:rsidR="00517234" w:rsidRPr="002F0BD2" w:rsidRDefault="00517234" w:rsidP="00517234">
      <w:pPr>
        <w:pStyle w:val="SingleTxtG"/>
        <w:ind w:left="2268" w:right="1133"/>
        <w:rPr>
          <w:rFonts w:eastAsia="Yu Mincho"/>
          <w:iCs/>
        </w:rPr>
      </w:pPr>
      <w:r w:rsidRPr="002F0BD2">
        <w:t>Испытательная площадка состоит из расположенного в ее центре участка для ускорения, поверхность вокруг которого должна быть практически горизонтальной. Участок для ускорения должен быть ровным, а его покрытие — сухим и спроектировано таким образом, чтобы уровень шума от качения был низким.</w:t>
      </w:r>
    </w:p>
    <w:p w14:paraId="7528F0A8" w14:textId="77777777" w:rsidR="00517234" w:rsidRPr="002F0BD2" w:rsidRDefault="00517234" w:rsidP="00517234">
      <w:pPr>
        <w:pStyle w:val="SingleTxtG"/>
        <w:ind w:left="2268" w:right="1133"/>
        <w:rPr>
          <w:rFonts w:eastAsia="Yu Mincho"/>
          <w:iCs/>
        </w:rPr>
      </w:pPr>
      <w:r w:rsidRPr="002F0BD2">
        <w:t xml:space="preserve">На испытательной площадке колебания в пределах свободного звукового поля между источником звука, находящимся в центре участка для ускорения, и микрофоном не должны превышать 1дБ(A). Это условие считается выполненным, если в пределах 50 м от центра участка для ускорения нет таких крупных </w:t>
      </w:r>
      <w:proofErr w:type="spellStart"/>
      <w:r w:rsidRPr="002F0BD2">
        <w:t>звукоотражающих</w:t>
      </w:r>
      <w:proofErr w:type="spellEnd"/>
      <w:r w:rsidRPr="002F0BD2">
        <w:t xml:space="preserve"> объектов, как ограждения, скалы, мосты или здания. </w:t>
      </w:r>
      <w:bookmarkStart w:id="2" w:name="_Hlk137933070"/>
      <w:r w:rsidRPr="002F0BD2">
        <w:t xml:space="preserve">Дорожное покрытие испытательной площадки должно соответствовать требованиям стандарта </w:t>
      </w:r>
      <w:bookmarkEnd w:id="2"/>
      <w:r w:rsidRPr="002F0BD2">
        <w:rPr>
          <w:lang w:eastAsia="de-CH"/>
        </w:rPr>
        <w:t>ISO</w:t>
      </w:r>
      <w:r w:rsidRPr="00970851">
        <w:rPr>
          <w:lang w:eastAsia="de-CH"/>
        </w:rPr>
        <w:t>10844:2021</w:t>
      </w:r>
      <w:r w:rsidRPr="002F0BD2">
        <w:t>.</w:t>
      </w:r>
    </w:p>
    <w:p w14:paraId="3EA5494E" w14:textId="77777777" w:rsidR="00517234" w:rsidRPr="002F0BD2" w:rsidRDefault="00517234" w:rsidP="00517234">
      <w:pPr>
        <w:pStyle w:val="SingleTxtG"/>
        <w:ind w:left="2268" w:right="1133"/>
        <w:rPr>
          <w:rFonts w:eastAsia="Yu Mincho"/>
          <w:iCs/>
        </w:rPr>
      </w:pPr>
      <w:r w:rsidRPr="002F0BD2">
        <w:t>Наличия преград вблизи микрофона, способных повлиять на звуковое поле, и нахождения людей между микрофоном и источником звука не допускается. Наблюдатель, производящий измерения, размещается таким образом, чтобы его присутствие не влияло на показания измерительного прибора».</w:t>
      </w:r>
    </w:p>
    <w:p w14:paraId="59A131C3" w14:textId="65F9FAF1" w:rsidR="00E12C5F" w:rsidRDefault="00517234" w:rsidP="00517234">
      <w:pPr>
        <w:pStyle w:val="SingleTxtG"/>
        <w:ind w:left="1985" w:hanging="851"/>
        <w:rPr>
          <w:rFonts w:eastAsia="MS PGothic"/>
          <w:bCs/>
        </w:rPr>
      </w:pPr>
      <w:r w:rsidRPr="002F0BD2">
        <w:rPr>
          <w:i/>
        </w:rPr>
        <w:t xml:space="preserve">Приложение 6, </w:t>
      </w:r>
      <w:r w:rsidRPr="002F0BD2">
        <w:rPr>
          <w:rFonts w:eastAsia="MS PGothic"/>
          <w:bCs/>
          <w:i/>
          <w:iCs/>
        </w:rPr>
        <w:t xml:space="preserve">подстрочное примечание </w:t>
      </w:r>
      <w:r w:rsidRPr="002F0BD2">
        <w:rPr>
          <w:rFonts w:eastAsia="MS PGothic"/>
          <w:bCs/>
          <w:i/>
          <w:iCs/>
          <w:lang w:val="en-US"/>
        </w:rPr>
        <w:t>a</w:t>
      </w:r>
      <w:r w:rsidRPr="002F0BD2">
        <w:rPr>
          <w:rFonts w:eastAsia="MS PGothic"/>
          <w:bCs/>
          <w:i/>
          <w:iCs/>
        </w:rPr>
        <w:t xml:space="preserve"> </w:t>
      </w:r>
      <w:r w:rsidRPr="002F0BD2">
        <w:rPr>
          <w:rFonts w:eastAsia="MS PGothic"/>
          <w:bCs/>
        </w:rPr>
        <w:t>исключить.</w:t>
      </w:r>
    </w:p>
    <w:p w14:paraId="29F45E8B" w14:textId="77777777" w:rsidR="00517234" w:rsidRPr="002F0BD2" w:rsidRDefault="00517234" w:rsidP="00517234">
      <w:pPr>
        <w:spacing w:before="240"/>
        <w:jc w:val="center"/>
        <w:rPr>
          <w:u w:val="single"/>
        </w:rPr>
      </w:pPr>
      <w:r w:rsidRPr="002F0BD2">
        <w:rPr>
          <w:u w:val="single"/>
        </w:rPr>
        <w:tab/>
      </w:r>
      <w:r w:rsidRPr="002F0BD2">
        <w:rPr>
          <w:u w:val="single"/>
        </w:rPr>
        <w:tab/>
      </w:r>
      <w:r w:rsidRPr="002F0BD2">
        <w:rPr>
          <w:u w:val="single"/>
        </w:rPr>
        <w:tab/>
      </w:r>
    </w:p>
    <w:sectPr w:rsidR="00517234" w:rsidRPr="002F0BD2" w:rsidSect="0051723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18A5" w14:textId="77777777" w:rsidR="00BB3A0A" w:rsidRPr="00A312BC" w:rsidRDefault="00BB3A0A" w:rsidP="00A312BC"/>
  </w:endnote>
  <w:endnote w:type="continuationSeparator" w:id="0">
    <w:p w14:paraId="2D156FC2" w14:textId="77777777" w:rsidR="00BB3A0A" w:rsidRPr="00A312BC" w:rsidRDefault="00BB3A0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5687" w14:textId="6E658FFB" w:rsidR="00517234" w:rsidRPr="00517234" w:rsidRDefault="00517234">
    <w:pPr>
      <w:pStyle w:val="a8"/>
    </w:pPr>
    <w:r w:rsidRPr="00517234">
      <w:rPr>
        <w:b/>
        <w:sz w:val="18"/>
      </w:rPr>
      <w:fldChar w:fldCharType="begin"/>
    </w:r>
    <w:r w:rsidRPr="00517234">
      <w:rPr>
        <w:b/>
        <w:sz w:val="18"/>
      </w:rPr>
      <w:instrText xml:space="preserve"> PAGE  \* MERGEFORMAT </w:instrText>
    </w:r>
    <w:r w:rsidRPr="00517234">
      <w:rPr>
        <w:b/>
        <w:sz w:val="18"/>
      </w:rPr>
      <w:fldChar w:fldCharType="separate"/>
    </w:r>
    <w:r w:rsidRPr="00517234">
      <w:rPr>
        <w:b/>
        <w:noProof/>
        <w:sz w:val="18"/>
      </w:rPr>
      <w:t>2</w:t>
    </w:r>
    <w:r w:rsidRPr="00517234">
      <w:rPr>
        <w:b/>
        <w:sz w:val="18"/>
      </w:rPr>
      <w:fldChar w:fldCharType="end"/>
    </w:r>
    <w:r>
      <w:rPr>
        <w:b/>
        <w:sz w:val="18"/>
      </w:rPr>
      <w:tab/>
    </w:r>
    <w:r>
      <w:t>GE.24-06259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F47F" w14:textId="27E22D53" w:rsidR="00517234" w:rsidRPr="00517234" w:rsidRDefault="00517234" w:rsidP="00517234">
    <w:pPr>
      <w:pStyle w:val="a8"/>
      <w:tabs>
        <w:tab w:val="clear" w:pos="9639"/>
        <w:tab w:val="right" w:pos="9638"/>
      </w:tabs>
      <w:rPr>
        <w:b/>
        <w:sz w:val="18"/>
      </w:rPr>
    </w:pPr>
    <w:r>
      <w:t>GE.24-06259</w:t>
    </w:r>
    <w:r>
      <w:tab/>
    </w:r>
    <w:r w:rsidRPr="00517234">
      <w:rPr>
        <w:b/>
        <w:sz w:val="18"/>
      </w:rPr>
      <w:fldChar w:fldCharType="begin"/>
    </w:r>
    <w:r w:rsidRPr="00517234">
      <w:rPr>
        <w:b/>
        <w:sz w:val="18"/>
      </w:rPr>
      <w:instrText xml:space="preserve"> PAGE  \* MERGEFORMAT </w:instrText>
    </w:r>
    <w:r w:rsidRPr="00517234">
      <w:rPr>
        <w:b/>
        <w:sz w:val="18"/>
      </w:rPr>
      <w:fldChar w:fldCharType="separate"/>
    </w:r>
    <w:r w:rsidRPr="00517234">
      <w:rPr>
        <w:b/>
        <w:noProof/>
        <w:sz w:val="18"/>
      </w:rPr>
      <w:t>3</w:t>
    </w:r>
    <w:r w:rsidRPr="0051723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2E15" w14:textId="0CA44007" w:rsidR="00042B72" w:rsidRPr="00517234" w:rsidRDefault="00517234" w:rsidP="00517234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BCF9218" wp14:editId="343BE051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24-06259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233B00B" wp14:editId="62C481E2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150424  150424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CA91" w14:textId="77777777" w:rsidR="00BB3A0A" w:rsidRPr="001075E9" w:rsidRDefault="00BB3A0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F85ACE8" w14:textId="77777777" w:rsidR="00BB3A0A" w:rsidRDefault="00BB3A0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21CE5F0" w14:textId="77777777" w:rsidR="00517234" w:rsidRPr="00EA370C" w:rsidRDefault="00517234" w:rsidP="00517234">
      <w:pPr>
        <w:pStyle w:val="ad"/>
        <w:jc w:val="both"/>
        <w:rPr>
          <w:lang w:val="en-US"/>
        </w:rPr>
      </w:pPr>
      <w:r>
        <w:tab/>
      </w:r>
      <w:r w:rsidRPr="00517234">
        <w:rPr>
          <w:rStyle w:val="aa"/>
          <w:sz w:val="20"/>
          <w:vertAlign w:val="baseline"/>
        </w:rPr>
        <w:t>*</w:t>
      </w:r>
      <w:r w:rsidRPr="00D04B5E">
        <w:rPr>
          <w:sz w:val="20"/>
        </w:rPr>
        <w:tab/>
      </w:r>
      <w:r w:rsidRPr="00596E1C">
        <w:t>В соответствии с программой работы Комитета по внутреннему транспорту на 202</w:t>
      </w:r>
      <w:r>
        <w:t>4</w:t>
      </w:r>
      <w:r w:rsidRPr="00596E1C">
        <w:t xml:space="preserve"> год, изложенной в предлагаемом бюджете по программам на 202</w:t>
      </w:r>
      <w:r>
        <w:t>4</w:t>
      </w:r>
      <w:r w:rsidRPr="00596E1C">
        <w:t xml:space="preserve"> год (</w:t>
      </w:r>
      <w:r>
        <w:t>A</w:t>
      </w:r>
      <w:r w:rsidRPr="00596E1C">
        <w:t>/7</w:t>
      </w:r>
      <w:r>
        <w:t>8</w:t>
      </w:r>
      <w:r w:rsidRPr="00596E1C">
        <w:t>/6 (разд. 20), таблица</w:t>
      </w:r>
      <w:r>
        <w:rPr>
          <w:lang w:val="en-US"/>
        </w:rPr>
        <w:t> </w:t>
      </w:r>
      <w:r w:rsidRPr="00596E1C">
        <w:t>20.</w:t>
      </w:r>
      <w:r>
        <w:t>5</w:t>
      </w:r>
      <w:r w:rsidRPr="00596E1C">
        <w:t>), Всемирный форум будет разрабатывать, согласовывать и обновлять правила</w:t>
      </w:r>
      <w:r>
        <w:rPr>
          <w:lang w:val="en-US"/>
        </w:rPr>
        <w:t> </w:t>
      </w:r>
      <w:r w:rsidRPr="00596E1C">
        <w:t>ООН в целях улучшения характеристик транспортных средств. Настоящий документ представлен в соответствии с этим мандатом</w:t>
      </w:r>
      <w:r>
        <w:rPr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BF00" w14:textId="620F0127" w:rsidR="00517234" w:rsidRPr="00517234" w:rsidRDefault="00517234">
    <w:pPr>
      <w:pStyle w:val="a5"/>
    </w:pPr>
    <w:fldSimple w:instr=" TITLE  \* MERGEFORMAT ">
      <w:r w:rsidR="0023425B">
        <w:t>ECE/TRANS/WP.29/2024/68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8C1" w14:textId="0D2F3332" w:rsidR="00517234" w:rsidRPr="00517234" w:rsidRDefault="00517234" w:rsidP="00517234">
    <w:pPr>
      <w:pStyle w:val="a5"/>
      <w:jc w:val="right"/>
    </w:pPr>
    <w:fldSimple w:instr=" TITLE  \* MERGEFORMAT ">
      <w:r w:rsidR="0023425B">
        <w:t>ECE/TRANS/WP.29/2024/68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0A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3425B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6721A"/>
    <w:rsid w:val="00472C5C"/>
    <w:rsid w:val="00485F8A"/>
    <w:rsid w:val="004A5910"/>
    <w:rsid w:val="004E05B7"/>
    <w:rsid w:val="0050108D"/>
    <w:rsid w:val="00513081"/>
    <w:rsid w:val="00517234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B3A0A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7891F"/>
  <w15:docId w15:val="{C4DA25CC-1165-4C89-859B-0F82C5D3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4_GR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517234"/>
    <w:rPr>
      <w:lang w:val="ru-RU" w:eastAsia="en-US"/>
    </w:rPr>
  </w:style>
  <w:style w:type="character" w:customStyle="1" w:styleId="HChGChar">
    <w:name w:val="_ H _Ch_G Char"/>
    <w:link w:val="HChG"/>
    <w:locked/>
    <w:rsid w:val="00517234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517234"/>
    <w:rPr>
      <w:b/>
      <w:sz w:val="24"/>
      <w:lang w:val="ru-RU" w:eastAsia="ru-RU"/>
    </w:rPr>
  </w:style>
  <w:style w:type="paragraph" w:customStyle="1" w:styleId="para">
    <w:name w:val="para"/>
    <w:basedOn w:val="a"/>
    <w:link w:val="paraChar"/>
    <w:qFormat/>
    <w:rsid w:val="00517234"/>
    <w:pPr>
      <w:suppressAutoHyphens w:val="0"/>
      <w:spacing w:after="120"/>
      <w:ind w:left="2268" w:right="1134" w:hanging="1134"/>
      <w:jc w:val="both"/>
    </w:pPr>
    <w:rPr>
      <w:rFonts w:eastAsia="Yu Mincho" w:cs="Times New Roman"/>
      <w:snapToGrid w:val="0"/>
      <w:szCs w:val="20"/>
      <w:lang w:val="fr-FR"/>
    </w:rPr>
  </w:style>
  <w:style w:type="character" w:customStyle="1" w:styleId="paraChar">
    <w:name w:val="para Char"/>
    <w:link w:val="para"/>
    <w:rsid w:val="00517234"/>
    <w:rPr>
      <w:rFonts w:eastAsia="Yu Mincho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D746F-BBE0-4EF8-A507-7B777E0B447D}"/>
</file>

<file path=customXml/itemProps2.xml><?xml version="1.0" encoding="utf-8"?>
<ds:datastoreItem xmlns:ds="http://schemas.openxmlformats.org/officeDocument/2006/customXml" ds:itemID="{73764D6D-1749-4877-8ACE-CD4935A834AB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320</Words>
  <Characters>2849</Characters>
  <Application>Microsoft Office Word</Application>
  <DocSecurity>0</DocSecurity>
  <Lines>259</Lines>
  <Paragraphs>105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ECE/TRANS/WP.29/2024/68</vt:lpstr>
      <vt:lpstr>A/</vt:lpstr>
      <vt:lpstr>A/</vt:lpstr>
    </vt:vector>
  </TitlesOfParts>
  <Company>DCM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ECE/TRANS/WP.29/2024/68</dc:title>
  <dc:subject/>
  <dc:creator>Tatiana CHVETS</dc:creator>
  <cp:keywords/>
  <cp:lastModifiedBy>Tatiana Chvets</cp:lastModifiedBy>
  <cp:revision>3</cp:revision>
  <cp:lastPrinted>2024-04-15T10:12:00Z</cp:lastPrinted>
  <dcterms:created xsi:type="dcterms:W3CDTF">2024-04-15T10:11:00Z</dcterms:created>
  <dcterms:modified xsi:type="dcterms:W3CDTF">2024-04-15T10:12:00Z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