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0B761BB" w14:textId="77777777" w:rsidTr="00C97039">
        <w:trPr>
          <w:trHeight w:hRule="exact" w:val="851"/>
        </w:trPr>
        <w:tc>
          <w:tcPr>
            <w:tcW w:w="1276" w:type="dxa"/>
            <w:tcBorders>
              <w:bottom w:val="single" w:sz="4" w:space="0" w:color="auto"/>
            </w:tcBorders>
          </w:tcPr>
          <w:p w14:paraId="7E26CD57" w14:textId="77777777" w:rsidR="00F35BAF" w:rsidRPr="00DB58B5" w:rsidRDefault="00F35BAF" w:rsidP="00A12942"/>
        </w:tc>
        <w:tc>
          <w:tcPr>
            <w:tcW w:w="2268" w:type="dxa"/>
            <w:tcBorders>
              <w:bottom w:val="single" w:sz="4" w:space="0" w:color="auto"/>
            </w:tcBorders>
            <w:vAlign w:val="bottom"/>
          </w:tcPr>
          <w:p w14:paraId="31A06BE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2577884" w14:textId="58FE6006" w:rsidR="00F35BAF" w:rsidRPr="00DB58B5" w:rsidRDefault="00A12942" w:rsidP="00A12942">
            <w:pPr>
              <w:jc w:val="right"/>
            </w:pPr>
            <w:r w:rsidRPr="00A12942">
              <w:rPr>
                <w:sz w:val="40"/>
              </w:rPr>
              <w:t>ECE</w:t>
            </w:r>
            <w:r>
              <w:t>/TRANS/WP.29/2024/53</w:t>
            </w:r>
          </w:p>
        </w:tc>
      </w:tr>
      <w:tr w:rsidR="00F35BAF" w:rsidRPr="00DB58B5" w14:paraId="01EB922F" w14:textId="77777777" w:rsidTr="00C97039">
        <w:trPr>
          <w:trHeight w:hRule="exact" w:val="2835"/>
        </w:trPr>
        <w:tc>
          <w:tcPr>
            <w:tcW w:w="1276" w:type="dxa"/>
            <w:tcBorders>
              <w:top w:val="single" w:sz="4" w:space="0" w:color="auto"/>
              <w:bottom w:val="single" w:sz="12" w:space="0" w:color="auto"/>
            </w:tcBorders>
          </w:tcPr>
          <w:p w14:paraId="362D0D7D" w14:textId="77777777" w:rsidR="00F35BAF" w:rsidRPr="00DB58B5" w:rsidRDefault="00F35BAF" w:rsidP="00C97039">
            <w:pPr>
              <w:spacing w:before="120"/>
              <w:jc w:val="center"/>
            </w:pPr>
            <w:r>
              <w:rPr>
                <w:noProof/>
                <w:lang w:eastAsia="fr-CH"/>
              </w:rPr>
              <w:drawing>
                <wp:inline distT="0" distB="0" distL="0" distR="0" wp14:anchorId="0A1A2701" wp14:editId="28570D8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6B43F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E5518C4" w14:textId="77777777" w:rsidR="00F35BAF" w:rsidRDefault="00A12942" w:rsidP="00C97039">
            <w:pPr>
              <w:spacing w:before="240"/>
            </w:pPr>
            <w:proofErr w:type="spellStart"/>
            <w:r>
              <w:t>Distr</w:t>
            </w:r>
            <w:proofErr w:type="spellEnd"/>
            <w:r>
              <w:t>. générale</w:t>
            </w:r>
          </w:p>
          <w:p w14:paraId="7A95C65A" w14:textId="77777777" w:rsidR="00A12942" w:rsidRDefault="00A12942" w:rsidP="00A12942">
            <w:pPr>
              <w:spacing w:line="240" w:lineRule="exact"/>
            </w:pPr>
            <w:r>
              <w:t>11 avril 2024</w:t>
            </w:r>
          </w:p>
          <w:p w14:paraId="33C56126" w14:textId="77777777" w:rsidR="00A12942" w:rsidRDefault="00A12942" w:rsidP="00A12942">
            <w:pPr>
              <w:spacing w:line="240" w:lineRule="exact"/>
            </w:pPr>
            <w:r>
              <w:t>Français</w:t>
            </w:r>
          </w:p>
          <w:p w14:paraId="231BF0A4" w14:textId="6F53B106" w:rsidR="00A12942" w:rsidRPr="00DB58B5" w:rsidRDefault="00A12942" w:rsidP="00A12942">
            <w:pPr>
              <w:spacing w:line="240" w:lineRule="exact"/>
            </w:pPr>
            <w:r>
              <w:t>Original : anglais</w:t>
            </w:r>
          </w:p>
        </w:tc>
      </w:tr>
    </w:tbl>
    <w:p w14:paraId="4553B6F1" w14:textId="77777777" w:rsidR="007F20FA" w:rsidRPr="000312C0" w:rsidRDefault="007F20FA" w:rsidP="007F20FA">
      <w:pPr>
        <w:spacing w:before="120"/>
        <w:rPr>
          <w:b/>
          <w:sz w:val="28"/>
          <w:szCs w:val="28"/>
        </w:rPr>
      </w:pPr>
      <w:r w:rsidRPr="000312C0">
        <w:rPr>
          <w:b/>
          <w:sz w:val="28"/>
          <w:szCs w:val="28"/>
        </w:rPr>
        <w:t>Commission économique pour l’Europe</w:t>
      </w:r>
    </w:p>
    <w:p w14:paraId="379E194A" w14:textId="77777777" w:rsidR="007F20FA" w:rsidRDefault="007F20FA" w:rsidP="007F20FA">
      <w:pPr>
        <w:spacing w:before="120"/>
        <w:rPr>
          <w:sz w:val="28"/>
          <w:szCs w:val="28"/>
        </w:rPr>
      </w:pPr>
      <w:r w:rsidRPr="00685843">
        <w:rPr>
          <w:sz w:val="28"/>
          <w:szCs w:val="28"/>
        </w:rPr>
        <w:t>Comité des transports intérieurs</w:t>
      </w:r>
    </w:p>
    <w:p w14:paraId="73406ADE" w14:textId="76B8E464" w:rsidR="00A12942" w:rsidRPr="00A12942" w:rsidRDefault="00A12942" w:rsidP="00A12942">
      <w:pPr>
        <w:spacing w:before="120"/>
        <w:rPr>
          <w:b/>
          <w:sz w:val="32"/>
          <w:szCs w:val="32"/>
          <w:lang w:val="fr-FR"/>
        </w:rPr>
      </w:pPr>
      <w:r w:rsidRPr="00A12942">
        <w:rPr>
          <w:b/>
          <w:bCs/>
          <w:sz w:val="24"/>
          <w:szCs w:val="24"/>
          <w:lang w:val="fr-FR"/>
        </w:rPr>
        <w:t xml:space="preserve">Forum mondial de l’harmonisation </w:t>
      </w:r>
      <w:r>
        <w:rPr>
          <w:b/>
          <w:bCs/>
          <w:sz w:val="24"/>
          <w:szCs w:val="24"/>
          <w:lang w:val="fr-FR"/>
        </w:rPr>
        <w:br/>
      </w:r>
      <w:r w:rsidRPr="00A12942">
        <w:rPr>
          <w:b/>
          <w:bCs/>
          <w:sz w:val="24"/>
          <w:szCs w:val="24"/>
          <w:lang w:val="fr-FR"/>
        </w:rPr>
        <w:t>des Règlements concernant les véhicules</w:t>
      </w:r>
    </w:p>
    <w:p w14:paraId="0950AB22" w14:textId="77777777" w:rsidR="00A12942" w:rsidRPr="00384647" w:rsidRDefault="00A12942" w:rsidP="00A12942">
      <w:pPr>
        <w:spacing w:before="120"/>
        <w:rPr>
          <w:b/>
          <w:lang w:val="fr-FR"/>
        </w:rPr>
      </w:pPr>
      <w:r>
        <w:rPr>
          <w:b/>
          <w:bCs/>
          <w:lang w:val="fr-FR"/>
        </w:rPr>
        <w:t>193</w:t>
      </w:r>
      <w:r w:rsidRPr="001305FB">
        <w:rPr>
          <w:b/>
          <w:bCs/>
          <w:vertAlign w:val="superscript"/>
          <w:lang w:val="fr-FR"/>
        </w:rPr>
        <w:t>e</w:t>
      </w:r>
      <w:r>
        <w:rPr>
          <w:b/>
          <w:bCs/>
          <w:lang w:val="fr-FR"/>
        </w:rPr>
        <w:t xml:space="preserve"> session</w:t>
      </w:r>
    </w:p>
    <w:p w14:paraId="76C1DACA" w14:textId="77777777" w:rsidR="00A12942" w:rsidRPr="00384647" w:rsidRDefault="00A12942" w:rsidP="00A12942">
      <w:pPr>
        <w:rPr>
          <w:lang w:val="fr-FR"/>
        </w:rPr>
      </w:pPr>
      <w:r>
        <w:rPr>
          <w:lang w:val="fr-FR"/>
        </w:rPr>
        <w:t>Genève, 25-28 juin 2024</w:t>
      </w:r>
    </w:p>
    <w:p w14:paraId="05F3745E" w14:textId="77777777" w:rsidR="00A12942" w:rsidRPr="00384647" w:rsidRDefault="00A12942" w:rsidP="00A12942">
      <w:pPr>
        <w:rPr>
          <w:lang w:val="fr-FR"/>
        </w:rPr>
      </w:pPr>
      <w:r>
        <w:rPr>
          <w:lang w:val="fr-FR"/>
        </w:rPr>
        <w:t>Point 4.7.9 de l’ordre du jour provisoire</w:t>
      </w:r>
    </w:p>
    <w:p w14:paraId="67C3ECB9" w14:textId="77777777" w:rsidR="00A12942" w:rsidRPr="00384647" w:rsidRDefault="00A12942" w:rsidP="00A12942">
      <w:pPr>
        <w:rPr>
          <w:b/>
          <w:lang w:val="fr-FR"/>
        </w:rPr>
      </w:pPr>
      <w:r>
        <w:rPr>
          <w:b/>
          <w:bCs/>
          <w:lang w:val="fr-FR"/>
        </w:rPr>
        <w:t>Accord de 1958 :</w:t>
      </w:r>
    </w:p>
    <w:p w14:paraId="342C48D0" w14:textId="529D437A" w:rsidR="00A12942" w:rsidRPr="00384647" w:rsidRDefault="00A12942" w:rsidP="00A12942">
      <w:pPr>
        <w:rPr>
          <w:b/>
          <w:bCs/>
          <w:lang w:val="fr-FR"/>
        </w:rPr>
      </w:pPr>
      <w:r>
        <w:rPr>
          <w:b/>
          <w:bCs/>
          <w:lang w:val="fr-FR"/>
        </w:rPr>
        <w:t xml:space="preserve">Examen de projets d’amendements à des Règlements ONU </w:t>
      </w:r>
      <w:r>
        <w:rPr>
          <w:b/>
          <w:bCs/>
          <w:lang w:val="fr-FR"/>
        </w:rPr>
        <w:br/>
      </w:r>
      <w:r>
        <w:rPr>
          <w:b/>
          <w:bCs/>
          <w:lang w:val="fr-FR"/>
        </w:rPr>
        <w:t>existants,</w:t>
      </w:r>
      <w:r>
        <w:rPr>
          <w:b/>
          <w:bCs/>
          <w:lang w:val="fr-FR"/>
        </w:rPr>
        <w:t xml:space="preserve"> </w:t>
      </w:r>
      <w:r>
        <w:rPr>
          <w:b/>
          <w:bCs/>
          <w:lang w:val="fr-FR"/>
        </w:rPr>
        <w:t>soumis par le GRPE</w:t>
      </w:r>
    </w:p>
    <w:p w14:paraId="21F21D4B" w14:textId="41321E5A" w:rsidR="00A12942" w:rsidRPr="00384647" w:rsidRDefault="00A12942" w:rsidP="00A12942">
      <w:pPr>
        <w:pStyle w:val="HChG"/>
        <w:rPr>
          <w:lang w:val="fr-FR"/>
        </w:rPr>
      </w:pPr>
      <w:r>
        <w:rPr>
          <w:lang w:val="fr-FR"/>
        </w:rPr>
        <w:tab/>
      </w:r>
      <w:r>
        <w:rPr>
          <w:lang w:val="fr-FR"/>
        </w:rPr>
        <w:tab/>
      </w:r>
      <w:r>
        <w:rPr>
          <w:lang w:val="fr-FR"/>
        </w:rPr>
        <w:t xml:space="preserve">Proposition de complément 13 à la série 01 d’amendements au Règlement ONU </w:t>
      </w:r>
      <w:r w:rsidRPr="00A12942">
        <w:rPr>
          <w:rFonts w:eastAsia="MS Mincho"/>
          <w:lang w:val="fr-FR"/>
        </w:rPr>
        <w:t>n</w:t>
      </w:r>
      <w:r w:rsidRPr="00A12942">
        <w:rPr>
          <w:rFonts w:eastAsia="MS Mincho"/>
          <w:vertAlign w:val="superscript"/>
          <w:lang w:val="fr-FR"/>
        </w:rPr>
        <w:t>o</w:t>
      </w:r>
      <w:r>
        <w:rPr>
          <w:lang w:val="fr-FR"/>
        </w:rPr>
        <w:t> </w:t>
      </w:r>
      <w:r>
        <w:rPr>
          <w:lang w:val="fr-FR"/>
        </w:rPr>
        <w:t>101 (Émissions de CO</w:t>
      </w:r>
      <w:r w:rsidRPr="00384647">
        <w:rPr>
          <w:vertAlign w:val="subscript"/>
          <w:lang w:val="fr-FR"/>
        </w:rPr>
        <w:t>2</w:t>
      </w:r>
      <w:r>
        <w:rPr>
          <w:lang w:val="fr-FR"/>
        </w:rPr>
        <w:t>/consommation de carburant)</w:t>
      </w:r>
    </w:p>
    <w:p w14:paraId="605A95E5" w14:textId="7F371754" w:rsidR="00A12942" w:rsidRPr="00384647" w:rsidRDefault="00A12942" w:rsidP="00A12942">
      <w:pPr>
        <w:pStyle w:val="H1G"/>
        <w:rPr>
          <w:szCs w:val="24"/>
          <w:lang w:val="fr-FR"/>
        </w:rPr>
      </w:pPr>
      <w:r>
        <w:rPr>
          <w:lang w:val="fr-FR"/>
        </w:rPr>
        <w:tab/>
      </w:r>
      <w:r>
        <w:rPr>
          <w:lang w:val="fr-FR"/>
        </w:rPr>
        <w:tab/>
        <w:t>Communication du Groupe de travail de la pollution et de l’énergie</w:t>
      </w:r>
      <w:r w:rsidRPr="00A12942">
        <w:rPr>
          <w:rStyle w:val="Appelnotedebasdep"/>
          <w:b w:val="0"/>
          <w:bCs/>
          <w:sz w:val="20"/>
          <w:vertAlign w:val="baseline"/>
        </w:rPr>
        <w:footnoteReference w:customMarkFollows="1" w:id="2"/>
        <w:t>*</w:t>
      </w:r>
    </w:p>
    <w:p w14:paraId="0E354F41" w14:textId="39ED0220" w:rsidR="00A12942" w:rsidRPr="00384647" w:rsidRDefault="00A12942" w:rsidP="00A12942">
      <w:pPr>
        <w:pStyle w:val="SingleTxtG"/>
        <w:ind w:firstLine="567"/>
        <w:rPr>
          <w:sz w:val="24"/>
          <w:szCs w:val="24"/>
          <w:lang w:val="fr-FR"/>
        </w:rPr>
      </w:pPr>
      <w:r>
        <w:rPr>
          <w:lang w:val="fr-FR"/>
        </w:rPr>
        <w:t xml:space="preserve">Le </w:t>
      </w:r>
      <w:r>
        <w:rPr>
          <w:lang w:val="fr-FR"/>
        </w:rPr>
        <w:t>texte ci-après a été adopté par le Groupe de travail de la pollution et de l’énergie (GRPE) à sa quatre-vingt-dixième session (ECE/TRANS/WP.29/GRPE/90, par. 20). Il est fondé sur les documents ECE/TRANS/WP.29/GRPE/2024/9 et GRPE-90-39 tels que modifiés par l’annexe</w:t>
      </w:r>
      <w:r w:rsidR="001305FB">
        <w:rPr>
          <w:lang w:val="fr-FR"/>
        </w:rPr>
        <w:t> </w:t>
      </w:r>
      <w:r>
        <w:rPr>
          <w:lang w:val="fr-FR"/>
        </w:rPr>
        <w:t>VIII du rapport de la session. Il est soumis au Forum mondial de l’harmonisation des Règlements concernant les véhicules (WP.29) et au Comité d’administration de l’Accord de 1958 (AC.1) pour examen à leurs sessions de juin 2024.</w:t>
      </w:r>
    </w:p>
    <w:p w14:paraId="3E9AF074" w14:textId="77777777" w:rsidR="00A12942" w:rsidRPr="00384647" w:rsidRDefault="00A12942" w:rsidP="00A12942">
      <w:pPr>
        <w:pStyle w:val="SingleTxtG"/>
        <w:rPr>
          <w:lang w:val="fr-FR"/>
        </w:rPr>
      </w:pPr>
      <w:r w:rsidRPr="00384647">
        <w:rPr>
          <w:lang w:val="fr-FR"/>
        </w:rPr>
        <w:br w:type="page"/>
      </w:r>
    </w:p>
    <w:p w14:paraId="59077079" w14:textId="77777777" w:rsidR="00A12942" w:rsidRPr="00384647" w:rsidRDefault="00A12942" w:rsidP="00A12942">
      <w:pPr>
        <w:spacing w:after="120"/>
        <w:ind w:left="2268" w:right="1134" w:hanging="1134"/>
        <w:jc w:val="both"/>
        <w:rPr>
          <w:lang w:val="fr-FR"/>
        </w:rPr>
      </w:pPr>
      <w:r>
        <w:rPr>
          <w:i/>
          <w:iCs/>
          <w:lang w:val="fr-FR"/>
        </w:rPr>
        <w:lastRenderedPageBreak/>
        <w:t>Paragraphe 9.4.3.1</w:t>
      </w:r>
      <w:r>
        <w:rPr>
          <w:lang w:val="fr-FR"/>
        </w:rPr>
        <w:t>, lire :</w:t>
      </w:r>
    </w:p>
    <w:p w14:paraId="0D72C619" w14:textId="48206A8A" w:rsidR="00A12942" w:rsidRPr="00384647" w:rsidRDefault="00A12942" w:rsidP="00A12942">
      <w:pPr>
        <w:spacing w:after="120" w:line="240" w:lineRule="auto"/>
        <w:ind w:left="2268" w:right="1134" w:hanging="1134"/>
        <w:jc w:val="both"/>
        <w:rPr>
          <w:lang w:val="fr-FR"/>
        </w:rPr>
      </w:pPr>
      <w:r>
        <w:rPr>
          <w:lang w:val="fr-FR"/>
        </w:rPr>
        <w:t>« 9.4.3.1</w:t>
      </w:r>
      <w:r>
        <w:rPr>
          <w:lang w:val="fr-FR"/>
        </w:rPr>
        <w:tab/>
        <w:t>Le véhicule doit être préparé conformément à la procédure définie au paragraphe 5.2.2 de l’annexe 7 du présent Règlement.</w:t>
      </w:r>
    </w:p>
    <w:p w14:paraId="07267564" w14:textId="59C0BB7F" w:rsidR="00A12942" w:rsidRPr="00384647" w:rsidRDefault="00A12942" w:rsidP="00A12942">
      <w:pPr>
        <w:spacing w:after="120" w:line="240" w:lineRule="auto"/>
        <w:ind w:left="2268" w:right="1134"/>
        <w:jc w:val="both"/>
        <w:rPr>
          <w:lang w:val="fr-FR"/>
        </w:rPr>
      </w:pPr>
      <w:r>
        <w:rPr>
          <w:lang w:val="fr-FR"/>
        </w:rPr>
        <w:t>Au cours de la procédure de vérification de la conformité de la production, le critère de déconnexion automatique employé pour la procédure d’essai du type</w:t>
      </w:r>
      <w:r w:rsidR="001305FB">
        <w:rPr>
          <w:lang w:val="fr-FR"/>
        </w:rPr>
        <w:t> </w:t>
      </w:r>
      <w:r>
        <w:rPr>
          <w:lang w:val="fr-FR"/>
        </w:rPr>
        <w:t>1 conformément au paragraphe</w:t>
      </w:r>
      <w:r w:rsidR="00E62362">
        <w:rPr>
          <w:lang w:val="fr-FR"/>
        </w:rPr>
        <w:t> </w:t>
      </w:r>
      <w:r>
        <w:rPr>
          <w:lang w:val="fr-FR"/>
        </w:rPr>
        <w:t>5.2.3.1 de l’annexe</w:t>
      </w:r>
      <w:r w:rsidR="00E62362">
        <w:rPr>
          <w:lang w:val="fr-FR"/>
        </w:rPr>
        <w:t> </w:t>
      </w:r>
      <w:r>
        <w:rPr>
          <w:lang w:val="fr-FR"/>
        </w:rPr>
        <w:t>7 du présent Règlement (procédure avec cycles consécutifs) et au paragraphe 5.2.3.2 de l’annexe 7 du présent Règlement (procédure d’essai abrégée) est remplacé par ce qui suit :</w:t>
      </w:r>
    </w:p>
    <w:p w14:paraId="69723BAB" w14:textId="51E5EBA6" w:rsidR="00A12942" w:rsidRPr="00384647" w:rsidRDefault="00A12942" w:rsidP="00A12942">
      <w:pPr>
        <w:spacing w:after="120" w:line="240" w:lineRule="auto"/>
        <w:ind w:left="2268" w:right="1134"/>
        <w:jc w:val="both"/>
        <w:rPr>
          <w:lang w:val="fr-FR"/>
        </w:rPr>
      </w:pPr>
      <w:r>
        <w:rPr>
          <w:lang w:val="fr-FR"/>
        </w:rPr>
        <w:t xml:space="preserve">Le critère de déconnexion automatique de la procédure de vérification de la conformité de la production est atteint après l’achèvement des deux premiers cycles d’essai du nouveau cycle de conduite européen (New </w:t>
      </w:r>
      <w:proofErr w:type="spellStart"/>
      <w:r>
        <w:rPr>
          <w:lang w:val="fr-FR"/>
        </w:rPr>
        <w:t>European</w:t>
      </w:r>
      <w:proofErr w:type="spellEnd"/>
      <w:r>
        <w:rPr>
          <w:lang w:val="fr-FR"/>
        </w:rPr>
        <w:t xml:space="preserve"> Driving Cycle − NEDC) conformément au paragraphe 2 de l’annexe 7 du présent Règlement. »</w:t>
      </w:r>
      <w:r w:rsidR="00E62362">
        <w:rPr>
          <w:lang w:val="fr-FR"/>
        </w:rPr>
        <w:t>.</w:t>
      </w:r>
    </w:p>
    <w:p w14:paraId="5E67EDC1" w14:textId="77777777" w:rsidR="00A12942" w:rsidRPr="00384647" w:rsidRDefault="00A12942" w:rsidP="00A12942">
      <w:pPr>
        <w:spacing w:before="120" w:after="120"/>
        <w:ind w:left="1134" w:right="1134"/>
        <w:jc w:val="both"/>
        <w:rPr>
          <w:i/>
          <w:iCs/>
          <w:lang w:val="fr-FR"/>
        </w:rPr>
      </w:pPr>
      <w:r w:rsidRPr="00C4021E">
        <w:rPr>
          <w:i/>
          <w:iCs/>
          <w:lang w:val="fr-FR"/>
        </w:rPr>
        <w:t>Annexe 8, paragraphes 3.2.2.5 et 3.2.2.5.1</w:t>
      </w:r>
      <w:r>
        <w:rPr>
          <w:lang w:val="fr-FR"/>
        </w:rPr>
        <w:t>, lire :</w:t>
      </w:r>
    </w:p>
    <w:p w14:paraId="5418EEC3" w14:textId="1EA40567" w:rsidR="00A12942" w:rsidRPr="0021105B" w:rsidRDefault="00A12942" w:rsidP="00A12942">
      <w:pPr>
        <w:pStyle w:val="para"/>
      </w:pPr>
      <w:bookmarkStart w:id="0" w:name="_Hlk132877674"/>
      <w:r>
        <w:t>« 3.2.2.5</w:t>
      </w:r>
      <w:r>
        <w:tab/>
        <w:t>Application d’une charge normale</w:t>
      </w:r>
    </w:p>
    <w:p w14:paraId="5B8C8D06" w14:textId="77777777" w:rsidR="00A12942" w:rsidRPr="00384647" w:rsidRDefault="00A12942" w:rsidP="00A12942">
      <w:pPr>
        <w:suppressAutoHyphens w:val="0"/>
        <w:spacing w:after="120" w:line="240" w:lineRule="auto"/>
        <w:ind w:left="2268" w:right="1134"/>
        <w:jc w:val="both"/>
        <w:rPr>
          <w:lang w:val="fr-FR"/>
        </w:rPr>
      </w:pPr>
      <w:r>
        <w:rPr>
          <w:lang w:val="fr-FR"/>
        </w:rPr>
        <w:t>Une charge normale est un transfert d’électricité vers un véhicule électrique avec une puissance inférieure ou égale à 22 kW.</w:t>
      </w:r>
    </w:p>
    <w:p w14:paraId="3A0B0562" w14:textId="77777777" w:rsidR="00A12942" w:rsidRPr="00384647" w:rsidRDefault="00A12942" w:rsidP="00A12942">
      <w:pPr>
        <w:suppressAutoHyphens w:val="0"/>
        <w:spacing w:after="120" w:line="240" w:lineRule="auto"/>
        <w:ind w:left="2268" w:right="1134"/>
        <w:jc w:val="both"/>
        <w:rPr>
          <w:lang w:val="fr-FR"/>
        </w:rPr>
      </w:pPr>
      <w:r>
        <w:rPr>
          <w:lang w:val="fr-FR"/>
        </w:rPr>
        <w:t>Si plusieurs méthodes de charge en courant alternatif sont possibles (par exemple, par câble, par induction, etc.), la procédure de charge par câble doit être utilisée.</w:t>
      </w:r>
    </w:p>
    <w:p w14:paraId="53DA5126" w14:textId="77777777" w:rsidR="00A12942" w:rsidRPr="00384647" w:rsidRDefault="00A12942" w:rsidP="00A12942">
      <w:pPr>
        <w:suppressAutoHyphens w:val="0"/>
        <w:spacing w:after="120" w:line="240" w:lineRule="auto"/>
        <w:ind w:left="2268" w:right="1134"/>
        <w:jc w:val="both"/>
        <w:rPr>
          <w:lang w:val="fr-FR"/>
        </w:rPr>
      </w:pPr>
      <w:r>
        <w:rPr>
          <w:lang w:val="fr-FR"/>
        </w:rPr>
        <w:t xml:space="preserve">Si plusieurs puissances de charge en courant alternatif sont disponibles, la puissance de charge normale la plus élevée doit être utilisée. Une puissance inférieure à la puissance de charge normale la plus élevée peut être choisie si elle est recommandée par le constructeur et approuvée par l’autorité compétente. </w:t>
      </w:r>
      <w:bookmarkEnd w:id="0"/>
    </w:p>
    <w:p w14:paraId="796802C1" w14:textId="15700F05" w:rsidR="00A12942" w:rsidRPr="0021105B" w:rsidRDefault="00A12942" w:rsidP="00A12942">
      <w:pPr>
        <w:pStyle w:val="para"/>
        <w:rPr>
          <w:strike/>
        </w:rPr>
      </w:pPr>
      <w:r>
        <w:t>3.2.2.5.1</w:t>
      </w:r>
      <w:r>
        <w:tab/>
        <w:t>Procédure de charge</w:t>
      </w:r>
    </w:p>
    <w:p w14:paraId="263EB228" w14:textId="77777777" w:rsidR="00A12942" w:rsidRPr="00384647" w:rsidRDefault="00A12942" w:rsidP="00A12942">
      <w:pPr>
        <w:suppressAutoHyphens w:val="0"/>
        <w:spacing w:after="120" w:line="240" w:lineRule="auto"/>
        <w:ind w:left="2268" w:right="1134"/>
        <w:jc w:val="both"/>
        <w:rPr>
          <w:lang w:val="fr-FR"/>
        </w:rPr>
      </w:pPr>
      <w:r>
        <w:rPr>
          <w:lang w:val="fr-FR"/>
        </w:rPr>
        <w:t>Le SRSEE doit être chargé à une température ambiante comprise entre 20 °C et 30 °C, au moyen du chargeur embarqué s’il en existe un.</w:t>
      </w:r>
    </w:p>
    <w:p w14:paraId="4E456EBD" w14:textId="77777777" w:rsidR="00A12942" w:rsidRPr="00384647" w:rsidRDefault="00A12942" w:rsidP="00A12942">
      <w:pPr>
        <w:suppressAutoHyphens w:val="0"/>
        <w:spacing w:after="120" w:line="240" w:lineRule="auto"/>
        <w:ind w:left="2268" w:right="1134"/>
        <w:jc w:val="both"/>
        <w:rPr>
          <w:lang w:val="fr-FR"/>
        </w:rPr>
      </w:pPr>
      <w:r>
        <w:rPr>
          <w:lang w:val="fr-FR"/>
        </w:rPr>
        <w:t>Dans les cas ci-après, un chargeur recommandé par le constructeur doit être utilisé, en suivant le mode de charge prescrit pour une charge normale :</w:t>
      </w:r>
    </w:p>
    <w:p w14:paraId="58B62A11" w14:textId="77777777" w:rsidR="00A12942" w:rsidRPr="00384647" w:rsidRDefault="00A12942" w:rsidP="00A12942">
      <w:pPr>
        <w:suppressAutoHyphens w:val="0"/>
        <w:spacing w:after="120" w:line="240" w:lineRule="auto"/>
        <w:ind w:left="2835" w:right="1134" w:hanging="567"/>
        <w:jc w:val="both"/>
        <w:rPr>
          <w:lang w:val="fr-FR"/>
        </w:rPr>
      </w:pPr>
      <w:r>
        <w:rPr>
          <w:lang w:val="fr-FR"/>
        </w:rPr>
        <w:t>a)</w:t>
      </w:r>
      <w:r>
        <w:rPr>
          <w:lang w:val="fr-FR"/>
        </w:rPr>
        <w:tab/>
        <w:t>Si aucun chargeur embarqué n’est installé ; ou</w:t>
      </w:r>
    </w:p>
    <w:p w14:paraId="5F78AD1C" w14:textId="77777777" w:rsidR="00A12942" w:rsidRPr="00384647" w:rsidRDefault="00A12942" w:rsidP="00A12942">
      <w:pPr>
        <w:suppressAutoHyphens w:val="0"/>
        <w:spacing w:after="120" w:line="240" w:lineRule="auto"/>
        <w:ind w:left="2268" w:right="1134"/>
        <w:jc w:val="both"/>
        <w:rPr>
          <w:lang w:val="fr-FR"/>
        </w:rPr>
      </w:pPr>
      <w:r>
        <w:rPr>
          <w:lang w:val="fr-FR"/>
        </w:rPr>
        <w:t>b)</w:t>
      </w:r>
      <w:r>
        <w:rPr>
          <w:lang w:val="fr-FR"/>
        </w:rPr>
        <w:tab/>
        <w:t>Si le temps de charge est supérieur au temps maximal défini au paragraphe 3.2.2.5.2.</w:t>
      </w:r>
    </w:p>
    <w:p w14:paraId="3395EA55" w14:textId="77777777" w:rsidR="00A12942" w:rsidRPr="0021105B" w:rsidRDefault="00A12942" w:rsidP="00A12942">
      <w:pPr>
        <w:pStyle w:val="para"/>
        <w:ind w:firstLine="0"/>
      </w:pPr>
      <w:r>
        <w:t>Les procédures décrites dans le présent paragraphe excluent toutes les opérations de charge spéciales qui pourraient être lancées automatiquement ou manuellement, par exemple une charge d’égalisation ou une charge d’entretien.</w:t>
      </w:r>
    </w:p>
    <w:p w14:paraId="194B8C95" w14:textId="7C8E2A73" w:rsidR="00A12942" w:rsidRPr="0021105B" w:rsidRDefault="00A12942" w:rsidP="00A12942">
      <w:pPr>
        <w:pStyle w:val="para"/>
        <w:ind w:firstLine="0"/>
      </w:pPr>
      <w:r>
        <w:tab/>
        <w:t>Le constructeur doit déclarer qu’il n’y a pas eu d’opération de charge spéciale au cours de l’essai. »</w:t>
      </w:r>
      <w:r w:rsidR="00E62362">
        <w:t>.</w:t>
      </w:r>
    </w:p>
    <w:p w14:paraId="025CF178" w14:textId="77777777" w:rsidR="00A12942" w:rsidRPr="00384647" w:rsidRDefault="00A12942" w:rsidP="00A12942">
      <w:pPr>
        <w:spacing w:after="120"/>
        <w:ind w:left="1134" w:right="1134"/>
        <w:jc w:val="both"/>
        <w:rPr>
          <w:lang w:val="fr-FR"/>
        </w:rPr>
      </w:pPr>
      <w:r w:rsidRPr="00C4021E">
        <w:rPr>
          <w:i/>
          <w:iCs/>
          <w:lang w:val="fr-FR"/>
        </w:rPr>
        <w:t>Appendice 2, ajouter le nouveau paragraphe 2</w:t>
      </w:r>
      <w:r>
        <w:rPr>
          <w:lang w:val="fr-FR"/>
        </w:rPr>
        <w:t>, libellé comme suit :</w:t>
      </w:r>
    </w:p>
    <w:p w14:paraId="42A84B0E" w14:textId="06FCFB0D" w:rsidR="00A12942" w:rsidRPr="00384647" w:rsidRDefault="00A12942" w:rsidP="00A12942">
      <w:pPr>
        <w:widowControl w:val="0"/>
        <w:suppressAutoHyphens w:val="0"/>
        <w:spacing w:after="120" w:line="240" w:lineRule="auto"/>
        <w:ind w:leftChars="567" w:left="2214" w:right="1134" w:hangingChars="540" w:hanging="1080"/>
        <w:jc w:val="both"/>
        <w:rPr>
          <w:lang w:val="fr-FR"/>
        </w:rPr>
      </w:pPr>
      <w:r>
        <w:rPr>
          <w:lang w:val="fr-FR"/>
        </w:rPr>
        <w:t>« 2.</w:t>
      </w:r>
      <w:r>
        <w:rPr>
          <w:lang w:val="fr-FR"/>
        </w:rPr>
        <w:tab/>
        <w:t>Mesure extérieure du courant du SRSEE. »</w:t>
      </w:r>
    </w:p>
    <w:p w14:paraId="4D543659" w14:textId="77777777" w:rsidR="00A12942" w:rsidRPr="00384647" w:rsidRDefault="00A12942" w:rsidP="00A12942">
      <w:pPr>
        <w:widowControl w:val="0"/>
        <w:suppressAutoHyphens w:val="0"/>
        <w:spacing w:after="120" w:line="240" w:lineRule="auto"/>
        <w:ind w:leftChars="567" w:left="2214" w:right="1134" w:hangingChars="540" w:hanging="1080"/>
        <w:jc w:val="both"/>
        <w:rPr>
          <w:i/>
          <w:iCs/>
          <w:lang w:val="fr-FR"/>
        </w:rPr>
      </w:pPr>
      <w:r w:rsidRPr="00C4021E">
        <w:rPr>
          <w:i/>
          <w:iCs/>
          <w:lang w:val="fr-FR"/>
        </w:rPr>
        <w:t>Le paragraphe 2</w:t>
      </w:r>
      <w:r>
        <w:rPr>
          <w:lang w:val="fr-FR"/>
        </w:rPr>
        <w:t xml:space="preserve"> devient le paragraphe 2.1.</w:t>
      </w:r>
    </w:p>
    <w:p w14:paraId="32B5D225" w14:textId="77777777" w:rsidR="00A12942" w:rsidRPr="00384647" w:rsidRDefault="00A12942" w:rsidP="00A12942">
      <w:pPr>
        <w:widowControl w:val="0"/>
        <w:suppressAutoHyphens w:val="0"/>
        <w:spacing w:after="120" w:line="240" w:lineRule="auto"/>
        <w:ind w:leftChars="567" w:left="2214" w:right="1134" w:hangingChars="540" w:hanging="1080"/>
        <w:jc w:val="both"/>
        <w:rPr>
          <w:i/>
          <w:iCs/>
          <w:lang w:val="fr-FR"/>
        </w:rPr>
      </w:pPr>
      <w:r w:rsidRPr="00C4021E">
        <w:rPr>
          <w:i/>
          <w:iCs/>
          <w:lang w:val="fr-FR"/>
        </w:rPr>
        <w:t>Le paragraphe 2.1</w:t>
      </w:r>
      <w:r>
        <w:rPr>
          <w:lang w:val="fr-FR"/>
        </w:rPr>
        <w:t xml:space="preserve"> devient le paragraphe 2.1.1.</w:t>
      </w:r>
    </w:p>
    <w:p w14:paraId="044B98CE" w14:textId="77777777" w:rsidR="00A12942" w:rsidRPr="00384647" w:rsidRDefault="00A12942" w:rsidP="00A12942">
      <w:pPr>
        <w:widowControl w:val="0"/>
        <w:suppressAutoHyphens w:val="0"/>
        <w:spacing w:after="120" w:line="240" w:lineRule="auto"/>
        <w:ind w:leftChars="567" w:left="2214" w:right="1134" w:hangingChars="540" w:hanging="1080"/>
        <w:jc w:val="both"/>
        <w:rPr>
          <w:i/>
          <w:iCs/>
          <w:lang w:val="fr-FR"/>
        </w:rPr>
      </w:pPr>
      <w:r w:rsidRPr="00C4021E">
        <w:rPr>
          <w:i/>
          <w:iCs/>
          <w:lang w:val="fr-FR"/>
        </w:rPr>
        <w:t>Les paragraphes 2.1.1 à 2.1.3</w:t>
      </w:r>
      <w:r>
        <w:rPr>
          <w:lang w:val="fr-FR"/>
        </w:rPr>
        <w:t xml:space="preserve"> deviennent les paragraphes 2.1.1.1 à 2.1.1.3.</w:t>
      </w:r>
    </w:p>
    <w:p w14:paraId="6331D5A0" w14:textId="77777777" w:rsidR="00A12942" w:rsidRPr="00384647" w:rsidRDefault="00A12942" w:rsidP="00A12942">
      <w:pPr>
        <w:widowControl w:val="0"/>
        <w:suppressAutoHyphens w:val="0"/>
        <w:spacing w:after="120" w:line="240" w:lineRule="auto"/>
        <w:ind w:leftChars="567" w:left="2214" w:right="1134" w:hangingChars="540" w:hanging="1080"/>
        <w:jc w:val="both"/>
        <w:rPr>
          <w:i/>
          <w:iCs/>
          <w:lang w:val="fr-FR"/>
        </w:rPr>
      </w:pPr>
      <w:r w:rsidRPr="00C4021E">
        <w:rPr>
          <w:i/>
          <w:iCs/>
          <w:lang w:val="fr-FR"/>
        </w:rPr>
        <w:t>Le paragraphe 2.2</w:t>
      </w:r>
      <w:r>
        <w:rPr>
          <w:lang w:val="fr-FR"/>
        </w:rPr>
        <w:t xml:space="preserve"> devient le paragraphe 2.1.2.</w:t>
      </w:r>
    </w:p>
    <w:p w14:paraId="09DD3D36" w14:textId="77777777" w:rsidR="00A12942" w:rsidRPr="00384647" w:rsidRDefault="00A12942" w:rsidP="00A12942">
      <w:pPr>
        <w:widowControl w:val="0"/>
        <w:suppressAutoHyphens w:val="0"/>
        <w:spacing w:after="120" w:line="240" w:lineRule="auto"/>
        <w:ind w:leftChars="567" w:left="2214" w:right="1134" w:hangingChars="540" w:hanging="1080"/>
        <w:jc w:val="both"/>
        <w:rPr>
          <w:i/>
          <w:iCs/>
          <w:lang w:val="fr-FR"/>
        </w:rPr>
      </w:pPr>
      <w:r w:rsidRPr="00C4021E">
        <w:rPr>
          <w:i/>
          <w:iCs/>
          <w:lang w:val="fr-FR"/>
        </w:rPr>
        <w:t>Le paragraphe 3</w:t>
      </w:r>
      <w:r>
        <w:rPr>
          <w:lang w:val="fr-FR"/>
        </w:rPr>
        <w:t xml:space="preserve"> devient le paragraphe 2.2.</w:t>
      </w:r>
    </w:p>
    <w:p w14:paraId="0781EB2E" w14:textId="77777777" w:rsidR="00A12942" w:rsidRPr="00384647" w:rsidRDefault="00A12942" w:rsidP="00E62362">
      <w:pPr>
        <w:keepNext/>
        <w:widowControl w:val="0"/>
        <w:suppressAutoHyphens w:val="0"/>
        <w:spacing w:after="120" w:line="240" w:lineRule="auto"/>
        <w:ind w:leftChars="567" w:left="2214" w:right="1134" w:hangingChars="540" w:hanging="1080"/>
        <w:jc w:val="both"/>
        <w:rPr>
          <w:lang w:val="fr-FR"/>
        </w:rPr>
      </w:pPr>
      <w:r w:rsidRPr="00C4021E">
        <w:rPr>
          <w:i/>
          <w:iCs/>
          <w:lang w:val="fr-FR"/>
        </w:rPr>
        <w:lastRenderedPageBreak/>
        <w:t>Ajouter le nouveau paragraphe 3</w:t>
      </w:r>
      <w:r>
        <w:rPr>
          <w:lang w:val="fr-FR"/>
        </w:rPr>
        <w:t>, libellé comme suit :</w:t>
      </w:r>
    </w:p>
    <w:p w14:paraId="1E27FDC8" w14:textId="77777777" w:rsidR="00A12942" w:rsidRPr="00C4021E" w:rsidRDefault="00A12942" w:rsidP="00A12942">
      <w:pPr>
        <w:pStyle w:val="CM4"/>
        <w:keepNext/>
        <w:spacing w:before="60" w:after="60"/>
        <w:ind w:left="2268" w:right="1133" w:hanging="1134"/>
        <w:jc w:val="both"/>
        <w:rPr>
          <w:sz w:val="20"/>
          <w:szCs w:val="20"/>
        </w:rPr>
      </w:pPr>
      <w:r w:rsidRPr="00C4021E">
        <w:rPr>
          <w:sz w:val="20"/>
          <w:szCs w:val="20"/>
          <w:lang w:val="fr-FR"/>
        </w:rPr>
        <w:t>« 3.</w:t>
      </w:r>
      <w:r w:rsidRPr="00C4021E">
        <w:rPr>
          <w:sz w:val="20"/>
          <w:szCs w:val="20"/>
          <w:lang w:val="fr-FR"/>
        </w:rPr>
        <w:tab/>
        <w:t>Données des calculateurs embarqués sur le courant des SRSEE</w:t>
      </w:r>
    </w:p>
    <w:p w14:paraId="0046012A" w14:textId="74FF743C" w:rsidR="00F9573C" w:rsidRDefault="00A12942" w:rsidP="00A12942">
      <w:pPr>
        <w:pStyle w:val="SingleTxtG"/>
        <w:ind w:left="2268"/>
        <w:rPr>
          <w:lang w:val="fr-FR"/>
        </w:rPr>
      </w:pPr>
      <w:r>
        <w:rPr>
          <w:lang w:val="fr-FR"/>
        </w:rPr>
        <w:tab/>
        <w:t>A</w:t>
      </w:r>
      <w:r>
        <w:rPr>
          <w:lang w:val="fr-FR"/>
        </w:rPr>
        <w:t>u lieu d’appliquer les dispositions du paragraphe 2 du présent appendice, le constructeur peut utiliser les données de mesure du courant des calculateurs embarqués. L’exactitude de ces données doit être démontrée à l’autorité d’homologation. »</w:t>
      </w:r>
      <w:r w:rsidR="00E62362">
        <w:rPr>
          <w:lang w:val="fr-FR"/>
        </w:rPr>
        <w:t>.</w:t>
      </w:r>
    </w:p>
    <w:p w14:paraId="156A82FD" w14:textId="26B7DD7E" w:rsidR="00A12942" w:rsidRPr="00A12942" w:rsidRDefault="00A12942" w:rsidP="00A12942">
      <w:pPr>
        <w:pStyle w:val="SingleTxtG"/>
        <w:spacing w:before="240" w:after="0"/>
        <w:jc w:val="center"/>
        <w:rPr>
          <w:u w:val="single"/>
        </w:rPr>
      </w:pPr>
      <w:r>
        <w:tab/>
      </w:r>
      <w:r>
        <w:rPr>
          <w:u w:val="single"/>
        </w:rPr>
        <w:tab/>
      </w:r>
      <w:r>
        <w:rPr>
          <w:u w:val="single"/>
        </w:rPr>
        <w:tab/>
      </w:r>
      <w:r>
        <w:rPr>
          <w:u w:val="single"/>
        </w:rPr>
        <w:tab/>
      </w:r>
    </w:p>
    <w:sectPr w:rsidR="00A12942" w:rsidRPr="00A12942" w:rsidSect="00A1294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471F" w14:textId="77777777" w:rsidR="003A7CB7" w:rsidRDefault="003A7CB7" w:rsidP="00F95C08">
      <w:pPr>
        <w:spacing w:line="240" w:lineRule="auto"/>
      </w:pPr>
    </w:p>
  </w:endnote>
  <w:endnote w:type="continuationSeparator" w:id="0">
    <w:p w14:paraId="009100CF" w14:textId="77777777" w:rsidR="003A7CB7" w:rsidRPr="00AC3823" w:rsidRDefault="003A7CB7" w:rsidP="00AC3823">
      <w:pPr>
        <w:pStyle w:val="Pieddepage"/>
      </w:pPr>
    </w:p>
  </w:endnote>
  <w:endnote w:type="continuationNotice" w:id="1">
    <w:p w14:paraId="7506A3F8" w14:textId="77777777" w:rsidR="003A7CB7" w:rsidRDefault="003A7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DAF2" w14:textId="5404420E" w:rsidR="00A12942" w:rsidRPr="00A12942" w:rsidRDefault="00A12942" w:rsidP="00A12942">
    <w:pPr>
      <w:pStyle w:val="Pieddepage"/>
      <w:tabs>
        <w:tab w:val="right" w:pos="9638"/>
      </w:tabs>
    </w:pPr>
    <w:r w:rsidRPr="00A12942">
      <w:rPr>
        <w:b/>
        <w:sz w:val="18"/>
      </w:rPr>
      <w:fldChar w:fldCharType="begin"/>
    </w:r>
    <w:r w:rsidRPr="00A12942">
      <w:rPr>
        <w:b/>
        <w:sz w:val="18"/>
      </w:rPr>
      <w:instrText xml:space="preserve"> PAGE  \* MERGEFORMAT </w:instrText>
    </w:r>
    <w:r w:rsidRPr="00A12942">
      <w:rPr>
        <w:b/>
        <w:sz w:val="18"/>
      </w:rPr>
      <w:fldChar w:fldCharType="separate"/>
    </w:r>
    <w:r w:rsidRPr="00A12942">
      <w:rPr>
        <w:b/>
        <w:noProof/>
        <w:sz w:val="18"/>
      </w:rPr>
      <w:t>2</w:t>
    </w:r>
    <w:r w:rsidRPr="00A12942">
      <w:rPr>
        <w:b/>
        <w:sz w:val="18"/>
      </w:rPr>
      <w:fldChar w:fldCharType="end"/>
    </w:r>
    <w:r>
      <w:rPr>
        <w:b/>
        <w:sz w:val="18"/>
      </w:rPr>
      <w:tab/>
    </w:r>
    <w:r>
      <w:t>GE.24-06554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DA8D" w14:textId="395F2C62" w:rsidR="00A12942" w:rsidRPr="00A12942" w:rsidRDefault="00A12942" w:rsidP="00A12942">
    <w:pPr>
      <w:pStyle w:val="Pieddepage"/>
      <w:tabs>
        <w:tab w:val="right" w:pos="9638"/>
      </w:tabs>
      <w:rPr>
        <w:b/>
        <w:sz w:val="18"/>
      </w:rPr>
    </w:pPr>
    <w:r>
      <w:t>GE.24-06554</w:t>
    </w:r>
    <w:r>
      <w:tab/>
    </w:r>
    <w:r w:rsidRPr="00A12942">
      <w:rPr>
        <w:b/>
        <w:sz w:val="18"/>
      </w:rPr>
      <w:fldChar w:fldCharType="begin"/>
    </w:r>
    <w:r w:rsidRPr="00A12942">
      <w:rPr>
        <w:b/>
        <w:sz w:val="18"/>
      </w:rPr>
      <w:instrText xml:space="preserve"> PAGE  \* MERGEFORMAT </w:instrText>
    </w:r>
    <w:r w:rsidRPr="00A12942">
      <w:rPr>
        <w:b/>
        <w:sz w:val="18"/>
      </w:rPr>
      <w:fldChar w:fldCharType="separate"/>
    </w:r>
    <w:r w:rsidRPr="00A12942">
      <w:rPr>
        <w:b/>
        <w:noProof/>
        <w:sz w:val="18"/>
      </w:rPr>
      <w:t>3</w:t>
    </w:r>
    <w:r w:rsidRPr="00A1294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3641" w14:textId="615020D6" w:rsidR="007F20FA" w:rsidRPr="00A12942" w:rsidRDefault="00A12942" w:rsidP="00A12942">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E35E8F0" wp14:editId="01B36D4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24-06554  (F)</w:t>
    </w:r>
    <w:r>
      <w:rPr>
        <w:noProof/>
        <w:sz w:val="20"/>
      </w:rPr>
      <w:drawing>
        <wp:anchor distT="0" distB="0" distL="114300" distR="114300" simplePos="0" relativeHeight="251660288" behindDoc="0" locked="0" layoutInCell="1" allowOverlap="1" wp14:anchorId="7510DCFD" wp14:editId="50FF1174">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020524    030524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EEC7" w14:textId="77777777" w:rsidR="003A7CB7" w:rsidRPr="00AC3823" w:rsidRDefault="003A7CB7" w:rsidP="00AC3823">
      <w:pPr>
        <w:pStyle w:val="Pieddepage"/>
        <w:tabs>
          <w:tab w:val="right" w:pos="2155"/>
        </w:tabs>
        <w:spacing w:after="80" w:line="240" w:lineRule="atLeast"/>
        <w:ind w:left="680"/>
        <w:rPr>
          <w:u w:val="single"/>
        </w:rPr>
      </w:pPr>
      <w:r>
        <w:rPr>
          <w:u w:val="single"/>
        </w:rPr>
        <w:tab/>
      </w:r>
    </w:p>
  </w:footnote>
  <w:footnote w:type="continuationSeparator" w:id="0">
    <w:p w14:paraId="2B71A352" w14:textId="77777777" w:rsidR="003A7CB7" w:rsidRPr="00AC3823" w:rsidRDefault="003A7CB7" w:rsidP="00AC3823">
      <w:pPr>
        <w:pStyle w:val="Pieddepage"/>
        <w:tabs>
          <w:tab w:val="right" w:pos="2155"/>
        </w:tabs>
        <w:spacing w:after="80" w:line="240" w:lineRule="atLeast"/>
        <w:ind w:left="680"/>
        <w:rPr>
          <w:u w:val="single"/>
        </w:rPr>
      </w:pPr>
      <w:r>
        <w:rPr>
          <w:u w:val="single"/>
        </w:rPr>
        <w:tab/>
      </w:r>
    </w:p>
  </w:footnote>
  <w:footnote w:type="continuationNotice" w:id="1">
    <w:p w14:paraId="4CF1A532" w14:textId="77777777" w:rsidR="003A7CB7" w:rsidRPr="00AC3823" w:rsidRDefault="003A7CB7">
      <w:pPr>
        <w:spacing w:line="240" w:lineRule="auto"/>
        <w:rPr>
          <w:sz w:val="2"/>
          <w:szCs w:val="2"/>
        </w:rPr>
      </w:pPr>
    </w:p>
  </w:footnote>
  <w:footnote w:id="2">
    <w:p w14:paraId="7F86FF6D" w14:textId="0F8D2CDE" w:rsidR="00A12942" w:rsidRDefault="00A12942">
      <w:pPr>
        <w:pStyle w:val="Notedebasdepage"/>
        <w:rPr>
          <w:lang w:val="fr-FR"/>
        </w:rPr>
      </w:pPr>
      <w:r>
        <w:rPr>
          <w:rStyle w:val="Appelnotedebasdep"/>
        </w:rPr>
        <w:tab/>
      </w:r>
      <w:r w:rsidRPr="00A12942">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p w14:paraId="12D6AB0E" w14:textId="77777777" w:rsidR="00A12942" w:rsidRPr="00A12942" w:rsidRDefault="00A1294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ED71" w14:textId="2D426296" w:rsidR="00A12942" w:rsidRPr="00A12942" w:rsidRDefault="00A12942">
    <w:pPr>
      <w:pStyle w:val="En-tte"/>
    </w:pPr>
    <w:fldSimple w:instr=" TITLE  \* MERGEFORMAT ">
      <w:r w:rsidR="00007505">
        <w:t>ECE/TRANS/WP.29/2024/53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C19" w14:textId="5DC3715A" w:rsidR="00A12942" w:rsidRPr="00A12942" w:rsidRDefault="00A12942" w:rsidP="00A12942">
    <w:pPr>
      <w:pStyle w:val="En-tte"/>
      <w:jc w:val="right"/>
    </w:pPr>
    <w:fldSimple w:instr=" TITLE  \* MERGEFORMAT ">
      <w:r w:rsidR="00007505">
        <w:t>ECE/TRANS/WP.29/2024/53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192961204">
    <w:abstractNumId w:val="12"/>
  </w:num>
  <w:num w:numId="2" w16cid:durableId="460198266">
    <w:abstractNumId w:val="11"/>
  </w:num>
  <w:num w:numId="3" w16cid:durableId="1619943619">
    <w:abstractNumId w:val="10"/>
  </w:num>
  <w:num w:numId="4" w16cid:durableId="820318425">
    <w:abstractNumId w:val="8"/>
  </w:num>
  <w:num w:numId="5" w16cid:durableId="411003923">
    <w:abstractNumId w:val="3"/>
  </w:num>
  <w:num w:numId="6" w16cid:durableId="869759609">
    <w:abstractNumId w:val="2"/>
  </w:num>
  <w:num w:numId="7" w16cid:durableId="302393625">
    <w:abstractNumId w:val="1"/>
  </w:num>
  <w:num w:numId="8" w16cid:durableId="1923488556">
    <w:abstractNumId w:val="0"/>
  </w:num>
  <w:num w:numId="9" w16cid:durableId="194125096">
    <w:abstractNumId w:val="9"/>
  </w:num>
  <w:num w:numId="10" w16cid:durableId="1119685516">
    <w:abstractNumId w:val="7"/>
  </w:num>
  <w:num w:numId="11" w16cid:durableId="672269708">
    <w:abstractNumId w:val="6"/>
  </w:num>
  <w:num w:numId="12" w16cid:durableId="1682703533">
    <w:abstractNumId w:val="5"/>
  </w:num>
  <w:num w:numId="13" w16cid:durableId="34818024">
    <w:abstractNumId w:val="4"/>
  </w:num>
  <w:num w:numId="14" w16cid:durableId="483131983">
    <w:abstractNumId w:val="12"/>
  </w:num>
  <w:num w:numId="15" w16cid:durableId="998923509">
    <w:abstractNumId w:val="11"/>
  </w:num>
  <w:num w:numId="16" w16cid:durableId="715130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B7"/>
    <w:rsid w:val="00007505"/>
    <w:rsid w:val="00017F94"/>
    <w:rsid w:val="00023842"/>
    <w:rsid w:val="000334F9"/>
    <w:rsid w:val="00045FEB"/>
    <w:rsid w:val="0007796D"/>
    <w:rsid w:val="000B7790"/>
    <w:rsid w:val="00111F2F"/>
    <w:rsid w:val="001305FB"/>
    <w:rsid w:val="0014365E"/>
    <w:rsid w:val="00143C66"/>
    <w:rsid w:val="00176178"/>
    <w:rsid w:val="001F525A"/>
    <w:rsid w:val="00201148"/>
    <w:rsid w:val="00223272"/>
    <w:rsid w:val="0024779E"/>
    <w:rsid w:val="00257168"/>
    <w:rsid w:val="002744B8"/>
    <w:rsid w:val="002832AC"/>
    <w:rsid w:val="002D7C93"/>
    <w:rsid w:val="00305801"/>
    <w:rsid w:val="003916DE"/>
    <w:rsid w:val="003A7CB7"/>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12942"/>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62362"/>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5E11E"/>
  <w15:docId w15:val="{CC592606-E143-4F80-95A7-3212E56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A12942"/>
    <w:rPr>
      <w:rFonts w:ascii="Times New Roman" w:eastAsiaTheme="minorHAnsi" w:hAnsi="Times New Roman" w:cs="Times New Roman"/>
      <w:sz w:val="20"/>
      <w:szCs w:val="20"/>
      <w:lang w:eastAsia="en-US"/>
    </w:rPr>
  </w:style>
  <w:style w:type="character" w:customStyle="1" w:styleId="HChGChar">
    <w:name w:val="_ H _Ch_G Char"/>
    <w:link w:val="HChG"/>
    <w:locked/>
    <w:rsid w:val="00A12942"/>
    <w:rPr>
      <w:rFonts w:ascii="Times New Roman" w:eastAsiaTheme="minorHAnsi" w:hAnsi="Times New Roman" w:cs="Times New Roman"/>
      <w:b/>
      <w:sz w:val="28"/>
      <w:szCs w:val="20"/>
      <w:lang w:eastAsia="en-US"/>
    </w:rPr>
  </w:style>
  <w:style w:type="character" w:customStyle="1" w:styleId="H1GChar">
    <w:name w:val="_ H_1_G Char"/>
    <w:link w:val="H1G"/>
    <w:locked/>
    <w:rsid w:val="00A12942"/>
    <w:rPr>
      <w:rFonts w:ascii="Times New Roman" w:eastAsiaTheme="minorHAnsi" w:hAnsi="Times New Roman" w:cs="Times New Roman"/>
      <w:b/>
      <w:sz w:val="24"/>
      <w:szCs w:val="20"/>
      <w:lang w:eastAsia="en-US"/>
    </w:rPr>
  </w:style>
  <w:style w:type="paragraph" w:customStyle="1" w:styleId="para">
    <w:name w:val="para"/>
    <w:basedOn w:val="Normal"/>
    <w:link w:val="paraChar"/>
    <w:qFormat/>
    <w:rsid w:val="00A12942"/>
    <w:pPr>
      <w:suppressAutoHyphens w:val="0"/>
      <w:kinsoku/>
      <w:overflowPunct/>
      <w:autoSpaceDE/>
      <w:autoSpaceDN/>
      <w:adjustRightInd/>
      <w:snapToGrid/>
      <w:spacing w:after="120"/>
      <w:ind w:left="2268" w:right="1134" w:hanging="1134"/>
      <w:jc w:val="both"/>
    </w:pPr>
    <w:rPr>
      <w:rFonts w:eastAsia="Yu Mincho"/>
      <w:snapToGrid w:val="0"/>
      <w:lang w:val="fr-FR"/>
    </w:rPr>
  </w:style>
  <w:style w:type="character" w:customStyle="1" w:styleId="paraChar">
    <w:name w:val="para Char"/>
    <w:link w:val="para"/>
    <w:rsid w:val="00A12942"/>
    <w:rPr>
      <w:rFonts w:ascii="Times New Roman" w:eastAsia="Yu Mincho" w:hAnsi="Times New Roman" w:cs="Times New Roman"/>
      <w:snapToGrid w:val="0"/>
      <w:sz w:val="20"/>
      <w:szCs w:val="20"/>
      <w:lang w:val="fr-FR" w:eastAsia="en-US"/>
    </w:rPr>
  </w:style>
  <w:style w:type="paragraph" w:customStyle="1" w:styleId="CM4">
    <w:name w:val="CM4"/>
    <w:basedOn w:val="Normal"/>
    <w:next w:val="Normal"/>
    <w:uiPriority w:val="99"/>
    <w:rsid w:val="00A12942"/>
    <w:pPr>
      <w:suppressAutoHyphens w:val="0"/>
      <w:kinsoku/>
      <w:overflowPunct/>
      <w:snapToGrid/>
      <w:spacing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8AD9-05A1-4F30-A1CB-78F528568906}"/>
</file>

<file path=customXml/itemProps2.xml><?xml version="1.0" encoding="utf-8"?>
<ds:datastoreItem xmlns:ds="http://schemas.openxmlformats.org/officeDocument/2006/customXml" ds:itemID="{D0FB38DB-98E7-41D3-9829-FCFD2F2ABEAB}"/>
</file>

<file path=docProps/app.xml><?xml version="1.0" encoding="utf-8"?>
<Properties xmlns="http://schemas.openxmlformats.org/officeDocument/2006/extended-properties" xmlns:vt="http://schemas.openxmlformats.org/officeDocument/2006/docPropsVTypes">
  <Template>ECE_TRANS.dotm</Template>
  <TotalTime>1</TotalTime>
  <Pages>3</Pages>
  <Words>528</Words>
  <Characters>3702</Characters>
  <Application>Microsoft Office Word</Application>
  <DocSecurity>0</DocSecurity>
  <Lines>308</Lines>
  <Paragraphs>169</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ECE/TRANS/WP.29/2024/53</dc:title>
  <dc:subject/>
  <dc:creator>Maud DARICHE</dc:creator>
  <cp:keywords/>
  <cp:lastModifiedBy>Maud Dariche</cp:lastModifiedBy>
  <cp:revision>3</cp:revision>
  <cp:lastPrinted>2024-05-03T11:19:00Z</cp:lastPrinted>
  <dcterms:created xsi:type="dcterms:W3CDTF">2024-05-03T11:19:00Z</dcterms:created>
  <dcterms:modified xsi:type="dcterms:W3CDTF">2024-05-03T11:20:00Z</dcterms:modified>
</cp:coreProperties>
</file>