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D44A621" w14:textId="77777777" w:rsidTr="00C97039">
        <w:trPr>
          <w:trHeight w:hRule="exact" w:val="851"/>
        </w:trPr>
        <w:tc>
          <w:tcPr>
            <w:tcW w:w="1276" w:type="dxa"/>
            <w:tcBorders>
              <w:bottom w:val="single" w:sz="4" w:space="0" w:color="auto"/>
            </w:tcBorders>
          </w:tcPr>
          <w:p w14:paraId="480A130A" w14:textId="77777777" w:rsidR="00F35BAF" w:rsidRPr="00DB58B5" w:rsidRDefault="00F35BAF" w:rsidP="00CF0431"/>
        </w:tc>
        <w:tc>
          <w:tcPr>
            <w:tcW w:w="2268" w:type="dxa"/>
            <w:tcBorders>
              <w:bottom w:val="single" w:sz="4" w:space="0" w:color="auto"/>
            </w:tcBorders>
            <w:vAlign w:val="bottom"/>
          </w:tcPr>
          <w:p w14:paraId="45893CE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CF139D6" w14:textId="718133D6" w:rsidR="00F35BAF" w:rsidRPr="00DB58B5" w:rsidRDefault="00CF0431" w:rsidP="00CF0431">
            <w:pPr>
              <w:jc w:val="right"/>
            </w:pPr>
            <w:r w:rsidRPr="00CF0431">
              <w:rPr>
                <w:sz w:val="40"/>
              </w:rPr>
              <w:t>ECE</w:t>
            </w:r>
            <w:r>
              <w:t>/TRANS/WP</w:t>
            </w:r>
            <w:r w:rsidR="00FD6896" w:rsidRPr="00FD6896">
              <w:t>.</w:t>
            </w:r>
            <w:r>
              <w:t>29/2024/50</w:t>
            </w:r>
          </w:p>
        </w:tc>
      </w:tr>
      <w:tr w:rsidR="00F35BAF" w:rsidRPr="00DB58B5" w14:paraId="51959CA6" w14:textId="77777777" w:rsidTr="00C97039">
        <w:trPr>
          <w:trHeight w:hRule="exact" w:val="2835"/>
        </w:trPr>
        <w:tc>
          <w:tcPr>
            <w:tcW w:w="1276" w:type="dxa"/>
            <w:tcBorders>
              <w:top w:val="single" w:sz="4" w:space="0" w:color="auto"/>
              <w:bottom w:val="single" w:sz="12" w:space="0" w:color="auto"/>
            </w:tcBorders>
          </w:tcPr>
          <w:p w14:paraId="1DA5FC3C" w14:textId="77777777" w:rsidR="00F35BAF" w:rsidRPr="00DB58B5" w:rsidRDefault="00F35BAF" w:rsidP="00C97039">
            <w:pPr>
              <w:spacing w:before="120"/>
              <w:jc w:val="center"/>
            </w:pPr>
            <w:r>
              <w:rPr>
                <w:noProof/>
                <w:lang w:eastAsia="fr-CH"/>
              </w:rPr>
              <w:drawing>
                <wp:inline distT="0" distB="0" distL="0" distR="0" wp14:anchorId="7F6E3083" wp14:editId="41481F9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3CA3EC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06D1D28" w14:textId="38B8730A" w:rsidR="00F35BAF" w:rsidRDefault="00CF0431" w:rsidP="00C97039">
            <w:pPr>
              <w:spacing w:before="240"/>
            </w:pPr>
            <w:proofErr w:type="spellStart"/>
            <w:r>
              <w:t>Distr</w:t>
            </w:r>
            <w:proofErr w:type="spellEnd"/>
            <w:r w:rsidR="00FD6896" w:rsidRPr="00FD6896">
              <w:t>.</w:t>
            </w:r>
            <w:r>
              <w:t xml:space="preserve"> générale</w:t>
            </w:r>
          </w:p>
          <w:p w14:paraId="12BF73D1" w14:textId="77777777" w:rsidR="00CF0431" w:rsidRDefault="00CF0431" w:rsidP="00CF0431">
            <w:pPr>
              <w:spacing w:line="240" w:lineRule="exact"/>
            </w:pPr>
            <w:r>
              <w:t>11 avril 2024</w:t>
            </w:r>
          </w:p>
          <w:p w14:paraId="3F38E181" w14:textId="77777777" w:rsidR="00CF0431" w:rsidRDefault="00CF0431" w:rsidP="00CF0431">
            <w:pPr>
              <w:spacing w:line="240" w:lineRule="exact"/>
            </w:pPr>
            <w:r>
              <w:t>Français</w:t>
            </w:r>
          </w:p>
          <w:p w14:paraId="00D6F585" w14:textId="3A16B0BB" w:rsidR="00CF0431" w:rsidRPr="00DB58B5" w:rsidRDefault="00CF0431" w:rsidP="00CF0431">
            <w:pPr>
              <w:spacing w:line="240" w:lineRule="exact"/>
            </w:pPr>
            <w:r>
              <w:t>Original : anglais</w:t>
            </w:r>
          </w:p>
        </w:tc>
      </w:tr>
    </w:tbl>
    <w:p w14:paraId="73A76205" w14:textId="77777777" w:rsidR="007F20FA" w:rsidRPr="000312C0" w:rsidRDefault="007F20FA" w:rsidP="007F20FA">
      <w:pPr>
        <w:spacing w:before="120"/>
        <w:rPr>
          <w:b/>
          <w:sz w:val="28"/>
          <w:szCs w:val="28"/>
        </w:rPr>
      </w:pPr>
      <w:r w:rsidRPr="000312C0">
        <w:rPr>
          <w:b/>
          <w:sz w:val="28"/>
          <w:szCs w:val="28"/>
        </w:rPr>
        <w:t>Commission économique pour l’Europe</w:t>
      </w:r>
    </w:p>
    <w:p w14:paraId="77685DB0" w14:textId="77777777" w:rsidR="007F20FA" w:rsidRDefault="007F20FA" w:rsidP="007F20FA">
      <w:pPr>
        <w:spacing w:before="120"/>
        <w:rPr>
          <w:sz w:val="28"/>
          <w:szCs w:val="28"/>
        </w:rPr>
      </w:pPr>
      <w:r w:rsidRPr="00685843">
        <w:rPr>
          <w:sz w:val="28"/>
          <w:szCs w:val="28"/>
        </w:rPr>
        <w:t>Comité des transports intérieurs</w:t>
      </w:r>
    </w:p>
    <w:p w14:paraId="1C5AFD44" w14:textId="6CB215E3" w:rsidR="00CF0431" w:rsidRPr="00315861" w:rsidRDefault="00CF0431" w:rsidP="00CF0431">
      <w:pPr>
        <w:spacing w:before="120"/>
        <w:rPr>
          <w:b/>
          <w:bCs/>
          <w:sz w:val="32"/>
          <w:szCs w:val="32"/>
        </w:rPr>
      </w:pPr>
      <w:r w:rsidRPr="00315861">
        <w:rPr>
          <w:b/>
          <w:bCs/>
          <w:sz w:val="24"/>
          <w:szCs w:val="24"/>
          <w:lang w:val="fr-FR"/>
        </w:rPr>
        <w:t xml:space="preserve">Forum mondial de l’harmonisation </w:t>
      </w:r>
      <w:r w:rsidR="00315861">
        <w:rPr>
          <w:b/>
          <w:bCs/>
          <w:sz w:val="24"/>
          <w:szCs w:val="24"/>
          <w:lang w:val="fr-FR"/>
        </w:rPr>
        <w:br/>
      </w:r>
      <w:r w:rsidRPr="00315861">
        <w:rPr>
          <w:b/>
          <w:bCs/>
          <w:sz w:val="24"/>
          <w:szCs w:val="24"/>
          <w:lang w:val="fr-FR"/>
        </w:rPr>
        <w:t>des Règlements concernant les véhicules</w:t>
      </w:r>
    </w:p>
    <w:p w14:paraId="69B2C95B" w14:textId="77777777" w:rsidR="00CF0431" w:rsidRPr="00B418D4" w:rsidRDefault="00CF0431" w:rsidP="00CF0431">
      <w:pPr>
        <w:spacing w:before="120"/>
        <w:rPr>
          <w:b/>
        </w:rPr>
      </w:pPr>
      <w:r>
        <w:rPr>
          <w:b/>
          <w:bCs/>
          <w:lang w:val="fr-FR"/>
        </w:rPr>
        <w:t>193</w:t>
      </w:r>
      <w:r w:rsidRPr="00315861">
        <w:rPr>
          <w:b/>
          <w:bCs/>
          <w:vertAlign w:val="superscript"/>
          <w:lang w:val="fr-FR"/>
        </w:rPr>
        <w:t>e</w:t>
      </w:r>
      <w:r>
        <w:rPr>
          <w:b/>
          <w:bCs/>
          <w:lang w:val="fr-FR"/>
        </w:rPr>
        <w:t xml:space="preserve"> session</w:t>
      </w:r>
    </w:p>
    <w:p w14:paraId="0AE395FB" w14:textId="77777777" w:rsidR="00CF0431" w:rsidRPr="00B418D4" w:rsidRDefault="00CF0431" w:rsidP="00CF0431">
      <w:r>
        <w:rPr>
          <w:lang w:val="fr-FR"/>
        </w:rPr>
        <w:t>Genève, 25-28 juin 2024</w:t>
      </w:r>
    </w:p>
    <w:p w14:paraId="57FD8391" w14:textId="46AE3C9E" w:rsidR="00CF0431" w:rsidRPr="00B418D4" w:rsidRDefault="00CF0431" w:rsidP="00CF0431">
      <w:r>
        <w:rPr>
          <w:lang w:val="fr-FR"/>
        </w:rPr>
        <w:t>Point 4</w:t>
      </w:r>
      <w:r w:rsidR="00FD6896" w:rsidRPr="00FD6896">
        <w:rPr>
          <w:lang w:val="fr-FR"/>
        </w:rPr>
        <w:t>.</w:t>
      </w:r>
      <w:r>
        <w:rPr>
          <w:lang w:val="fr-FR"/>
        </w:rPr>
        <w:t>7</w:t>
      </w:r>
      <w:r w:rsidR="00FD6896" w:rsidRPr="00FD6896">
        <w:rPr>
          <w:lang w:val="fr-FR"/>
        </w:rPr>
        <w:t>.</w:t>
      </w:r>
      <w:r>
        <w:rPr>
          <w:lang w:val="fr-FR"/>
        </w:rPr>
        <w:t>6 de l’ordre du jour provisoire</w:t>
      </w:r>
    </w:p>
    <w:p w14:paraId="33AD3329" w14:textId="77777777" w:rsidR="00CF0431" w:rsidRPr="00B418D4" w:rsidRDefault="00CF0431" w:rsidP="00CF0431">
      <w:pPr>
        <w:rPr>
          <w:b/>
        </w:rPr>
      </w:pPr>
      <w:r>
        <w:rPr>
          <w:b/>
          <w:bCs/>
          <w:lang w:val="fr-FR"/>
        </w:rPr>
        <w:t>Accord de 1958 :</w:t>
      </w:r>
    </w:p>
    <w:p w14:paraId="3D765C5D" w14:textId="62C44636" w:rsidR="00CF0431" w:rsidRPr="00B418D4" w:rsidRDefault="00CF0431" w:rsidP="00CF0431">
      <w:pPr>
        <w:rPr>
          <w:b/>
          <w:bCs/>
        </w:rPr>
      </w:pPr>
      <w:r>
        <w:rPr>
          <w:b/>
          <w:bCs/>
          <w:lang w:val="fr-FR"/>
        </w:rPr>
        <w:t xml:space="preserve">Examen de projets d’amendements à des Règlements ONU </w:t>
      </w:r>
      <w:r w:rsidR="00315861">
        <w:rPr>
          <w:b/>
          <w:bCs/>
          <w:lang w:val="fr-FR"/>
        </w:rPr>
        <w:br/>
      </w:r>
      <w:r>
        <w:rPr>
          <w:b/>
          <w:bCs/>
          <w:lang w:val="fr-FR"/>
        </w:rPr>
        <w:t>existants,</w:t>
      </w:r>
      <w:r w:rsidR="00315861">
        <w:rPr>
          <w:b/>
          <w:bCs/>
          <w:lang w:val="fr-FR"/>
        </w:rPr>
        <w:t xml:space="preserve"> </w:t>
      </w:r>
      <w:r>
        <w:rPr>
          <w:b/>
          <w:bCs/>
          <w:lang w:val="fr-FR"/>
        </w:rPr>
        <w:t>soumis par le GRPE</w:t>
      </w:r>
    </w:p>
    <w:p w14:paraId="00C229DD" w14:textId="4A435B33" w:rsidR="00CF0431" w:rsidRPr="00B418D4" w:rsidRDefault="00315861" w:rsidP="00315861">
      <w:pPr>
        <w:pStyle w:val="HChG"/>
      </w:pPr>
      <w:r>
        <w:rPr>
          <w:lang w:val="fr-FR"/>
        </w:rPr>
        <w:tab/>
      </w:r>
      <w:r>
        <w:rPr>
          <w:lang w:val="fr-FR"/>
        </w:rPr>
        <w:tab/>
      </w:r>
      <w:r w:rsidR="00CF0431">
        <w:rPr>
          <w:lang w:val="fr-FR"/>
        </w:rPr>
        <w:t xml:space="preserve">Proposition de complément 1 à la série 08 d’amendements </w:t>
      </w:r>
      <w:r>
        <w:rPr>
          <w:lang w:val="fr-FR"/>
        </w:rPr>
        <w:br/>
      </w:r>
      <w:r w:rsidR="00CF0431">
        <w:rPr>
          <w:lang w:val="fr-FR"/>
        </w:rPr>
        <w:t xml:space="preserve">au Règlement ONU </w:t>
      </w:r>
      <w:r w:rsidRPr="00315861">
        <w:rPr>
          <w:rFonts w:eastAsia="MS Mincho"/>
          <w:lang w:val="fr-FR"/>
        </w:rPr>
        <w:t>n</w:t>
      </w:r>
      <w:r w:rsidRPr="00315861">
        <w:rPr>
          <w:rFonts w:eastAsia="MS Mincho"/>
          <w:vertAlign w:val="superscript"/>
          <w:lang w:val="fr-FR"/>
        </w:rPr>
        <w:t>o</w:t>
      </w:r>
      <w:r>
        <w:rPr>
          <w:lang w:val="fr-FR"/>
        </w:rPr>
        <w:t> </w:t>
      </w:r>
      <w:r w:rsidR="00CF0431">
        <w:rPr>
          <w:lang w:val="fr-FR"/>
        </w:rPr>
        <w:t xml:space="preserve">83 (Émissions des véhicules </w:t>
      </w:r>
      <w:r>
        <w:rPr>
          <w:lang w:val="fr-FR"/>
        </w:rPr>
        <w:br/>
      </w:r>
      <w:r w:rsidR="00CF0431">
        <w:rPr>
          <w:lang w:val="fr-FR"/>
        </w:rPr>
        <w:t>des catégories M</w:t>
      </w:r>
      <w:r w:rsidR="00CF0431">
        <w:rPr>
          <w:vertAlign w:val="subscript"/>
          <w:lang w:val="fr-FR"/>
        </w:rPr>
        <w:t>1</w:t>
      </w:r>
      <w:r w:rsidR="00CF0431">
        <w:rPr>
          <w:lang w:val="fr-FR"/>
        </w:rPr>
        <w:t xml:space="preserve"> et N</w:t>
      </w:r>
      <w:r w:rsidR="00CF0431">
        <w:rPr>
          <w:vertAlign w:val="subscript"/>
          <w:lang w:val="fr-FR"/>
        </w:rPr>
        <w:t>1</w:t>
      </w:r>
      <w:r w:rsidR="00CF0431">
        <w:rPr>
          <w:lang w:val="fr-FR"/>
        </w:rPr>
        <w:t>)</w:t>
      </w:r>
    </w:p>
    <w:p w14:paraId="33CCC11A" w14:textId="77777777" w:rsidR="00CF0431" w:rsidRPr="00B418D4" w:rsidRDefault="00CF0431" w:rsidP="00315861">
      <w:pPr>
        <w:pStyle w:val="H1G"/>
        <w:rPr>
          <w:szCs w:val="24"/>
        </w:rPr>
      </w:pPr>
      <w:r>
        <w:rPr>
          <w:lang w:val="fr-FR"/>
        </w:rPr>
        <w:tab/>
      </w:r>
      <w:r>
        <w:rPr>
          <w:lang w:val="fr-FR"/>
        </w:rPr>
        <w:tab/>
        <w:t>Communication du Groupe de travail de la pollution et de l’énergie</w:t>
      </w:r>
      <w:r w:rsidRPr="00315861">
        <w:rPr>
          <w:b w:val="0"/>
          <w:bCs/>
          <w:sz w:val="20"/>
          <w:szCs w:val="16"/>
          <w:lang w:val="fr-FR"/>
        </w:rPr>
        <w:t>*</w:t>
      </w:r>
    </w:p>
    <w:p w14:paraId="5118D6AA" w14:textId="4054CF01" w:rsidR="00CF0431" w:rsidRPr="00B418D4" w:rsidRDefault="00CF0431" w:rsidP="00315861">
      <w:pPr>
        <w:pStyle w:val="SingleTxtG"/>
        <w:ind w:firstLine="567"/>
        <w:rPr>
          <w:sz w:val="24"/>
          <w:szCs w:val="24"/>
        </w:rPr>
      </w:pPr>
      <w:r>
        <w:rPr>
          <w:lang w:val="fr-FR"/>
        </w:rPr>
        <w:footnoteReference w:customMarkFollows="1" w:id="2"/>
        <w:t>Le texte ci-après, adopté par le Groupe de travail de la pollution et de l’énergie (GRPE) à sa quatre-vingt-dixième session (ECE/TRANS/WP</w:t>
      </w:r>
      <w:r w:rsidR="00FD6896" w:rsidRPr="00FD6896">
        <w:rPr>
          <w:lang w:val="fr-FR"/>
        </w:rPr>
        <w:t>.</w:t>
      </w:r>
      <w:r>
        <w:rPr>
          <w:lang w:val="fr-FR"/>
        </w:rPr>
        <w:t>29/GRPE/90, par</w:t>
      </w:r>
      <w:r w:rsidR="00FD6896" w:rsidRPr="00FD6896">
        <w:rPr>
          <w:lang w:val="fr-FR"/>
        </w:rPr>
        <w:t>.</w:t>
      </w:r>
      <w:r>
        <w:rPr>
          <w:lang w:val="fr-FR"/>
        </w:rPr>
        <w:t xml:space="preserve"> 18), est fondé sur le document ECE/TRANS/WP</w:t>
      </w:r>
      <w:r w:rsidR="00FD6896" w:rsidRPr="00FD6896">
        <w:rPr>
          <w:lang w:val="fr-FR"/>
        </w:rPr>
        <w:t>.</w:t>
      </w:r>
      <w:r>
        <w:rPr>
          <w:lang w:val="fr-FR"/>
        </w:rPr>
        <w:t>29/GRPE/2024/8, tel que modifié par le document informel GRPE-90-08 et au cours de la session, comme reproduit à l’annexe VII du rapport</w:t>
      </w:r>
      <w:r w:rsidR="00FD6896" w:rsidRPr="00FD6896">
        <w:rPr>
          <w:lang w:val="fr-FR"/>
        </w:rPr>
        <w:t>.</w:t>
      </w:r>
      <w:r>
        <w:rPr>
          <w:lang w:val="fr-FR"/>
        </w:rPr>
        <w:t xml:space="preserve"> Il est soumis au Forum mondial de l’harmonisation des Règlements concernant les véhicules (WP</w:t>
      </w:r>
      <w:r w:rsidR="00FD6896" w:rsidRPr="00FD6896">
        <w:rPr>
          <w:lang w:val="fr-FR"/>
        </w:rPr>
        <w:t>.</w:t>
      </w:r>
      <w:r>
        <w:rPr>
          <w:lang w:val="fr-FR"/>
        </w:rPr>
        <w:t>29) et au Comité d’administration de l’Accord de 1958 (AC</w:t>
      </w:r>
      <w:r w:rsidR="00FD6896" w:rsidRPr="00FD6896">
        <w:rPr>
          <w:lang w:val="fr-FR"/>
        </w:rPr>
        <w:t>.</w:t>
      </w:r>
      <w:r>
        <w:rPr>
          <w:lang w:val="fr-FR"/>
        </w:rPr>
        <w:t>1) pour examen à leurs sessions de juin 2024</w:t>
      </w:r>
      <w:r w:rsidR="00FD6896" w:rsidRPr="00FD6896">
        <w:rPr>
          <w:lang w:val="fr-FR"/>
        </w:rPr>
        <w:t>.</w:t>
      </w:r>
    </w:p>
    <w:p w14:paraId="40F02364" w14:textId="77777777" w:rsidR="00CF0431" w:rsidRPr="00B418D4" w:rsidRDefault="00CF0431" w:rsidP="00CF0431">
      <w:pPr>
        <w:pStyle w:val="SingleTxtG"/>
        <w:ind w:firstLine="567"/>
        <w:rPr>
          <w:szCs w:val="24"/>
        </w:rPr>
      </w:pPr>
    </w:p>
    <w:p w14:paraId="578A9D93" w14:textId="77777777" w:rsidR="00CF0431" w:rsidRPr="00B418D4" w:rsidRDefault="00CF0431" w:rsidP="00CF0431">
      <w:pPr>
        <w:suppressAutoHyphens w:val="0"/>
        <w:spacing w:line="240" w:lineRule="auto"/>
      </w:pPr>
      <w:r w:rsidRPr="00B418D4">
        <w:br w:type="page"/>
      </w:r>
    </w:p>
    <w:p w14:paraId="7BCBFFF8" w14:textId="6E0EB9DC" w:rsidR="00CF0431" w:rsidRPr="00B418D4" w:rsidRDefault="00CF0431" w:rsidP="00CF0431">
      <w:pPr>
        <w:spacing w:after="120"/>
        <w:ind w:left="2268" w:right="1134" w:hanging="1134"/>
        <w:jc w:val="both"/>
      </w:pPr>
      <w:r>
        <w:rPr>
          <w:i/>
          <w:iCs/>
          <w:lang w:val="fr-FR"/>
        </w:rPr>
        <w:lastRenderedPageBreak/>
        <w:t>Paragraphe 2</w:t>
      </w:r>
      <w:r w:rsidR="00FD6896" w:rsidRPr="00FD6896">
        <w:rPr>
          <w:i/>
          <w:iCs/>
          <w:lang w:val="fr-FR"/>
        </w:rPr>
        <w:t>.</w:t>
      </w:r>
      <w:r>
        <w:rPr>
          <w:i/>
          <w:iCs/>
          <w:lang w:val="fr-FR"/>
        </w:rPr>
        <w:t>1</w:t>
      </w:r>
      <w:r>
        <w:rPr>
          <w:lang w:val="fr-FR"/>
        </w:rPr>
        <w:t>, lire :</w:t>
      </w:r>
    </w:p>
    <w:p w14:paraId="5C27B8B0" w14:textId="65881575" w:rsidR="00CF0431" w:rsidRPr="00B418D4" w:rsidRDefault="00CF0431" w:rsidP="00CF0431">
      <w:pPr>
        <w:pStyle w:val="SingleTxtG"/>
        <w:ind w:left="2268" w:hanging="1134"/>
      </w:pPr>
      <w:r>
        <w:rPr>
          <w:lang w:val="fr-FR"/>
        </w:rPr>
        <w:t>« 2</w:t>
      </w:r>
      <w:r w:rsidR="00FD6896" w:rsidRPr="00FD6896">
        <w:rPr>
          <w:lang w:val="fr-FR"/>
        </w:rPr>
        <w:t>.</w:t>
      </w:r>
      <w:r>
        <w:rPr>
          <w:lang w:val="fr-FR"/>
        </w:rPr>
        <w:t>1</w:t>
      </w:r>
      <w:r>
        <w:rPr>
          <w:lang w:val="fr-FR"/>
        </w:rPr>
        <w:tab/>
        <w:t>Par “</w:t>
      </w:r>
      <w:r>
        <w:rPr>
          <w:i/>
          <w:iCs/>
          <w:lang w:val="fr-FR"/>
        </w:rPr>
        <w:t>type de véhicule</w:t>
      </w:r>
      <w:r>
        <w:rPr>
          <w:lang w:val="fr-FR"/>
        </w:rPr>
        <w:t>”, un groupe de véhicules qui satisfont aux prescriptions applicables à un type de véhicule en ce qui concerne les émissions, telles qu’énoncées au paragraphe 3</w:t>
      </w:r>
      <w:r w:rsidR="00FD6896" w:rsidRPr="00FD6896">
        <w:rPr>
          <w:lang w:val="fr-FR"/>
        </w:rPr>
        <w:t>.</w:t>
      </w:r>
      <w:r>
        <w:rPr>
          <w:lang w:val="fr-FR"/>
        </w:rPr>
        <w:t>0</w:t>
      </w:r>
      <w:r w:rsidR="00FD6896" w:rsidRPr="00FD6896">
        <w:rPr>
          <w:lang w:val="fr-FR"/>
        </w:rPr>
        <w:t>.</w:t>
      </w:r>
      <w:r>
        <w:rPr>
          <w:lang w:val="fr-FR"/>
        </w:rPr>
        <w:t xml:space="preserve">1 du Règlement ONU </w:t>
      </w:r>
      <w:r w:rsidR="00315861" w:rsidRPr="00315861">
        <w:rPr>
          <w:rFonts w:eastAsia="MS Mincho"/>
          <w:lang w:val="fr-FR"/>
        </w:rPr>
        <w:t>n</w:t>
      </w:r>
      <w:r w:rsidR="00315861" w:rsidRPr="00315861">
        <w:rPr>
          <w:rFonts w:eastAsia="MS Mincho"/>
          <w:vertAlign w:val="superscript"/>
          <w:lang w:val="fr-FR"/>
        </w:rPr>
        <w:t>o</w:t>
      </w:r>
      <w:r>
        <w:rPr>
          <w:lang w:val="fr-FR"/>
        </w:rPr>
        <w:t xml:space="preserve"> 154</w:t>
      </w:r>
      <w:r w:rsidR="00FD6896" w:rsidRPr="00FD6896">
        <w:rPr>
          <w:lang w:val="fr-FR"/>
        </w:rPr>
        <w:t>.</w:t>
      </w:r>
      <w:r>
        <w:rPr>
          <w:lang w:val="fr-FR"/>
        </w:rPr>
        <w:t> »</w:t>
      </w:r>
      <w:r w:rsidR="00FD6896" w:rsidRPr="00FD6896">
        <w:rPr>
          <w:lang w:val="fr-FR"/>
        </w:rPr>
        <w:t>.</w:t>
      </w:r>
    </w:p>
    <w:p w14:paraId="7AE531D8" w14:textId="543F5F2A" w:rsidR="00CF0431" w:rsidRPr="00B418D4" w:rsidRDefault="00CF0431" w:rsidP="00CF0431">
      <w:pPr>
        <w:spacing w:after="120"/>
        <w:ind w:left="2268" w:right="1134" w:hanging="1134"/>
        <w:jc w:val="both"/>
      </w:pPr>
      <w:r>
        <w:rPr>
          <w:i/>
          <w:iCs/>
          <w:lang w:val="fr-FR"/>
        </w:rPr>
        <w:t>Paragraphe 2</w:t>
      </w:r>
      <w:r w:rsidR="00FD6896" w:rsidRPr="00FD6896">
        <w:rPr>
          <w:i/>
          <w:iCs/>
          <w:lang w:val="fr-FR"/>
        </w:rPr>
        <w:t>.</w:t>
      </w:r>
      <w:r>
        <w:rPr>
          <w:i/>
          <w:iCs/>
          <w:lang w:val="fr-FR"/>
        </w:rPr>
        <w:t>37</w:t>
      </w:r>
      <w:r>
        <w:rPr>
          <w:lang w:val="fr-FR"/>
        </w:rPr>
        <w:t>, lire :</w:t>
      </w:r>
    </w:p>
    <w:p w14:paraId="45B6199D" w14:textId="7424C47A" w:rsidR="00CF0431" w:rsidRPr="00B418D4" w:rsidRDefault="00CF0431" w:rsidP="00CF0431">
      <w:pPr>
        <w:pStyle w:val="SingleTxtG"/>
        <w:ind w:left="2268" w:hanging="1134"/>
      </w:pPr>
      <w:r>
        <w:rPr>
          <w:lang w:val="fr-FR"/>
        </w:rPr>
        <w:t>« 2</w:t>
      </w:r>
      <w:r w:rsidR="00FD6896" w:rsidRPr="00FD6896">
        <w:rPr>
          <w:lang w:val="fr-FR"/>
        </w:rPr>
        <w:t>.</w:t>
      </w:r>
      <w:r>
        <w:rPr>
          <w:lang w:val="fr-FR"/>
        </w:rPr>
        <w:t xml:space="preserve">37 </w:t>
      </w:r>
      <w:r>
        <w:rPr>
          <w:lang w:val="fr-FR"/>
        </w:rPr>
        <w:tab/>
        <w:t>Par “</w:t>
      </w:r>
      <w:r>
        <w:rPr>
          <w:i/>
          <w:iCs/>
          <w:lang w:val="fr-FR"/>
        </w:rPr>
        <w:t>système mobile de mesure des émissions</w:t>
      </w:r>
      <w:r>
        <w:rPr>
          <w:lang w:val="fr-FR"/>
        </w:rPr>
        <w:t xml:space="preserve">”, un système portable de mesure des émissions satisfaisant aux prescriptions de l’annexe 4 du Règlement ONU </w:t>
      </w:r>
      <w:r w:rsidR="00315861" w:rsidRPr="00315861">
        <w:rPr>
          <w:rFonts w:eastAsia="MS Mincho"/>
          <w:lang w:val="fr-FR"/>
        </w:rPr>
        <w:t>n</w:t>
      </w:r>
      <w:r w:rsidR="00315861" w:rsidRPr="00315861">
        <w:rPr>
          <w:rFonts w:eastAsia="MS Mincho"/>
          <w:vertAlign w:val="superscript"/>
          <w:lang w:val="fr-FR"/>
        </w:rPr>
        <w:t>o</w:t>
      </w:r>
      <w:r w:rsidR="00315861">
        <w:rPr>
          <w:lang w:val="fr-FR"/>
        </w:rPr>
        <w:t> </w:t>
      </w:r>
      <w:r>
        <w:rPr>
          <w:lang w:val="fr-FR"/>
        </w:rPr>
        <w:t>168</w:t>
      </w:r>
      <w:r w:rsidR="00FD6896" w:rsidRPr="00FD6896">
        <w:rPr>
          <w:lang w:val="fr-FR"/>
        </w:rPr>
        <w:t>.</w:t>
      </w:r>
      <w:r>
        <w:rPr>
          <w:lang w:val="fr-FR"/>
        </w:rPr>
        <w:t> »</w:t>
      </w:r>
      <w:r w:rsidR="00FD6896" w:rsidRPr="00FD6896">
        <w:rPr>
          <w:lang w:val="fr-FR"/>
        </w:rPr>
        <w:t>.</w:t>
      </w:r>
    </w:p>
    <w:p w14:paraId="76017678" w14:textId="473ADABE" w:rsidR="00CF0431" w:rsidRPr="00B418D4" w:rsidRDefault="00CF0431" w:rsidP="00CF0431">
      <w:pPr>
        <w:spacing w:after="120"/>
        <w:ind w:left="2268" w:right="1134" w:hanging="1134"/>
        <w:jc w:val="both"/>
      </w:pPr>
      <w:r>
        <w:rPr>
          <w:i/>
          <w:iCs/>
          <w:lang w:val="fr-FR"/>
        </w:rPr>
        <w:t>Paragraphe 3</w:t>
      </w:r>
      <w:r w:rsidR="00FD6896" w:rsidRPr="00FD6896">
        <w:rPr>
          <w:i/>
          <w:iCs/>
          <w:lang w:val="fr-FR"/>
        </w:rPr>
        <w:t>.</w:t>
      </w:r>
      <w:r>
        <w:rPr>
          <w:i/>
          <w:iCs/>
          <w:lang w:val="fr-FR"/>
        </w:rPr>
        <w:t>4</w:t>
      </w:r>
      <w:r w:rsidR="00FD6896" w:rsidRPr="00FD6896">
        <w:rPr>
          <w:i/>
          <w:iCs/>
          <w:lang w:val="fr-FR"/>
        </w:rPr>
        <w:t>.</w:t>
      </w:r>
      <w:r>
        <w:rPr>
          <w:i/>
          <w:iCs/>
          <w:lang w:val="fr-FR"/>
        </w:rPr>
        <w:t>10</w:t>
      </w:r>
      <w:r>
        <w:rPr>
          <w:lang w:val="fr-FR"/>
        </w:rPr>
        <w:t>, lire :</w:t>
      </w:r>
    </w:p>
    <w:p w14:paraId="312AE303" w14:textId="6218424F" w:rsidR="00CF0431" w:rsidRPr="00B418D4" w:rsidRDefault="00CF0431" w:rsidP="00CF0431">
      <w:pPr>
        <w:pStyle w:val="SingleTxtG"/>
        <w:ind w:left="2268" w:hanging="1134"/>
      </w:pPr>
      <w:r>
        <w:rPr>
          <w:lang w:val="fr-FR"/>
        </w:rPr>
        <w:t>« 3</w:t>
      </w:r>
      <w:r w:rsidR="00FD6896" w:rsidRPr="00FD6896">
        <w:rPr>
          <w:lang w:val="fr-FR"/>
        </w:rPr>
        <w:t>.</w:t>
      </w:r>
      <w:r>
        <w:rPr>
          <w:lang w:val="fr-FR"/>
        </w:rPr>
        <w:t>4</w:t>
      </w:r>
      <w:r w:rsidR="00FD6896" w:rsidRPr="00FD6896">
        <w:rPr>
          <w:lang w:val="fr-FR"/>
        </w:rPr>
        <w:t>.</w:t>
      </w:r>
      <w:r>
        <w:rPr>
          <w:lang w:val="fr-FR"/>
        </w:rPr>
        <w:t>10</w:t>
      </w:r>
      <w:r>
        <w:rPr>
          <w:lang w:val="fr-FR"/>
        </w:rPr>
        <w:tab/>
        <w:t>Les véhicules des catégories M</w:t>
      </w:r>
      <w:r>
        <w:rPr>
          <w:vertAlign w:val="subscript"/>
          <w:lang w:val="fr-FR"/>
        </w:rPr>
        <w:t>1</w:t>
      </w:r>
      <w:r>
        <w:rPr>
          <w:lang w:val="fr-FR"/>
        </w:rPr>
        <w:t xml:space="preserve"> ou N</w:t>
      </w:r>
      <w:r>
        <w:rPr>
          <w:vertAlign w:val="subscript"/>
          <w:lang w:val="fr-FR"/>
        </w:rPr>
        <w:t>1</w:t>
      </w:r>
      <w:r>
        <w:rPr>
          <w:lang w:val="fr-FR"/>
        </w:rPr>
        <w:t xml:space="preserve"> doivent être homologués conformément aux normes EA, EB ou EC relatives aux émissions, spécifiées dans le tableau</w:t>
      </w:r>
      <w:r w:rsidR="00315861">
        <w:rPr>
          <w:lang w:val="fr-FR"/>
        </w:rPr>
        <w:t> </w:t>
      </w:r>
      <w:r>
        <w:rPr>
          <w:lang w:val="fr-FR"/>
        </w:rPr>
        <w:t>A3/1 de l’annexe 3, compte tenu des facteurs d’utilisation déterminés conformément aux valeurs indiquées dans le tableau</w:t>
      </w:r>
      <w:r w:rsidR="00315861">
        <w:rPr>
          <w:lang w:val="fr-FR"/>
        </w:rPr>
        <w:t> </w:t>
      </w:r>
      <w:r>
        <w:rPr>
          <w:lang w:val="fr-FR"/>
        </w:rPr>
        <w:t>A8</w:t>
      </w:r>
      <w:r w:rsidR="00FD6896" w:rsidRPr="00FD6896">
        <w:rPr>
          <w:lang w:val="fr-FR"/>
        </w:rPr>
        <w:t>.</w:t>
      </w:r>
      <w:r>
        <w:rPr>
          <w:lang w:val="fr-FR"/>
        </w:rPr>
        <w:t xml:space="preserve">App5/1 de l’appendice 5 de l’annexe B8 du Règlement ONU </w:t>
      </w:r>
      <w:r w:rsidR="00315861" w:rsidRPr="00315861">
        <w:rPr>
          <w:rFonts w:eastAsia="MS Mincho"/>
          <w:lang w:val="fr-FR"/>
        </w:rPr>
        <w:t>n</w:t>
      </w:r>
      <w:r w:rsidR="00315861" w:rsidRPr="00315861">
        <w:rPr>
          <w:rFonts w:eastAsia="MS Mincho"/>
          <w:vertAlign w:val="superscript"/>
          <w:lang w:val="fr-FR"/>
        </w:rPr>
        <w:t>o</w:t>
      </w:r>
      <w:r w:rsidR="00315861">
        <w:rPr>
          <w:lang w:val="fr-FR"/>
        </w:rPr>
        <w:t> </w:t>
      </w:r>
      <w:r>
        <w:rPr>
          <w:lang w:val="fr-FR"/>
        </w:rPr>
        <w:t>154</w:t>
      </w:r>
      <w:r w:rsidR="00FD6896" w:rsidRPr="00FD6896">
        <w:rPr>
          <w:lang w:val="fr-FR"/>
        </w:rPr>
        <w:t>.</w:t>
      </w:r>
      <w:r>
        <w:rPr>
          <w:lang w:val="fr-FR"/>
        </w:rPr>
        <w:t xml:space="preserve"> »</w:t>
      </w:r>
      <w:r w:rsidR="00FD6896" w:rsidRPr="00FD6896">
        <w:rPr>
          <w:lang w:val="fr-FR"/>
        </w:rPr>
        <w:t>.</w:t>
      </w:r>
    </w:p>
    <w:p w14:paraId="5553C906" w14:textId="49E53775" w:rsidR="00CF0431" w:rsidRPr="00B418D4" w:rsidRDefault="00CF0431" w:rsidP="00CF0431">
      <w:pPr>
        <w:spacing w:after="120"/>
        <w:ind w:left="2268" w:right="1134" w:hanging="1134"/>
        <w:jc w:val="both"/>
      </w:pPr>
      <w:r>
        <w:rPr>
          <w:i/>
          <w:iCs/>
          <w:lang w:val="fr-FR"/>
        </w:rPr>
        <w:t>Paragraphe 7</w:t>
      </w:r>
      <w:r w:rsidR="00FD6896" w:rsidRPr="00FD6896">
        <w:rPr>
          <w:i/>
          <w:iCs/>
          <w:lang w:val="fr-FR"/>
        </w:rPr>
        <w:t>.</w:t>
      </w:r>
      <w:r>
        <w:rPr>
          <w:i/>
          <w:iCs/>
          <w:lang w:val="fr-FR"/>
        </w:rPr>
        <w:t>1</w:t>
      </w:r>
      <w:r>
        <w:rPr>
          <w:lang w:val="fr-FR"/>
        </w:rPr>
        <w:t>, lire :</w:t>
      </w:r>
    </w:p>
    <w:p w14:paraId="0A53CA58" w14:textId="509C1747" w:rsidR="00CF0431" w:rsidRPr="00B418D4" w:rsidRDefault="00CF0431" w:rsidP="00CF0431">
      <w:pPr>
        <w:pStyle w:val="SingleTxtG"/>
        <w:ind w:left="2268" w:hanging="1134"/>
      </w:pPr>
      <w:r>
        <w:rPr>
          <w:lang w:val="fr-FR"/>
        </w:rPr>
        <w:t>« 7</w:t>
      </w:r>
      <w:r w:rsidR="00FD6896" w:rsidRPr="00FD6896">
        <w:rPr>
          <w:lang w:val="fr-FR"/>
        </w:rPr>
        <w:t>.</w:t>
      </w:r>
      <w:r>
        <w:rPr>
          <w:lang w:val="fr-FR"/>
        </w:rPr>
        <w:t>1</w:t>
      </w:r>
      <w:r>
        <w:rPr>
          <w:lang w:val="fr-FR"/>
        </w:rPr>
        <w:tab/>
        <w:t>Extensions pour les émissions au ralenti (essai du type 2) »</w:t>
      </w:r>
      <w:r w:rsidR="00FD6896" w:rsidRPr="00FD6896">
        <w:rPr>
          <w:lang w:val="fr-FR"/>
        </w:rPr>
        <w:t>.</w:t>
      </w:r>
    </w:p>
    <w:p w14:paraId="4B86394E" w14:textId="5FC880C0" w:rsidR="00CF0431" w:rsidRPr="00B418D4" w:rsidRDefault="00CF0431" w:rsidP="00CF0431">
      <w:pPr>
        <w:spacing w:after="120"/>
        <w:ind w:left="2268" w:right="1134" w:hanging="1134"/>
        <w:jc w:val="both"/>
      </w:pPr>
      <w:r>
        <w:rPr>
          <w:i/>
          <w:iCs/>
          <w:lang w:val="fr-FR"/>
        </w:rPr>
        <w:t>Paragraphe 7</w:t>
      </w:r>
      <w:r w:rsidR="00FD6896" w:rsidRPr="00FD6896">
        <w:rPr>
          <w:i/>
          <w:iCs/>
          <w:lang w:val="fr-FR"/>
        </w:rPr>
        <w:t>.</w:t>
      </w:r>
      <w:r>
        <w:rPr>
          <w:i/>
          <w:iCs/>
          <w:lang w:val="fr-FR"/>
        </w:rPr>
        <w:t>2</w:t>
      </w:r>
      <w:r w:rsidR="00FD6896" w:rsidRPr="00FD6896">
        <w:rPr>
          <w:i/>
          <w:iCs/>
          <w:lang w:val="fr-FR"/>
        </w:rPr>
        <w:t>.</w:t>
      </w:r>
      <w:r>
        <w:rPr>
          <w:i/>
          <w:iCs/>
          <w:lang w:val="fr-FR"/>
        </w:rPr>
        <w:t>2</w:t>
      </w:r>
      <w:r w:rsidR="00FD6896" w:rsidRPr="00FD6896">
        <w:rPr>
          <w:i/>
          <w:iCs/>
          <w:lang w:val="fr-FR"/>
        </w:rPr>
        <w:t>.</w:t>
      </w:r>
      <w:r>
        <w:rPr>
          <w:i/>
          <w:iCs/>
          <w:lang w:val="fr-FR"/>
        </w:rPr>
        <w:t>2</w:t>
      </w:r>
      <w:r>
        <w:rPr>
          <w:lang w:val="fr-FR"/>
        </w:rPr>
        <w:t>, lire :</w:t>
      </w:r>
    </w:p>
    <w:p w14:paraId="77514D09" w14:textId="73BC286B" w:rsidR="00CF0431" w:rsidRPr="00B418D4" w:rsidRDefault="00CF0431" w:rsidP="00CF0431">
      <w:pPr>
        <w:pStyle w:val="SingleTxtG"/>
        <w:ind w:left="2268" w:hanging="1134"/>
      </w:pPr>
      <w:r>
        <w:rPr>
          <w:lang w:val="fr-FR"/>
        </w:rPr>
        <w:t>« 7</w:t>
      </w:r>
      <w:r w:rsidR="00FD6896" w:rsidRPr="00FD6896">
        <w:rPr>
          <w:lang w:val="fr-FR"/>
        </w:rPr>
        <w:t>.</w:t>
      </w:r>
      <w:r>
        <w:rPr>
          <w:lang w:val="fr-FR"/>
        </w:rPr>
        <w:t>2</w:t>
      </w:r>
      <w:r w:rsidR="00FD6896" w:rsidRPr="00FD6896">
        <w:rPr>
          <w:lang w:val="fr-FR"/>
        </w:rPr>
        <w:t>.</w:t>
      </w:r>
      <w:r>
        <w:rPr>
          <w:lang w:val="fr-FR"/>
        </w:rPr>
        <w:t>2</w:t>
      </w:r>
      <w:r w:rsidR="00FD6896" w:rsidRPr="00FD6896">
        <w:rPr>
          <w:lang w:val="fr-FR"/>
        </w:rPr>
        <w:t>.</w:t>
      </w:r>
      <w:r>
        <w:rPr>
          <w:lang w:val="fr-FR"/>
        </w:rPr>
        <w:t>2</w:t>
      </w:r>
      <w:r>
        <w:rPr>
          <w:lang w:val="fr-FR"/>
        </w:rPr>
        <w:tab/>
        <w:t>Pour déterminer si l’homologation de type peut être étendue, il faut calculer pour chacun des rapports de démultiplication utilisés lors de l’essai du type 6, le rapport</w:t>
      </w:r>
    </w:p>
    <w:p w14:paraId="05053B19" w14:textId="77777777" w:rsidR="00CF0431" w:rsidRPr="00B418D4" w:rsidRDefault="00CF0431" w:rsidP="00CF0431">
      <w:pPr>
        <w:pStyle w:val="SingleTxtG"/>
        <w:ind w:left="2268"/>
      </w:pPr>
      <w:r>
        <w:rPr>
          <w:lang w:val="fr-FR"/>
        </w:rPr>
        <w:t>(E) = |(V</w:t>
      </w:r>
      <w:r>
        <w:rPr>
          <w:vertAlign w:val="subscript"/>
          <w:lang w:val="fr-FR"/>
        </w:rPr>
        <w:t>2</w:t>
      </w:r>
      <w:r>
        <w:rPr>
          <w:lang w:val="fr-FR"/>
        </w:rPr>
        <w:t xml:space="preserve"> – V</w:t>
      </w:r>
      <w:r>
        <w:rPr>
          <w:vertAlign w:val="subscript"/>
          <w:lang w:val="fr-FR"/>
        </w:rPr>
        <w:t>1</w:t>
      </w:r>
      <w:r>
        <w:rPr>
          <w:lang w:val="fr-FR"/>
        </w:rPr>
        <w:t>)|/V</w:t>
      </w:r>
      <w:r>
        <w:rPr>
          <w:vertAlign w:val="subscript"/>
          <w:lang w:val="fr-FR"/>
        </w:rPr>
        <w:t>1</w:t>
      </w:r>
    </w:p>
    <w:p w14:paraId="34B8E60E" w14:textId="588BA093" w:rsidR="00CF0431" w:rsidRPr="00B418D4" w:rsidRDefault="00CF0431" w:rsidP="00CF0431">
      <w:pPr>
        <w:pStyle w:val="SingleTxtG"/>
        <w:ind w:left="2268"/>
      </w:pPr>
      <w:r>
        <w:rPr>
          <w:lang w:val="fr-FR"/>
        </w:rPr>
        <w:t>dans lequel, pour un régime de 1 000 min</w:t>
      </w:r>
      <w:r>
        <w:rPr>
          <w:vertAlign w:val="superscript"/>
          <w:lang w:val="fr-FR"/>
        </w:rPr>
        <w:t>-1</w:t>
      </w:r>
      <w:r>
        <w:rPr>
          <w:lang w:val="fr-FR"/>
        </w:rPr>
        <w:t xml:space="preserve"> du moteur, V</w:t>
      </w:r>
      <w:r>
        <w:rPr>
          <w:vertAlign w:val="subscript"/>
          <w:lang w:val="fr-FR"/>
        </w:rPr>
        <w:t>1</w:t>
      </w:r>
      <w:r>
        <w:rPr>
          <w:lang w:val="fr-FR"/>
        </w:rPr>
        <w:t xml:space="preserve"> est la vitesse du type de véhicule homologué et V</w:t>
      </w:r>
      <w:r>
        <w:rPr>
          <w:vertAlign w:val="subscript"/>
          <w:lang w:val="fr-FR"/>
        </w:rPr>
        <w:t>2</w:t>
      </w:r>
      <w:r>
        <w:rPr>
          <w:lang w:val="fr-FR"/>
        </w:rPr>
        <w:t xml:space="preserve"> celle du type de véhicule pour lequel l’extension est demandée</w:t>
      </w:r>
      <w:r w:rsidR="00FD6896" w:rsidRPr="00FD6896">
        <w:rPr>
          <w:lang w:val="fr-FR"/>
        </w:rPr>
        <w:t>.</w:t>
      </w:r>
      <w:r>
        <w:rPr>
          <w:lang w:val="fr-FR"/>
        </w:rPr>
        <w:t> »</w:t>
      </w:r>
      <w:r w:rsidR="00FD6896" w:rsidRPr="00FD6896">
        <w:rPr>
          <w:lang w:val="fr-FR"/>
        </w:rPr>
        <w:t>.</w:t>
      </w:r>
    </w:p>
    <w:p w14:paraId="345E74DD" w14:textId="77777777" w:rsidR="00CF0431" w:rsidRPr="00B418D4" w:rsidRDefault="00CF0431" w:rsidP="00CF0431">
      <w:pPr>
        <w:spacing w:after="120"/>
        <w:ind w:left="2268" w:right="1134" w:hanging="1134"/>
        <w:jc w:val="both"/>
      </w:pPr>
      <w:r>
        <w:rPr>
          <w:i/>
          <w:iCs/>
          <w:lang w:val="fr-FR"/>
        </w:rPr>
        <w:t>Paragraphe 12</w:t>
      </w:r>
      <w:r>
        <w:rPr>
          <w:lang w:val="fr-FR"/>
        </w:rPr>
        <w:t>, lire :</w:t>
      </w:r>
    </w:p>
    <w:p w14:paraId="26B60A98" w14:textId="21413E2B" w:rsidR="00CF0431" w:rsidRPr="00B418D4" w:rsidRDefault="00CF0431" w:rsidP="00CF0431">
      <w:pPr>
        <w:pStyle w:val="HChG"/>
      </w:pPr>
      <w:r>
        <w:rPr>
          <w:bCs/>
          <w:lang w:val="fr-FR"/>
        </w:rPr>
        <w:t>« 12</w:t>
      </w:r>
      <w:r w:rsidR="00FD6896" w:rsidRPr="00FD6896">
        <w:rPr>
          <w:bCs/>
          <w:lang w:val="fr-FR"/>
        </w:rPr>
        <w:t>.</w:t>
      </w:r>
      <w:r>
        <w:rPr>
          <w:lang w:val="fr-FR"/>
        </w:rPr>
        <w:tab/>
      </w:r>
      <w:r>
        <w:rPr>
          <w:lang w:val="fr-FR"/>
        </w:rPr>
        <w:tab/>
      </w:r>
      <w:r>
        <w:rPr>
          <w:bCs/>
          <w:lang w:val="fr-FR"/>
        </w:rPr>
        <w:t>Dispositions transitoires</w:t>
      </w:r>
    </w:p>
    <w:p w14:paraId="30C1278F" w14:textId="549C0C0F" w:rsidR="00CF0431" w:rsidRPr="00B418D4" w:rsidRDefault="00CF0431" w:rsidP="00CF0431">
      <w:pPr>
        <w:keepNext/>
        <w:tabs>
          <w:tab w:val="left" w:pos="1134"/>
        </w:tabs>
        <w:spacing w:after="120"/>
        <w:ind w:left="2268" w:right="1134" w:hanging="1134"/>
        <w:jc w:val="both"/>
        <w:rPr>
          <w:rFonts w:eastAsia="MS Mincho"/>
        </w:rPr>
      </w:pPr>
      <w:r>
        <w:rPr>
          <w:lang w:val="fr-FR"/>
        </w:rPr>
        <w:t>12</w:t>
      </w:r>
      <w:r w:rsidR="00FD6896" w:rsidRPr="00FD6896">
        <w:rPr>
          <w:lang w:val="fr-FR"/>
        </w:rPr>
        <w:t>.</w:t>
      </w:r>
      <w:r>
        <w:rPr>
          <w:lang w:val="fr-FR"/>
        </w:rPr>
        <w:t>1</w:t>
      </w:r>
      <w:r>
        <w:rPr>
          <w:lang w:val="fr-FR"/>
        </w:rPr>
        <w:tab/>
        <w:t>Dispositions générales</w:t>
      </w:r>
    </w:p>
    <w:p w14:paraId="7D177795" w14:textId="61CB8560" w:rsidR="00CF0431" w:rsidRPr="00B418D4" w:rsidRDefault="00CF0431" w:rsidP="00CF0431">
      <w:pPr>
        <w:tabs>
          <w:tab w:val="left" w:pos="1134"/>
        </w:tabs>
        <w:spacing w:after="120"/>
        <w:ind w:left="2268" w:right="1134" w:hanging="1134"/>
        <w:jc w:val="both"/>
        <w:rPr>
          <w:rFonts w:eastAsia="MS Mincho"/>
        </w:rPr>
      </w:pPr>
      <w:r>
        <w:rPr>
          <w:lang w:val="fr-FR"/>
        </w:rPr>
        <w:t>12</w:t>
      </w:r>
      <w:r w:rsidR="00FD6896" w:rsidRPr="00FD6896">
        <w:rPr>
          <w:lang w:val="fr-FR"/>
        </w:rPr>
        <w:t>.</w:t>
      </w:r>
      <w:r>
        <w:rPr>
          <w:lang w:val="fr-FR"/>
        </w:rPr>
        <w:t>1</w:t>
      </w:r>
      <w:r w:rsidR="00FD6896" w:rsidRPr="00FD6896">
        <w:rPr>
          <w:lang w:val="fr-FR"/>
        </w:rPr>
        <w:t>.</w:t>
      </w:r>
      <w:r>
        <w:rPr>
          <w:lang w:val="fr-FR"/>
        </w:rPr>
        <w:t>1</w:t>
      </w:r>
      <w:r>
        <w:rPr>
          <w:lang w:val="fr-FR"/>
        </w:rPr>
        <w:tab/>
        <w:t>À compter de la date officielle d’entrée en vigueur de la série</w:t>
      </w:r>
      <w:r w:rsidR="00315861">
        <w:rPr>
          <w:lang w:val="fr-FR"/>
        </w:rPr>
        <w:t> </w:t>
      </w:r>
      <w:r>
        <w:rPr>
          <w:lang w:val="fr-FR"/>
        </w:rPr>
        <w:t>08 d’amendements, aucune Partie contractante appliquant le présent Règlement ne pourra refuser d’accorder une homologation de type au titre dudit Règlement tel que modifié par la série 08 d’amendements</w:t>
      </w:r>
      <w:r w:rsidR="00FD6896" w:rsidRPr="00FD6896">
        <w:rPr>
          <w:lang w:val="fr-FR"/>
        </w:rPr>
        <w:t>.</w:t>
      </w:r>
    </w:p>
    <w:p w14:paraId="085378C8" w14:textId="445332C1" w:rsidR="00CF0431" w:rsidRPr="00B418D4" w:rsidRDefault="00CF0431" w:rsidP="00CF0431">
      <w:pPr>
        <w:keepNext/>
        <w:tabs>
          <w:tab w:val="left" w:pos="1134"/>
        </w:tabs>
        <w:spacing w:after="120"/>
        <w:ind w:left="2268" w:right="1134" w:hanging="1134"/>
        <w:jc w:val="both"/>
        <w:rPr>
          <w:rFonts w:eastAsia="MS Mincho"/>
        </w:rPr>
      </w:pPr>
      <w:r>
        <w:rPr>
          <w:lang w:val="fr-FR"/>
        </w:rPr>
        <w:t>12</w:t>
      </w:r>
      <w:r w:rsidR="00FD6896" w:rsidRPr="00FD6896">
        <w:rPr>
          <w:lang w:val="fr-FR"/>
        </w:rPr>
        <w:t>.</w:t>
      </w:r>
      <w:r>
        <w:rPr>
          <w:lang w:val="fr-FR"/>
        </w:rPr>
        <w:t>2</w:t>
      </w:r>
      <w:r>
        <w:rPr>
          <w:lang w:val="fr-FR"/>
        </w:rPr>
        <w:tab/>
        <w:t>Homologations de type</w:t>
      </w:r>
    </w:p>
    <w:p w14:paraId="054D48A2" w14:textId="13B43DCE" w:rsidR="00CF0431" w:rsidRPr="00B418D4" w:rsidRDefault="00CF0431" w:rsidP="00CF0431">
      <w:pPr>
        <w:tabs>
          <w:tab w:val="left" w:pos="1134"/>
        </w:tabs>
        <w:spacing w:after="120"/>
        <w:ind w:left="2268" w:right="1134" w:hanging="1134"/>
        <w:jc w:val="both"/>
        <w:rPr>
          <w:rFonts w:eastAsia="MS Mincho"/>
        </w:rPr>
      </w:pPr>
      <w:r>
        <w:rPr>
          <w:lang w:val="fr-FR"/>
        </w:rPr>
        <w:t>12</w:t>
      </w:r>
      <w:r w:rsidR="00FD6896" w:rsidRPr="00FD6896">
        <w:rPr>
          <w:lang w:val="fr-FR"/>
        </w:rPr>
        <w:t>.</w:t>
      </w:r>
      <w:r>
        <w:rPr>
          <w:lang w:val="fr-FR"/>
        </w:rPr>
        <w:t>2</w:t>
      </w:r>
      <w:r w:rsidR="00FD6896" w:rsidRPr="00FD6896">
        <w:rPr>
          <w:lang w:val="fr-FR"/>
        </w:rPr>
        <w:t>.</w:t>
      </w:r>
      <w:r>
        <w:rPr>
          <w:lang w:val="fr-FR"/>
        </w:rPr>
        <w:t>1</w:t>
      </w:r>
      <w:r>
        <w:rPr>
          <w:lang w:val="fr-FR"/>
        </w:rPr>
        <w:tab/>
        <w:t>À compter du 1</w:t>
      </w:r>
      <w:r w:rsidRPr="00315861">
        <w:rPr>
          <w:vertAlign w:val="superscript"/>
          <w:lang w:val="fr-FR"/>
        </w:rPr>
        <w:t>er</w:t>
      </w:r>
      <w:r>
        <w:rPr>
          <w:lang w:val="fr-FR"/>
        </w:rPr>
        <w:t xml:space="preserve"> septembre 2023, les Parties contractantes appliquant le présent Règlement n’accorderont d’homologation aux nouveaux types de véhicules que s’ils satisfont aux prescriptions applicables aux véhicules homologués au titre des lettres EA, telles que définies dans le tableau A3/1 de l’annexe</w:t>
      </w:r>
      <w:r w:rsidR="00315861">
        <w:rPr>
          <w:lang w:val="fr-FR"/>
        </w:rPr>
        <w:t> </w:t>
      </w:r>
      <w:r>
        <w:rPr>
          <w:lang w:val="fr-FR"/>
        </w:rPr>
        <w:t>3 du présent Règlement, tel que modifié par la série</w:t>
      </w:r>
      <w:r w:rsidR="00315861">
        <w:rPr>
          <w:lang w:val="fr-FR"/>
        </w:rPr>
        <w:t> </w:t>
      </w:r>
      <w:r>
        <w:rPr>
          <w:lang w:val="fr-FR"/>
        </w:rPr>
        <w:t>08 d’amendements</w:t>
      </w:r>
      <w:r w:rsidR="00FD6896" w:rsidRPr="00FD6896">
        <w:rPr>
          <w:lang w:val="fr-FR"/>
        </w:rPr>
        <w:t>.</w:t>
      </w:r>
    </w:p>
    <w:p w14:paraId="00E81645" w14:textId="2F3D5237" w:rsidR="00CF0431" w:rsidRPr="00B418D4" w:rsidRDefault="00CF0431" w:rsidP="00CF0431">
      <w:pPr>
        <w:tabs>
          <w:tab w:val="left" w:pos="1134"/>
        </w:tabs>
        <w:spacing w:after="120"/>
        <w:ind w:left="2268" w:right="1134" w:hanging="1134"/>
        <w:jc w:val="both"/>
        <w:rPr>
          <w:rFonts w:eastAsia="MS Mincho"/>
        </w:rPr>
      </w:pPr>
      <w:r>
        <w:rPr>
          <w:lang w:val="fr-FR"/>
        </w:rPr>
        <w:t>12</w:t>
      </w:r>
      <w:r w:rsidR="00FD6896" w:rsidRPr="00FD6896">
        <w:rPr>
          <w:lang w:val="fr-FR"/>
        </w:rPr>
        <w:t>.</w:t>
      </w:r>
      <w:r>
        <w:rPr>
          <w:lang w:val="fr-FR"/>
        </w:rPr>
        <w:t>2</w:t>
      </w:r>
      <w:r w:rsidR="00FD6896" w:rsidRPr="00FD6896">
        <w:rPr>
          <w:lang w:val="fr-FR"/>
        </w:rPr>
        <w:t>.</w:t>
      </w:r>
      <w:r>
        <w:rPr>
          <w:lang w:val="fr-FR"/>
        </w:rPr>
        <w:t>2</w:t>
      </w:r>
      <w:r>
        <w:rPr>
          <w:lang w:val="fr-FR"/>
        </w:rPr>
        <w:tab/>
        <w:t>À compter du 1</w:t>
      </w:r>
      <w:r w:rsidRPr="00315861">
        <w:rPr>
          <w:vertAlign w:val="superscript"/>
          <w:lang w:val="fr-FR"/>
        </w:rPr>
        <w:t>er</w:t>
      </w:r>
      <w:r>
        <w:rPr>
          <w:lang w:val="fr-FR"/>
        </w:rPr>
        <w:t xml:space="preserve"> janvier 2025, les Parties contractantes appliquant le présent Règlement n’accorderont d’homologation aux nouveaux types de véhicules que s’ils satisfont aux prescriptions applicables aux véhicules homologués au titre des lettres EB, telles que définies dans le tableau A3/1 de l’annexe 3 du présent Règlement, tel que modifié par la série 08 d’amendements</w:t>
      </w:r>
      <w:r w:rsidR="00FD6896" w:rsidRPr="00FD6896">
        <w:rPr>
          <w:lang w:val="fr-FR"/>
        </w:rPr>
        <w:t>.</w:t>
      </w:r>
    </w:p>
    <w:p w14:paraId="62AAF702" w14:textId="7AD9C864" w:rsidR="00CF0431" w:rsidRPr="00B418D4" w:rsidRDefault="00CF0431" w:rsidP="00CF0431">
      <w:pPr>
        <w:tabs>
          <w:tab w:val="left" w:pos="1134"/>
        </w:tabs>
        <w:spacing w:after="120"/>
        <w:ind w:left="2268" w:right="1134" w:hanging="1134"/>
        <w:jc w:val="both"/>
      </w:pPr>
      <w:r>
        <w:rPr>
          <w:lang w:val="fr-FR"/>
        </w:rPr>
        <w:t>12</w:t>
      </w:r>
      <w:r w:rsidR="00FD6896" w:rsidRPr="00FD6896">
        <w:rPr>
          <w:lang w:val="fr-FR"/>
        </w:rPr>
        <w:t>.</w:t>
      </w:r>
      <w:r>
        <w:rPr>
          <w:lang w:val="fr-FR"/>
        </w:rPr>
        <w:t>2</w:t>
      </w:r>
      <w:r w:rsidR="00FD6896" w:rsidRPr="00FD6896">
        <w:rPr>
          <w:lang w:val="fr-FR"/>
        </w:rPr>
        <w:t>.</w:t>
      </w:r>
      <w:r>
        <w:rPr>
          <w:lang w:val="fr-FR"/>
        </w:rPr>
        <w:t>3</w:t>
      </w:r>
      <w:r>
        <w:rPr>
          <w:lang w:val="fr-FR"/>
        </w:rPr>
        <w:tab/>
        <w:t>À compter du 1</w:t>
      </w:r>
      <w:r w:rsidRPr="00315861">
        <w:rPr>
          <w:vertAlign w:val="superscript"/>
          <w:lang w:val="fr-FR"/>
        </w:rPr>
        <w:t>er</w:t>
      </w:r>
      <w:r>
        <w:rPr>
          <w:lang w:val="fr-FR"/>
        </w:rPr>
        <w:t xml:space="preserve"> janvier 2027, les Parties contractantes appliquant le présent Règlement n’accorderont d’homologation aux nouveaux types de véhicules que s’ils satisfont aux prescriptions applicables aux véhicules homologués au titre des lettres EC, telles que définies dans le tableau A3/1 de l’annexe 3 du présent Règlement, tel que modifié par la série 08 d’amendements</w:t>
      </w:r>
      <w:r w:rsidR="00FD6896" w:rsidRPr="00FD6896">
        <w:rPr>
          <w:lang w:val="fr-FR"/>
        </w:rPr>
        <w:t>.</w:t>
      </w:r>
      <w:r>
        <w:rPr>
          <w:lang w:val="fr-FR"/>
        </w:rPr>
        <w:t> »</w:t>
      </w:r>
      <w:r w:rsidR="00FD6896" w:rsidRPr="00FD6896">
        <w:rPr>
          <w:lang w:val="fr-FR"/>
        </w:rPr>
        <w:t>.</w:t>
      </w:r>
    </w:p>
    <w:p w14:paraId="53D2EC6E" w14:textId="77777777" w:rsidR="00CF0431" w:rsidRPr="00B418D4" w:rsidRDefault="00CF0431" w:rsidP="00CF0431">
      <w:pPr>
        <w:tabs>
          <w:tab w:val="left" w:pos="1134"/>
        </w:tabs>
        <w:spacing w:after="120"/>
        <w:ind w:left="2268" w:right="1134" w:hanging="1134"/>
        <w:jc w:val="both"/>
      </w:pPr>
      <w:r>
        <w:rPr>
          <w:i/>
          <w:iCs/>
          <w:lang w:val="fr-FR"/>
        </w:rPr>
        <w:lastRenderedPageBreak/>
        <w:t>Annexe 1, alinéa a) de l’appendice 3a</w:t>
      </w:r>
      <w:r>
        <w:rPr>
          <w:lang w:val="fr-FR"/>
        </w:rPr>
        <w:t>, lire :</w:t>
      </w:r>
    </w:p>
    <w:p w14:paraId="5DC5220F" w14:textId="36DEDBB6" w:rsidR="00CF0431" w:rsidRPr="00B418D4" w:rsidRDefault="00CF0431" w:rsidP="00CF0431">
      <w:pPr>
        <w:pStyle w:val="SingleTxtG"/>
        <w:ind w:left="2268"/>
      </w:pPr>
      <w:r>
        <w:rPr>
          <w:lang w:val="fr-FR"/>
        </w:rPr>
        <w:t>« a)</w:t>
      </w:r>
      <w:r>
        <w:rPr>
          <w:lang w:val="fr-FR"/>
        </w:rPr>
        <w:tab/>
        <w:t>Une déclaration du constructeur selon laquelle le véhicule ne comporte aucun dispositif d’invalidation relevant des exceptions prévues au paragraphe</w:t>
      </w:r>
      <w:r w:rsidR="00315861">
        <w:rPr>
          <w:lang w:val="fr-FR"/>
        </w:rPr>
        <w:t> </w:t>
      </w:r>
      <w:r>
        <w:rPr>
          <w:lang w:val="fr-FR"/>
        </w:rPr>
        <w:t>5</w:t>
      </w:r>
      <w:r w:rsidR="00FD6896" w:rsidRPr="00FD6896">
        <w:rPr>
          <w:lang w:val="fr-FR"/>
        </w:rPr>
        <w:t>.</w:t>
      </w:r>
      <w:r>
        <w:rPr>
          <w:lang w:val="fr-FR"/>
        </w:rPr>
        <w:t>1</w:t>
      </w:r>
      <w:r w:rsidR="00FD6896" w:rsidRPr="00FD6896">
        <w:rPr>
          <w:lang w:val="fr-FR"/>
        </w:rPr>
        <w:t>.</w:t>
      </w:r>
      <w:r>
        <w:rPr>
          <w:lang w:val="fr-FR"/>
        </w:rPr>
        <w:t>7 du présent Règlement ; »</w:t>
      </w:r>
      <w:r w:rsidR="00FD6896" w:rsidRPr="00FD6896">
        <w:rPr>
          <w:lang w:val="fr-FR"/>
        </w:rPr>
        <w:t>.</w:t>
      </w:r>
    </w:p>
    <w:p w14:paraId="6EB87B14" w14:textId="77777777" w:rsidR="00CF0431" w:rsidRPr="00B418D4" w:rsidRDefault="00CF0431" w:rsidP="00CF0431">
      <w:pPr>
        <w:spacing w:after="120"/>
        <w:ind w:left="2268" w:right="1134" w:hanging="1134"/>
        <w:jc w:val="both"/>
      </w:pPr>
      <w:r>
        <w:rPr>
          <w:i/>
          <w:iCs/>
          <w:lang w:val="fr-FR"/>
        </w:rPr>
        <w:t>Annexe 1, point i) de l’alinéa d) de l’appendice 3a</w:t>
      </w:r>
      <w:r>
        <w:rPr>
          <w:lang w:val="fr-FR"/>
        </w:rPr>
        <w:t>, lire :</w:t>
      </w:r>
    </w:p>
    <w:p w14:paraId="3656A21B" w14:textId="0173D1F9" w:rsidR="00CF0431" w:rsidRPr="00B418D4" w:rsidRDefault="00CF0431" w:rsidP="00CF0431">
      <w:pPr>
        <w:pStyle w:val="SingleTxtG"/>
        <w:ind w:left="2835"/>
      </w:pPr>
      <w:r>
        <w:rPr>
          <w:lang w:val="fr-FR"/>
        </w:rPr>
        <w:t xml:space="preserve">« i) </w:t>
      </w:r>
      <w:r>
        <w:rPr>
          <w:lang w:val="fr-FR"/>
        </w:rPr>
        <w:tab/>
        <w:t>La raison pour laquelle l’une quelconque des clauses d’exception à l’interdiction des dispositifs d’invalidation figurant au paragraphe 5</w:t>
      </w:r>
      <w:r w:rsidR="00FD6896" w:rsidRPr="00FD6896">
        <w:rPr>
          <w:lang w:val="fr-FR"/>
        </w:rPr>
        <w:t>.</w:t>
      </w:r>
      <w:r>
        <w:rPr>
          <w:lang w:val="fr-FR"/>
        </w:rPr>
        <w:t>1</w:t>
      </w:r>
      <w:r w:rsidR="00FD6896" w:rsidRPr="00FD6896">
        <w:rPr>
          <w:lang w:val="fr-FR"/>
        </w:rPr>
        <w:t>.</w:t>
      </w:r>
      <w:r>
        <w:rPr>
          <w:lang w:val="fr-FR"/>
        </w:rPr>
        <w:t>7 du présent Règlement s’applique ; »</w:t>
      </w:r>
      <w:r w:rsidR="00FD6896" w:rsidRPr="00FD6896">
        <w:rPr>
          <w:lang w:val="fr-FR"/>
        </w:rPr>
        <w:t>.</w:t>
      </w:r>
    </w:p>
    <w:p w14:paraId="3495B8C1" w14:textId="7D20D176" w:rsidR="00CF0431" w:rsidRPr="00B418D4" w:rsidRDefault="00CF0431" w:rsidP="00CF0431">
      <w:pPr>
        <w:spacing w:after="120"/>
        <w:ind w:left="2268" w:right="1134" w:hanging="1134"/>
        <w:jc w:val="both"/>
      </w:pPr>
      <w:r>
        <w:rPr>
          <w:i/>
          <w:iCs/>
          <w:lang w:val="fr-FR"/>
        </w:rPr>
        <w:t>Annexe 1, alinéa f) de l’appendice 3a</w:t>
      </w:r>
      <w:r>
        <w:rPr>
          <w:lang w:val="fr-FR"/>
        </w:rPr>
        <w:t>, modification sans objet en français</w:t>
      </w:r>
      <w:r w:rsidR="00FD6896" w:rsidRPr="00FD6896">
        <w:rPr>
          <w:lang w:val="fr-FR"/>
        </w:rPr>
        <w:t>.</w:t>
      </w:r>
    </w:p>
    <w:p w14:paraId="11F6F9C5" w14:textId="67F5F640" w:rsidR="00CF0431" w:rsidRDefault="00CF0431" w:rsidP="00CF0431">
      <w:pPr>
        <w:spacing w:after="120"/>
        <w:ind w:left="1134" w:right="1134"/>
        <w:jc w:val="both"/>
        <w:rPr>
          <w:lang w:val="fr-FR"/>
        </w:rPr>
      </w:pPr>
      <w:r>
        <w:rPr>
          <w:i/>
          <w:iCs/>
          <w:lang w:val="fr-FR"/>
        </w:rPr>
        <w:t>Annexe 1, objet « Tableau des versions » du tableau A1/1 de l’appendice 3a de l’annexe 1</w:t>
      </w:r>
      <w:r>
        <w:rPr>
          <w:lang w:val="fr-FR"/>
        </w:rPr>
        <w:t>, modification sans objet en français</w:t>
      </w:r>
      <w:r w:rsidR="00FD6896" w:rsidRPr="00FD6896">
        <w:rPr>
          <w:lang w:val="fr-FR"/>
        </w:rPr>
        <w:t>.</w:t>
      </w:r>
      <w:r>
        <w:rPr>
          <w:lang w:val="fr-FR"/>
        </w:rPr>
        <w:t xml:space="preserve"> </w:t>
      </w:r>
    </w:p>
    <w:p w14:paraId="1B1071F0" w14:textId="4AD8A3DA" w:rsidR="00F9573C" w:rsidRDefault="00CF0431" w:rsidP="00CF0431">
      <w:pPr>
        <w:spacing w:after="120"/>
        <w:ind w:left="1134" w:right="1134"/>
        <w:jc w:val="both"/>
        <w:rPr>
          <w:lang w:val="fr-FR"/>
        </w:rPr>
      </w:pPr>
      <w:r>
        <w:rPr>
          <w:i/>
          <w:iCs/>
          <w:lang w:val="fr-FR"/>
        </w:rPr>
        <w:t>Annexe 3, tableau A3/1</w:t>
      </w:r>
      <w:r>
        <w:rPr>
          <w:lang w:val="fr-FR"/>
        </w:rPr>
        <w:t>, lire :</w:t>
      </w:r>
      <w:r>
        <w:rPr>
          <w:lang w:val="fr-FR"/>
        </w:rPr>
        <w:t xml:space="preserve"> </w:t>
      </w:r>
    </w:p>
    <w:p w14:paraId="4A38D323" w14:textId="77777777" w:rsidR="00315861" w:rsidRDefault="00315861" w:rsidP="00CF0431">
      <w:pPr>
        <w:pStyle w:val="SingleTxtG"/>
        <w:sectPr w:rsidR="00315861" w:rsidSect="00CF043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0C2FBA7C" w14:textId="77777777" w:rsidR="00315861" w:rsidRPr="00B418D4" w:rsidRDefault="00315861" w:rsidP="00315861">
      <w:pPr>
        <w:spacing w:line="240" w:lineRule="auto"/>
        <w:ind w:left="567" w:firstLine="567"/>
        <w:outlineLvl w:val="0"/>
      </w:pPr>
      <w:r>
        <w:rPr>
          <w:lang w:val="fr-FR"/>
        </w:rPr>
        <w:lastRenderedPageBreak/>
        <w:t>« Tableau A3/1</w:t>
      </w:r>
    </w:p>
    <w:p w14:paraId="1E11DAD3" w14:textId="77777777" w:rsidR="00315861" w:rsidRPr="00B418D4" w:rsidRDefault="00315861" w:rsidP="00315861">
      <w:pPr>
        <w:spacing w:after="120"/>
        <w:ind w:left="1134" w:right="1134"/>
        <w:jc w:val="both"/>
      </w:pPr>
      <w:r>
        <w:rPr>
          <w:b/>
          <w:bCs/>
          <w:lang w:val="fr-FR"/>
        </w:rPr>
        <w:t>Lettres renvoyant à la norme d’émission, à la catégorie de véhicule et au type de moteur</w:t>
      </w:r>
    </w:p>
    <w:tbl>
      <w:tblPr>
        <w:tblW w:w="1377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6"/>
        <w:gridCol w:w="1060"/>
        <w:gridCol w:w="1060"/>
        <w:gridCol w:w="757"/>
        <w:gridCol w:w="1024"/>
        <w:gridCol w:w="1095"/>
        <w:gridCol w:w="4551"/>
        <w:gridCol w:w="3173"/>
      </w:tblGrid>
      <w:tr w:rsidR="00315861" w:rsidRPr="00315861" w14:paraId="745188A7" w14:textId="77777777" w:rsidTr="00315861">
        <w:trPr>
          <w:trHeight w:val="843"/>
          <w:tblHeader/>
        </w:trPr>
        <w:tc>
          <w:tcPr>
            <w:tcW w:w="1056" w:type="dxa"/>
            <w:vMerge w:val="restart"/>
            <w:shd w:val="clear" w:color="auto" w:fill="auto"/>
            <w:vAlign w:val="bottom"/>
          </w:tcPr>
          <w:p w14:paraId="2E0497D6"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Lettre</w:t>
            </w:r>
          </w:p>
        </w:tc>
        <w:tc>
          <w:tcPr>
            <w:tcW w:w="1060" w:type="dxa"/>
            <w:vMerge w:val="restart"/>
            <w:shd w:val="clear" w:color="auto" w:fill="auto"/>
            <w:vAlign w:val="bottom"/>
          </w:tcPr>
          <w:p w14:paraId="0141B5A7"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 xml:space="preserve">Norme d’émission </w:t>
            </w:r>
          </w:p>
        </w:tc>
        <w:tc>
          <w:tcPr>
            <w:tcW w:w="1060" w:type="dxa"/>
            <w:vMerge w:val="restart"/>
            <w:shd w:val="clear" w:color="auto" w:fill="auto"/>
            <w:vAlign w:val="bottom"/>
          </w:tcPr>
          <w:p w14:paraId="50E27107"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 xml:space="preserve">Catégorie de véhicule </w:t>
            </w:r>
          </w:p>
        </w:tc>
        <w:tc>
          <w:tcPr>
            <w:tcW w:w="757" w:type="dxa"/>
            <w:vMerge w:val="restart"/>
            <w:shd w:val="clear" w:color="auto" w:fill="auto"/>
            <w:vAlign w:val="bottom"/>
          </w:tcPr>
          <w:p w14:paraId="1A16FD93"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Type de moteur</w:t>
            </w:r>
          </w:p>
        </w:tc>
        <w:tc>
          <w:tcPr>
            <w:tcW w:w="1024" w:type="dxa"/>
            <w:vMerge w:val="restart"/>
            <w:shd w:val="clear" w:color="auto" w:fill="auto"/>
            <w:vAlign w:val="bottom"/>
          </w:tcPr>
          <w:p w14:paraId="7F0AC225"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Avertisseur AES1)</w:t>
            </w:r>
          </w:p>
        </w:tc>
        <w:tc>
          <w:tcPr>
            <w:tcW w:w="1095" w:type="dxa"/>
            <w:vMerge w:val="restart"/>
            <w:shd w:val="clear" w:color="auto" w:fill="auto"/>
            <w:vAlign w:val="bottom"/>
          </w:tcPr>
          <w:p w14:paraId="5AC70C29"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 xml:space="preserve">OBD </w:t>
            </w:r>
          </w:p>
        </w:tc>
        <w:tc>
          <w:tcPr>
            <w:tcW w:w="7724" w:type="dxa"/>
            <w:gridSpan w:val="2"/>
            <w:shd w:val="clear" w:color="auto" w:fill="auto"/>
            <w:vAlign w:val="bottom"/>
          </w:tcPr>
          <w:p w14:paraId="212A7184"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Conformité</w:t>
            </w:r>
          </w:p>
        </w:tc>
      </w:tr>
      <w:tr w:rsidR="00315861" w:rsidRPr="00315861" w14:paraId="452D6518" w14:textId="77777777" w:rsidTr="00315861">
        <w:trPr>
          <w:tblHeader/>
        </w:trPr>
        <w:tc>
          <w:tcPr>
            <w:tcW w:w="1056" w:type="dxa"/>
            <w:vMerge/>
            <w:shd w:val="clear" w:color="auto" w:fill="auto"/>
          </w:tcPr>
          <w:p w14:paraId="76F4553E"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1060" w:type="dxa"/>
            <w:vMerge/>
            <w:shd w:val="clear" w:color="auto" w:fill="auto"/>
          </w:tcPr>
          <w:p w14:paraId="16771EFE"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1060" w:type="dxa"/>
            <w:vMerge/>
            <w:shd w:val="clear" w:color="auto" w:fill="auto"/>
          </w:tcPr>
          <w:p w14:paraId="72ECA64D"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757" w:type="dxa"/>
            <w:vMerge/>
            <w:shd w:val="clear" w:color="auto" w:fill="auto"/>
          </w:tcPr>
          <w:p w14:paraId="7BB4C25E"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1024" w:type="dxa"/>
            <w:vMerge/>
            <w:shd w:val="clear" w:color="auto" w:fill="auto"/>
          </w:tcPr>
          <w:p w14:paraId="60918DA7"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1095" w:type="dxa"/>
            <w:vMerge/>
            <w:shd w:val="clear" w:color="auto" w:fill="auto"/>
          </w:tcPr>
          <w:p w14:paraId="4AF42319"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p>
        </w:tc>
        <w:tc>
          <w:tcPr>
            <w:tcW w:w="4551" w:type="dxa"/>
            <w:shd w:val="clear" w:color="auto" w:fill="auto"/>
          </w:tcPr>
          <w:p w14:paraId="12F35159" w14:textId="0C09376F"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 xml:space="preserve">Règlement ONU </w:t>
            </w:r>
            <w:r w:rsidRPr="00315861">
              <w:rPr>
                <w:rFonts w:eastAsia="MS Mincho"/>
                <w:i/>
                <w:spacing w:val="4"/>
                <w:w w:val="103"/>
                <w:kern w:val="14"/>
                <w:sz w:val="16"/>
                <w:lang w:val="fr-FR"/>
              </w:rPr>
              <w:t>n</w:t>
            </w:r>
            <w:r w:rsidRPr="00315861">
              <w:rPr>
                <w:rFonts w:eastAsia="MS Mincho"/>
                <w:i/>
                <w:spacing w:val="4"/>
                <w:w w:val="103"/>
                <w:kern w:val="14"/>
                <w:sz w:val="16"/>
                <w:vertAlign w:val="superscript"/>
                <w:lang w:val="fr-FR"/>
              </w:rPr>
              <w:t>o</w:t>
            </w:r>
            <w:r>
              <w:rPr>
                <w:i/>
                <w:spacing w:val="4"/>
                <w:w w:val="103"/>
                <w:kern w:val="14"/>
                <w:sz w:val="16"/>
                <w:lang w:val="fr-FR"/>
              </w:rPr>
              <w:t> </w:t>
            </w:r>
            <w:r w:rsidRPr="00315861">
              <w:rPr>
                <w:i/>
                <w:spacing w:val="4"/>
                <w:w w:val="103"/>
                <w:kern w:val="14"/>
                <w:sz w:val="16"/>
                <w:lang w:val="fr-FR"/>
              </w:rPr>
              <w:t>154</w:t>
            </w:r>
          </w:p>
        </w:tc>
        <w:tc>
          <w:tcPr>
            <w:tcW w:w="3173" w:type="dxa"/>
            <w:shd w:val="clear" w:color="auto" w:fill="auto"/>
          </w:tcPr>
          <w:p w14:paraId="1B847FF4" w14:textId="77777777" w:rsidR="00315861" w:rsidRPr="00315861" w:rsidRDefault="00315861" w:rsidP="00315861">
            <w:pPr>
              <w:suppressAutoHyphens w:val="0"/>
              <w:spacing w:before="60" w:after="60" w:line="220" w:lineRule="atLeast"/>
              <w:ind w:left="57" w:right="57"/>
              <w:rPr>
                <w:bCs/>
                <w:i/>
                <w:spacing w:val="4"/>
                <w:w w:val="103"/>
                <w:kern w:val="14"/>
                <w:sz w:val="16"/>
                <w:szCs w:val="16"/>
              </w:rPr>
            </w:pPr>
            <w:r w:rsidRPr="00315861">
              <w:rPr>
                <w:i/>
                <w:spacing w:val="4"/>
                <w:w w:val="103"/>
                <w:kern w:val="14"/>
                <w:sz w:val="16"/>
                <w:lang w:val="fr-FR"/>
              </w:rPr>
              <w:t>Autres</w:t>
            </w:r>
          </w:p>
        </w:tc>
      </w:tr>
      <w:tr w:rsidR="00315861" w:rsidRPr="00315861" w14:paraId="3F24AE57" w14:textId="77777777" w:rsidTr="00315861">
        <w:tc>
          <w:tcPr>
            <w:tcW w:w="1056" w:type="dxa"/>
            <w:shd w:val="clear" w:color="auto" w:fill="auto"/>
            <w:vAlign w:val="center"/>
          </w:tcPr>
          <w:p w14:paraId="798C1F0F" w14:textId="77777777" w:rsidR="00315861" w:rsidRPr="00315861" w:rsidRDefault="00315861" w:rsidP="00315861">
            <w:pPr>
              <w:suppressAutoHyphens w:val="0"/>
              <w:spacing w:before="60" w:after="60" w:line="220" w:lineRule="atLeast"/>
              <w:ind w:left="57" w:right="57"/>
              <w:rPr>
                <w:bCs/>
              </w:rPr>
            </w:pPr>
            <w:r w:rsidRPr="00315861">
              <w:rPr>
                <w:lang w:val="fr-FR"/>
              </w:rPr>
              <w:t>EA</w:t>
            </w:r>
          </w:p>
        </w:tc>
        <w:tc>
          <w:tcPr>
            <w:tcW w:w="1060" w:type="dxa"/>
            <w:shd w:val="clear" w:color="auto" w:fill="auto"/>
            <w:vAlign w:val="center"/>
          </w:tcPr>
          <w:p w14:paraId="0F907E62" w14:textId="77777777" w:rsidR="00315861" w:rsidRPr="00315861" w:rsidRDefault="00315861" w:rsidP="00315861">
            <w:pPr>
              <w:suppressAutoHyphens w:val="0"/>
              <w:spacing w:before="60" w:after="60" w:line="220" w:lineRule="atLeast"/>
              <w:ind w:left="57" w:right="57"/>
              <w:rPr>
                <w:bCs/>
              </w:rPr>
            </w:pPr>
            <w:r w:rsidRPr="00315861">
              <w:rPr>
                <w:lang w:val="fr-FR"/>
              </w:rPr>
              <w:t>Euro 6e</w:t>
            </w:r>
          </w:p>
        </w:tc>
        <w:tc>
          <w:tcPr>
            <w:tcW w:w="1060" w:type="dxa"/>
            <w:vMerge w:val="restart"/>
            <w:shd w:val="clear" w:color="auto" w:fill="auto"/>
            <w:vAlign w:val="center"/>
          </w:tcPr>
          <w:p w14:paraId="354D39DD" w14:textId="2A981824" w:rsidR="00315861" w:rsidRPr="00315861" w:rsidRDefault="00315861" w:rsidP="00315861">
            <w:pPr>
              <w:suppressAutoHyphens w:val="0"/>
              <w:spacing w:before="60" w:after="60" w:line="220" w:lineRule="atLeast"/>
              <w:ind w:left="57" w:right="57"/>
              <w:rPr>
                <w:bCs/>
              </w:rPr>
            </w:pPr>
            <w:r w:rsidRPr="00315861">
              <w:rPr>
                <w:lang w:val="fr-FR"/>
              </w:rPr>
              <w:t>M</w:t>
            </w:r>
            <w:r w:rsidRPr="00315861">
              <w:rPr>
                <w:vertAlign w:val="subscript"/>
                <w:lang w:val="fr-FR"/>
              </w:rPr>
              <w:t>1</w:t>
            </w:r>
            <w:r w:rsidRPr="00315861">
              <w:rPr>
                <w:lang w:val="fr-FR"/>
              </w:rPr>
              <w:t>, M</w:t>
            </w:r>
            <w:r w:rsidRPr="00315861">
              <w:rPr>
                <w:vertAlign w:val="subscript"/>
                <w:lang w:val="fr-FR"/>
              </w:rPr>
              <w:t>2</w:t>
            </w:r>
            <w:r>
              <w:rPr>
                <w:vertAlign w:val="subscript"/>
                <w:lang w:val="fr-FR"/>
              </w:rPr>
              <w:t>)</w:t>
            </w:r>
          </w:p>
          <w:p w14:paraId="6EB198F7" w14:textId="77777777" w:rsidR="00315861" w:rsidRPr="00315861" w:rsidRDefault="00315861" w:rsidP="00315861">
            <w:pPr>
              <w:suppressAutoHyphens w:val="0"/>
              <w:spacing w:before="60" w:after="60" w:line="220" w:lineRule="atLeast"/>
              <w:ind w:left="57" w:right="57"/>
              <w:rPr>
                <w:bCs/>
              </w:rPr>
            </w:pPr>
            <w:r w:rsidRPr="00315861">
              <w:rPr>
                <w:lang w:val="fr-FR"/>
              </w:rPr>
              <w:t>N</w:t>
            </w:r>
            <w:r w:rsidRPr="00315861">
              <w:rPr>
                <w:vertAlign w:val="subscript"/>
                <w:lang w:val="fr-FR"/>
              </w:rPr>
              <w:t>1</w:t>
            </w:r>
            <w:r w:rsidRPr="00315861">
              <w:rPr>
                <w:lang w:val="fr-FR"/>
              </w:rPr>
              <w:t>, N</w:t>
            </w:r>
            <w:r w:rsidRPr="00315861">
              <w:rPr>
                <w:vertAlign w:val="subscript"/>
                <w:lang w:val="fr-FR"/>
              </w:rPr>
              <w:t>2</w:t>
            </w:r>
            <w:r w:rsidRPr="00315861">
              <w:rPr>
                <w:vertAlign w:val="superscript"/>
                <w:lang w:val="fr-FR"/>
              </w:rPr>
              <w:t>3)</w:t>
            </w:r>
          </w:p>
        </w:tc>
        <w:tc>
          <w:tcPr>
            <w:tcW w:w="757" w:type="dxa"/>
            <w:vMerge w:val="restart"/>
            <w:shd w:val="clear" w:color="auto" w:fill="auto"/>
            <w:vAlign w:val="center"/>
          </w:tcPr>
          <w:p w14:paraId="2E463916" w14:textId="77777777" w:rsidR="00315861" w:rsidRPr="00315861" w:rsidRDefault="00315861" w:rsidP="00315861">
            <w:pPr>
              <w:suppressAutoHyphens w:val="0"/>
              <w:spacing w:before="60" w:after="60" w:line="220" w:lineRule="atLeast"/>
              <w:ind w:left="57" w:right="57"/>
              <w:rPr>
                <w:bCs/>
              </w:rPr>
            </w:pPr>
            <w:r w:rsidRPr="00315861">
              <w:rPr>
                <w:lang w:val="fr-FR"/>
              </w:rPr>
              <w:t>PI, CI</w:t>
            </w:r>
          </w:p>
        </w:tc>
        <w:tc>
          <w:tcPr>
            <w:tcW w:w="1024" w:type="dxa"/>
            <w:shd w:val="clear" w:color="auto" w:fill="auto"/>
            <w:vAlign w:val="center"/>
          </w:tcPr>
          <w:p w14:paraId="5708D67C" w14:textId="77777777" w:rsidR="00315861" w:rsidRPr="00315861" w:rsidRDefault="00315861" w:rsidP="00315861">
            <w:pPr>
              <w:suppressAutoHyphens w:val="0"/>
              <w:spacing w:before="60" w:after="60" w:line="220" w:lineRule="atLeast"/>
              <w:ind w:left="57" w:right="57"/>
              <w:rPr>
                <w:bCs/>
              </w:rPr>
            </w:pPr>
            <w:r w:rsidRPr="00315861">
              <w:rPr>
                <w:lang w:val="fr-FR"/>
              </w:rPr>
              <w:t>Non</w:t>
            </w:r>
          </w:p>
        </w:tc>
        <w:tc>
          <w:tcPr>
            <w:tcW w:w="1095" w:type="dxa"/>
            <w:vMerge w:val="restart"/>
            <w:shd w:val="clear" w:color="auto" w:fill="auto"/>
            <w:vAlign w:val="center"/>
          </w:tcPr>
          <w:p w14:paraId="0919368E" w14:textId="77777777" w:rsidR="00315861" w:rsidRPr="00315861" w:rsidRDefault="00315861" w:rsidP="00315861">
            <w:pPr>
              <w:suppressAutoHyphens w:val="0"/>
              <w:spacing w:before="60" w:after="60" w:line="220" w:lineRule="atLeast"/>
              <w:ind w:left="57" w:right="57"/>
              <w:rPr>
                <w:bCs/>
              </w:rPr>
            </w:pPr>
            <w:r w:rsidRPr="00315861">
              <w:rPr>
                <w:lang w:val="fr-FR"/>
              </w:rPr>
              <w:t>Seuils OBD</w:t>
            </w:r>
            <w:r w:rsidRPr="00315861">
              <w:rPr>
                <w:vertAlign w:val="superscript"/>
                <w:lang w:val="fr-FR"/>
              </w:rPr>
              <w:t>2)</w:t>
            </w:r>
          </w:p>
        </w:tc>
        <w:tc>
          <w:tcPr>
            <w:tcW w:w="4551" w:type="dxa"/>
            <w:shd w:val="clear" w:color="auto" w:fill="auto"/>
          </w:tcPr>
          <w:p w14:paraId="274EA175" w14:textId="0C7C4032" w:rsidR="00315861" w:rsidRPr="00315861" w:rsidRDefault="00315861" w:rsidP="00315861">
            <w:pPr>
              <w:suppressAutoHyphens w:val="0"/>
              <w:spacing w:before="60" w:after="60" w:line="220" w:lineRule="atLeast"/>
              <w:ind w:left="57" w:right="57"/>
              <w:rPr>
                <w:bCs/>
                <w:szCs w:val="10"/>
              </w:rPr>
            </w:pPr>
            <w:r w:rsidRPr="00315861">
              <w:rPr>
                <w:lang w:val="fr-FR"/>
              </w:rPr>
              <w:t>Prescriptions du niveau 1A de la série 02 ou de la série</w:t>
            </w:r>
            <w:r>
              <w:rPr>
                <w:lang w:val="fr-FR"/>
              </w:rPr>
              <w:t> </w:t>
            </w:r>
            <w:r w:rsidRPr="00315861">
              <w:rPr>
                <w:lang w:val="fr-FR"/>
              </w:rPr>
              <w:t xml:space="preserve">03 d’amendements, compte tenu du facteur d’utilisation fondé sur la valeur </w:t>
            </w:r>
            <w:proofErr w:type="spellStart"/>
            <w:r w:rsidRPr="00315861">
              <w:rPr>
                <w:lang w:val="fr-FR"/>
              </w:rPr>
              <w:t>d</w:t>
            </w:r>
            <w:r w:rsidRPr="00315861">
              <w:rPr>
                <w:vertAlign w:val="subscript"/>
                <w:lang w:val="fr-FR"/>
              </w:rPr>
              <w:t>nea</w:t>
            </w:r>
            <w:proofErr w:type="spellEnd"/>
            <w:r w:rsidRPr="00315861">
              <w:rPr>
                <w:lang w:val="fr-FR"/>
              </w:rPr>
              <w:t xml:space="preserve"> et déterminé conformément aux valeurs indiquées dans le tableau A8</w:t>
            </w:r>
            <w:r w:rsidR="00FD6896" w:rsidRPr="00FD6896">
              <w:rPr>
                <w:lang w:val="fr-FR"/>
              </w:rPr>
              <w:t>.</w:t>
            </w:r>
            <w:r w:rsidRPr="00315861">
              <w:rPr>
                <w:lang w:val="fr-FR"/>
              </w:rPr>
              <w:t xml:space="preserve">App5/1 de l’appendice 5 de l’annexe B8 du Règlement ONU </w:t>
            </w:r>
            <w:r w:rsidRPr="00315861">
              <w:rPr>
                <w:rFonts w:eastAsia="MS Mincho"/>
                <w:lang w:val="fr-FR"/>
              </w:rPr>
              <w:t>n</w:t>
            </w:r>
            <w:r w:rsidRPr="00315861">
              <w:rPr>
                <w:rFonts w:eastAsia="MS Mincho"/>
                <w:vertAlign w:val="superscript"/>
                <w:lang w:val="fr-FR"/>
              </w:rPr>
              <w:t>o</w:t>
            </w:r>
            <w:r w:rsidRPr="00315861">
              <w:rPr>
                <w:lang w:val="fr-FR"/>
              </w:rPr>
              <w:t xml:space="preserve"> 154</w:t>
            </w:r>
          </w:p>
        </w:tc>
        <w:tc>
          <w:tcPr>
            <w:tcW w:w="3173" w:type="dxa"/>
            <w:vMerge w:val="restart"/>
            <w:shd w:val="clear" w:color="auto" w:fill="auto"/>
          </w:tcPr>
          <w:p w14:paraId="7B49DE30" w14:textId="1F49E9E2" w:rsidR="00315861" w:rsidRPr="00315861" w:rsidRDefault="00315861" w:rsidP="00315861">
            <w:pPr>
              <w:suppressAutoHyphens w:val="0"/>
              <w:spacing w:before="60" w:after="60" w:line="220" w:lineRule="atLeast"/>
              <w:ind w:left="567" w:right="57" w:hanging="510"/>
              <w:rPr>
                <w:bCs/>
                <w:szCs w:val="10"/>
              </w:rPr>
            </w:pPr>
            <w:r w:rsidRPr="00315861">
              <w:rPr>
                <w:lang w:val="fr-FR"/>
              </w:rPr>
              <w:t>a)</w:t>
            </w:r>
            <w:r w:rsidRPr="00315861">
              <w:rPr>
                <w:lang w:val="fr-FR"/>
              </w:rPr>
              <w:tab/>
              <w:t xml:space="preserve">Prescriptions énoncées dans la troisième partie du Règlement ONU </w:t>
            </w:r>
            <w:r w:rsidRPr="00315861">
              <w:rPr>
                <w:rFonts w:eastAsia="MS Mincho"/>
                <w:lang w:val="fr-FR"/>
              </w:rPr>
              <w:t>n</w:t>
            </w:r>
            <w:r w:rsidRPr="00315861">
              <w:rPr>
                <w:rFonts w:eastAsia="MS Mincho"/>
                <w:vertAlign w:val="superscript"/>
                <w:lang w:val="fr-FR"/>
              </w:rPr>
              <w:t>o</w:t>
            </w:r>
            <w:r>
              <w:rPr>
                <w:lang w:val="fr-FR"/>
              </w:rPr>
              <w:t> </w:t>
            </w:r>
            <w:r w:rsidRPr="00315861">
              <w:rPr>
                <w:lang w:val="fr-FR"/>
              </w:rPr>
              <w:t>24 (le cas échéant)</w:t>
            </w:r>
          </w:p>
          <w:p w14:paraId="5BDDCF9F" w14:textId="3327EEC2" w:rsidR="00315861" w:rsidRPr="00315861" w:rsidRDefault="00315861" w:rsidP="00315861">
            <w:pPr>
              <w:suppressAutoHyphens w:val="0"/>
              <w:spacing w:before="60" w:after="60" w:line="220" w:lineRule="atLeast"/>
              <w:ind w:left="567" w:right="57" w:hanging="510"/>
              <w:rPr>
                <w:bCs/>
                <w:szCs w:val="10"/>
              </w:rPr>
            </w:pPr>
            <w:r w:rsidRPr="00315861">
              <w:rPr>
                <w:lang w:val="fr-FR"/>
              </w:rPr>
              <w:t>b)</w:t>
            </w:r>
            <w:r w:rsidRPr="00315861">
              <w:rPr>
                <w:lang w:val="fr-FR"/>
              </w:rPr>
              <w:tab/>
              <w:t xml:space="preserve">Prescriptions du Règlement ONU </w:t>
            </w:r>
            <w:r w:rsidRPr="00315861">
              <w:rPr>
                <w:rFonts w:eastAsia="MS Mincho"/>
                <w:lang w:val="fr-FR"/>
              </w:rPr>
              <w:t>n</w:t>
            </w:r>
            <w:r w:rsidRPr="00315861">
              <w:rPr>
                <w:rFonts w:eastAsia="MS Mincho"/>
                <w:vertAlign w:val="superscript"/>
                <w:lang w:val="fr-FR"/>
              </w:rPr>
              <w:t>o</w:t>
            </w:r>
            <w:r w:rsidRPr="00315861">
              <w:rPr>
                <w:lang w:val="fr-FR"/>
              </w:rPr>
              <w:t xml:space="preserve"> 85</w:t>
            </w:r>
          </w:p>
          <w:p w14:paraId="6772EE16" w14:textId="036EF308" w:rsidR="00315861" w:rsidRPr="00315861" w:rsidRDefault="00315861" w:rsidP="00315861">
            <w:pPr>
              <w:suppressAutoHyphens w:val="0"/>
              <w:spacing w:before="60" w:after="60" w:line="220" w:lineRule="atLeast"/>
              <w:ind w:left="567" w:right="57" w:hanging="510"/>
              <w:rPr>
                <w:bCs/>
                <w:szCs w:val="14"/>
              </w:rPr>
            </w:pPr>
            <w:r w:rsidRPr="00315861">
              <w:rPr>
                <w:lang w:val="fr-FR"/>
              </w:rPr>
              <w:t>c)</w:t>
            </w:r>
            <w:r w:rsidRPr="00315861">
              <w:rPr>
                <w:lang w:val="fr-FR"/>
              </w:rPr>
              <w:tab/>
              <w:t xml:space="preserve">Prescriptions du Règlement ONU </w:t>
            </w:r>
            <w:r w:rsidRPr="00315861">
              <w:rPr>
                <w:rFonts w:eastAsia="MS Mincho"/>
                <w:lang w:val="fr-FR"/>
              </w:rPr>
              <w:t>n</w:t>
            </w:r>
            <w:r w:rsidRPr="00315861">
              <w:rPr>
                <w:rFonts w:eastAsia="MS Mincho"/>
                <w:vertAlign w:val="superscript"/>
                <w:lang w:val="fr-FR"/>
              </w:rPr>
              <w:t>o</w:t>
            </w:r>
            <w:r>
              <w:rPr>
                <w:lang w:val="fr-FR"/>
              </w:rPr>
              <w:t> </w:t>
            </w:r>
            <w:r w:rsidRPr="00315861">
              <w:rPr>
                <w:lang w:val="fr-FR"/>
              </w:rPr>
              <w:t>168 sur les émissions en conditions réelles de conduite</w:t>
            </w:r>
          </w:p>
        </w:tc>
      </w:tr>
      <w:tr w:rsidR="00315861" w:rsidRPr="00315861" w14:paraId="577E2D1B" w14:textId="77777777" w:rsidTr="00315861">
        <w:tc>
          <w:tcPr>
            <w:tcW w:w="1056" w:type="dxa"/>
            <w:shd w:val="clear" w:color="auto" w:fill="auto"/>
            <w:vAlign w:val="center"/>
          </w:tcPr>
          <w:p w14:paraId="7D410C1B" w14:textId="77777777" w:rsidR="00315861" w:rsidRPr="00315861" w:rsidRDefault="00315861" w:rsidP="00315861">
            <w:pPr>
              <w:suppressAutoHyphens w:val="0"/>
              <w:spacing w:before="60" w:after="60" w:line="220" w:lineRule="atLeast"/>
              <w:ind w:left="57" w:right="57"/>
              <w:rPr>
                <w:bCs/>
              </w:rPr>
            </w:pPr>
            <w:r w:rsidRPr="00315861">
              <w:rPr>
                <w:lang w:val="fr-FR"/>
              </w:rPr>
              <w:t>EB</w:t>
            </w:r>
          </w:p>
        </w:tc>
        <w:tc>
          <w:tcPr>
            <w:tcW w:w="1060" w:type="dxa"/>
            <w:shd w:val="clear" w:color="auto" w:fill="auto"/>
            <w:vAlign w:val="center"/>
          </w:tcPr>
          <w:p w14:paraId="437A531B" w14:textId="77777777" w:rsidR="00315861" w:rsidRPr="00315861" w:rsidRDefault="00315861" w:rsidP="00315861">
            <w:pPr>
              <w:suppressAutoHyphens w:val="0"/>
              <w:spacing w:before="60" w:after="60" w:line="220" w:lineRule="atLeast"/>
              <w:ind w:left="57" w:right="57"/>
              <w:rPr>
                <w:bCs/>
              </w:rPr>
            </w:pPr>
            <w:r w:rsidRPr="00315861">
              <w:rPr>
                <w:lang w:val="fr-FR"/>
              </w:rPr>
              <w:t>Euro 6e-bis</w:t>
            </w:r>
          </w:p>
        </w:tc>
        <w:tc>
          <w:tcPr>
            <w:tcW w:w="1060" w:type="dxa"/>
            <w:vMerge/>
            <w:shd w:val="clear" w:color="auto" w:fill="auto"/>
          </w:tcPr>
          <w:p w14:paraId="46D310D8" w14:textId="77777777" w:rsidR="00315861" w:rsidRPr="00315861" w:rsidRDefault="00315861" w:rsidP="00315861">
            <w:pPr>
              <w:suppressAutoHyphens w:val="0"/>
              <w:spacing w:before="60" w:after="60" w:line="220" w:lineRule="atLeast"/>
              <w:ind w:left="57" w:right="57"/>
              <w:rPr>
                <w:bCs/>
              </w:rPr>
            </w:pPr>
          </w:p>
        </w:tc>
        <w:tc>
          <w:tcPr>
            <w:tcW w:w="757" w:type="dxa"/>
            <w:vMerge/>
            <w:shd w:val="clear" w:color="auto" w:fill="auto"/>
          </w:tcPr>
          <w:p w14:paraId="2A3A06BC" w14:textId="77777777" w:rsidR="00315861" w:rsidRPr="00315861" w:rsidRDefault="00315861" w:rsidP="00315861">
            <w:pPr>
              <w:suppressAutoHyphens w:val="0"/>
              <w:spacing w:before="60" w:after="60" w:line="220" w:lineRule="atLeast"/>
              <w:ind w:left="57" w:right="57"/>
              <w:rPr>
                <w:bCs/>
              </w:rPr>
            </w:pPr>
          </w:p>
        </w:tc>
        <w:tc>
          <w:tcPr>
            <w:tcW w:w="1024" w:type="dxa"/>
            <w:vMerge w:val="restart"/>
            <w:shd w:val="clear" w:color="auto" w:fill="auto"/>
            <w:vAlign w:val="center"/>
          </w:tcPr>
          <w:p w14:paraId="0F213317" w14:textId="77777777" w:rsidR="00315861" w:rsidRPr="00315861" w:rsidRDefault="00315861" w:rsidP="00315861">
            <w:pPr>
              <w:suppressAutoHyphens w:val="0"/>
              <w:spacing w:before="60" w:after="60" w:line="220" w:lineRule="atLeast"/>
              <w:ind w:left="57" w:right="57"/>
              <w:rPr>
                <w:bCs/>
              </w:rPr>
            </w:pPr>
            <w:r w:rsidRPr="00315861">
              <w:rPr>
                <w:lang w:val="fr-FR"/>
              </w:rPr>
              <w:t>Oui</w:t>
            </w:r>
          </w:p>
        </w:tc>
        <w:tc>
          <w:tcPr>
            <w:tcW w:w="1095" w:type="dxa"/>
            <w:vMerge/>
            <w:shd w:val="clear" w:color="auto" w:fill="auto"/>
          </w:tcPr>
          <w:p w14:paraId="07B1B633" w14:textId="77777777" w:rsidR="00315861" w:rsidRPr="00315861" w:rsidRDefault="00315861" w:rsidP="00315861">
            <w:pPr>
              <w:suppressAutoHyphens w:val="0"/>
              <w:spacing w:before="60" w:after="60" w:line="220" w:lineRule="atLeast"/>
              <w:ind w:left="57" w:right="57"/>
              <w:rPr>
                <w:bCs/>
                <w:strike/>
              </w:rPr>
            </w:pPr>
          </w:p>
        </w:tc>
        <w:tc>
          <w:tcPr>
            <w:tcW w:w="4551" w:type="dxa"/>
            <w:shd w:val="clear" w:color="auto" w:fill="auto"/>
          </w:tcPr>
          <w:p w14:paraId="47A788E3" w14:textId="3C191506" w:rsidR="00315861" w:rsidRPr="00315861" w:rsidRDefault="00315861" w:rsidP="00315861">
            <w:pPr>
              <w:suppressAutoHyphens w:val="0"/>
              <w:spacing w:before="60" w:after="60" w:line="220" w:lineRule="atLeast"/>
              <w:ind w:left="57" w:right="57"/>
              <w:rPr>
                <w:bCs/>
              </w:rPr>
            </w:pPr>
            <w:r w:rsidRPr="00315861">
              <w:rPr>
                <w:lang w:val="fr-FR"/>
              </w:rPr>
              <w:t>Prescriptions du niveau 1A de la série 02 ou de la série</w:t>
            </w:r>
            <w:r>
              <w:rPr>
                <w:lang w:val="fr-FR"/>
              </w:rPr>
              <w:t> </w:t>
            </w:r>
            <w:r w:rsidRPr="00315861">
              <w:rPr>
                <w:lang w:val="fr-FR"/>
              </w:rPr>
              <w:t xml:space="preserve">03 d’amendements, compte tenu du facteur d’utilisation fondé sur la valeur </w:t>
            </w:r>
            <w:proofErr w:type="spellStart"/>
            <w:r w:rsidRPr="00315861">
              <w:rPr>
                <w:lang w:val="fr-FR"/>
              </w:rPr>
              <w:t>d</w:t>
            </w:r>
            <w:r w:rsidRPr="00315861">
              <w:rPr>
                <w:vertAlign w:val="subscript"/>
                <w:lang w:val="fr-FR"/>
              </w:rPr>
              <w:t>neb</w:t>
            </w:r>
            <w:proofErr w:type="spellEnd"/>
            <w:r w:rsidRPr="00315861">
              <w:rPr>
                <w:lang w:val="fr-FR"/>
              </w:rPr>
              <w:t xml:space="preserve"> et déterminé conformément aux valeurs indiquées dans le tableau A8</w:t>
            </w:r>
            <w:r w:rsidR="00FD6896" w:rsidRPr="00FD6896">
              <w:rPr>
                <w:lang w:val="fr-FR"/>
              </w:rPr>
              <w:t>.</w:t>
            </w:r>
            <w:r w:rsidRPr="00315861">
              <w:rPr>
                <w:lang w:val="fr-FR"/>
              </w:rPr>
              <w:t xml:space="preserve">App5/1 de l’appendice 5 de l’annexe B8 du Règlement ONU </w:t>
            </w:r>
            <w:r w:rsidRPr="00315861">
              <w:rPr>
                <w:rFonts w:eastAsia="MS Mincho"/>
                <w:lang w:val="fr-FR"/>
              </w:rPr>
              <w:t>n</w:t>
            </w:r>
            <w:r w:rsidRPr="00315861">
              <w:rPr>
                <w:rFonts w:eastAsia="MS Mincho"/>
                <w:vertAlign w:val="superscript"/>
                <w:lang w:val="fr-FR"/>
              </w:rPr>
              <w:t>o</w:t>
            </w:r>
            <w:r w:rsidRPr="00315861">
              <w:rPr>
                <w:lang w:val="fr-FR"/>
              </w:rPr>
              <w:t xml:space="preserve"> 154</w:t>
            </w:r>
          </w:p>
        </w:tc>
        <w:tc>
          <w:tcPr>
            <w:tcW w:w="3173" w:type="dxa"/>
            <w:vMerge/>
            <w:shd w:val="clear" w:color="auto" w:fill="auto"/>
          </w:tcPr>
          <w:p w14:paraId="013B3573" w14:textId="77777777" w:rsidR="00315861" w:rsidRPr="00315861" w:rsidRDefault="00315861" w:rsidP="00315861">
            <w:pPr>
              <w:suppressAutoHyphens w:val="0"/>
              <w:spacing w:before="60" w:after="60" w:line="220" w:lineRule="atLeast"/>
              <w:ind w:left="57" w:right="57"/>
              <w:rPr>
                <w:bCs/>
                <w:strike/>
              </w:rPr>
            </w:pPr>
          </w:p>
        </w:tc>
      </w:tr>
      <w:tr w:rsidR="00315861" w:rsidRPr="00315861" w14:paraId="0A3C49D6" w14:textId="77777777" w:rsidTr="00315861">
        <w:tc>
          <w:tcPr>
            <w:tcW w:w="1056" w:type="dxa"/>
            <w:shd w:val="clear" w:color="auto" w:fill="auto"/>
            <w:vAlign w:val="center"/>
          </w:tcPr>
          <w:p w14:paraId="1E9544B8" w14:textId="77777777" w:rsidR="00315861" w:rsidRPr="00315861" w:rsidRDefault="00315861" w:rsidP="00315861">
            <w:pPr>
              <w:suppressAutoHyphens w:val="0"/>
              <w:spacing w:before="60" w:after="60" w:line="220" w:lineRule="atLeast"/>
              <w:ind w:left="57" w:right="57"/>
              <w:rPr>
                <w:bCs/>
              </w:rPr>
            </w:pPr>
            <w:r w:rsidRPr="00315861">
              <w:rPr>
                <w:lang w:val="fr-FR"/>
              </w:rPr>
              <w:t>EC</w:t>
            </w:r>
          </w:p>
        </w:tc>
        <w:tc>
          <w:tcPr>
            <w:tcW w:w="1060" w:type="dxa"/>
            <w:shd w:val="clear" w:color="auto" w:fill="auto"/>
            <w:vAlign w:val="center"/>
          </w:tcPr>
          <w:p w14:paraId="5F7A18F7" w14:textId="77777777" w:rsidR="00315861" w:rsidRPr="00315861" w:rsidRDefault="00315861" w:rsidP="00315861">
            <w:pPr>
              <w:suppressAutoHyphens w:val="0"/>
              <w:spacing w:before="60" w:after="60" w:line="220" w:lineRule="atLeast"/>
              <w:ind w:left="57" w:right="57"/>
              <w:rPr>
                <w:bCs/>
              </w:rPr>
            </w:pPr>
            <w:r w:rsidRPr="00315861">
              <w:rPr>
                <w:lang w:val="fr-FR"/>
              </w:rPr>
              <w:t>Euro 6e-bis-FCM</w:t>
            </w:r>
          </w:p>
        </w:tc>
        <w:tc>
          <w:tcPr>
            <w:tcW w:w="1060" w:type="dxa"/>
            <w:vMerge/>
            <w:shd w:val="clear" w:color="auto" w:fill="auto"/>
          </w:tcPr>
          <w:p w14:paraId="6A1C9890" w14:textId="77777777" w:rsidR="00315861" w:rsidRPr="00315861" w:rsidRDefault="00315861" w:rsidP="00315861">
            <w:pPr>
              <w:suppressAutoHyphens w:val="0"/>
              <w:spacing w:before="60" w:after="60" w:line="220" w:lineRule="atLeast"/>
              <w:ind w:left="57" w:right="57"/>
              <w:rPr>
                <w:bCs/>
              </w:rPr>
            </w:pPr>
          </w:p>
        </w:tc>
        <w:tc>
          <w:tcPr>
            <w:tcW w:w="757" w:type="dxa"/>
            <w:vMerge/>
            <w:shd w:val="clear" w:color="auto" w:fill="auto"/>
          </w:tcPr>
          <w:p w14:paraId="6615CE89" w14:textId="77777777" w:rsidR="00315861" w:rsidRPr="00315861" w:rsidRDefault="00315861" w:rsidP="00315861">
            <w:pPr>
              <w:suppressAutoHyphens w:val="0"/>
              <w:spacing w:before="60" w:after="60" w:line="220" w:lineRule="atLeast"/>
              <w:ind w:left="57" w:right="57"/>
              <w:rPr>
                <w:bCs/>
              </w:rPr>
            </w:pPr>
          </w:p>
        </w:tc>
        <w:tc>
          <w:tcPr>
            <w:tcW w:w="1024" w:type="dxa"/>
            <w:vMerge/>
            <w:shd w:val="clear" w:color="auto" w:fill="auto"/>
          </w:tcPr>
          <w:p w14:paraId="6DA15221" w14:textId="77777777" w:rsidR="00315861" w:rsidRPr="00315861" w:rsidRDefault="00315861" w:rsidP="00315861">
            <w:pPr>
              <w:suppressAutoHyphens w:val="0"/>
              <w:spacing w:before="60" w:after="60" w:line="220" w:lineRule="atLeast"/>
              <w:ind w:left="57" w:right="57"/>
              <w:rPr>
                <w:bCs/>
                <w:strike/>
              </w:rPr>
            </w:pPr>
          </w:p>
        </w:tc>
        <w:tc>
          <w:tcPr>
            <w:tcW w:w="1095" w:type="dxa"/>
            <w:vMerge/>
            <w:shd w:val="clear" w:color="auto" w:fill="auto"/>
          </w:tcPr>
          <w:p w14:paraId="60D8BF90" w14:textId="77777777" w:rsidR="00315861" w:rsidRPr="00315861" w:rsidRDefault="00315861" w:rsidP="00315861">
            <w:pPr>
              <w:suppressAutoHyphens w:val="0"/>
              <w:spacing w:before="60" w:after="60" w:line="220" w:lineRule="atLeast"/>
              <w:ind w:left="57" w:right="57"/>
              <w:rPr>
                <w:bCs/>
                <w:strike/>
              </w:rPr>
            </w:pPr>
          </w:p>
        </w:tc>
        <w:tc>
          <w:tcPr>
            <w:tcW w:w="4551" w:type="dxa"/>
            <w:shd w:val="clear" w:color="auto" w:fill="auto"/>
          </w:tcPr>
          <w:p w14:paraId="7639CFA6" w14:textId="571561A1" w:rsidR="00315861" w:rsidRPr="00315861" w:rsidRDefault="00315861" w:rsidP="00315861">
            <w:pPr>
              <w:suppressAutoHyphens w:val="0"/>
              <w:spacing w:before="60" w:after="60" w:line="220" w:lineRule="atLeast"/>
              <w:ind w:left="57" w:right="57"/>
              <w:rPr>
                <w:bCs/>
                <w:strike/>
              </w:rPr>
            </w:pPr>
            <w:r w:rsidRPr="00315861">
              <w:rPr>
                <w:lang w:val="fr-FR"/>
              </w:rPr>
              <w:t>Prescriptions du niveau 1A de la série 02 ou de la série</w:t>
            </w:r>
            <w:r>
              <w:rPr>
                <w:lang w:val="fr-FR"/>
              </w:rPr>
              <w:t> </w:t>
            </w:r>
            <w:r w:rsidRPr="00315861">
              <w:rPr>
                <w:lang w:val="fr-FR"/>
              </w:rPr>
              <w:t xml:space="preserve">03 d’amendements, compte tenu du facteur d’utilisation fondé sur la valeur </w:t>
            </w:r>
            <w:proofErr w:type="spellStart"/>
            <w:r w:rsidRPr="00315861">
              <w:rPr>
                <w:lang w:val="fr-FR"/>
              </w:rPr>
              <w:t>d</w:t>
            </w:r>
            <w:r w:rsidRPr="00315861">
              <w:rPr>
                <w:vertAlign w:val="subscript"/>
                <w:lang w:val="fr-FR"/>
              </w:rPr>
              <w:t>nec</w:t>
            </w:r>
            <w:proofErr w:type="spellEnd"/>
            <w:r w:rsidRPr="00315861">
              <w:rPr>
                <w:lang w:val="fr-FR"/>
              </w:rPr>
              <w:t xml:space="preserve"> et déterminé conformément aux valeurs indiquées dans le tableau A8</w:t>
            </w:r>
            <w:r w:rsidR="00FD6896" w:rsidRPr="00FD6896">
              <w:rPr>
                <w:lang w:val="fr-FR"/>
              </w:rPr>
              <w:t>.</w:t>
            </w:r>
            <w:r w:rsidRPr="00315861">
              <w:rPr>
                <w:lang w:val="fr-FR"/>
              </w:rPr>
              <w:t xml:space="preserve">App5/1 de l’appendice 5 de l’annexe B8 du Règlement ONU </w:t>
            </w:r>
            <w:r w:rsidRPr="00315861">
              <w:rPr>
                <w:rFonts w:eastAsia="MS Mincho"/>
                <w:lang w:val="fr-FR"/>
              </w:rPr>
              <w:t>n</w:t>
            </w:r>
            <w:r w:rsidRPr="00315861">
              <w:rPr>
                <w:rFonts w:eastAsia="MS Mincho"/>
                <w:vertAlign w:val="superscript"/>
                <w:lang w:val="fr-FR"/>
              </w:rPr>
              <w:t>o</w:t>
            </w:r>
            <w:r>
              <w:rPr>
                <w:lang w:val="fr-FR"/>
              </w:rPr>
              <w:t> </w:t>
            </w:r>
            <w:r w:rsidRPr="00315861">
              <w:rPr>
                <w:lang w:val="fr-FR"/>
              </w:rPr>
              <w:t>154</w:t>
            </w:r>
            <w:r w:rsidRPr="00315861">
              <w:rPr>
                <w:vertAlign w:val="superscript"/>
                <w:lang w:val="fr-FR"/>
              </w:rPr>
              <w:t>4)</w:t>
            </w:r>
          </w:p>
        </w:tc>
        <w:tc>
          <w:tcPr>
            <w:tcW w:w="3173" w:type="dxa"/>
            <w:vMerge/>
            <w:shd w:val="clear" w:color="auto" w:fill="auto"/>
          </w:tcPr>
          <w:p w14:paraId="22E0196E" w14:textId="77777777" w:rsidR="00315861" w:rsidRPr="00315861" w:rsidRDefault="00315861" w:rsidP="00315861">
            <w:pPr>
              <w:suppressAutoHyphens w:val="0"/>
              <w:spacing w:before="60" w:after="60" w:line="220" w:lineRule="atLeast"/>
              <w:ind w:left="57" w:right="57"/>
              <w:rPr>
                <w:bCs/>
                <w:strike/>
              </w:rPr>
            </w:pPr>
          </w:p>
        </w:tc>
      </w:tr>
    </w:tbl>
    <w:p w14:paraId="210AC0F1" w14:textId="77777777" w:rsidR="00315861" w:rsidRPr="00315861" w:rsidRDefault="00315861" w:rsidP="00315861">
      <w:pPr>
        <w:suppressAutoHyphens w:val="0"/>
        <w:spacing w:before="120"/>
        <w:ind w:left="284" w:firstLine="170"/>
        <w:rPr>
          <w:i/>
          <w:iCs/>
          <w:sz w:val="16"/>
          <w:szCs w:val="16"/>
        </w:rPr>
      </w:pPr>
      <w:r w:rsidRPr="00315861">
        <w:rPr>
          <w:i/>
          <w:iCs/>
          <w:sz w:val="18"/>
          <w:szCs w:val="18"/>
          <w:lang w:val="fr-FR"/>
        </w:rPr>
        <w:t>Légende :</w:t>
      </w:r>
    </w:p>
    <w:p w14:paraId="3498A063" w14:textId="6B871F16" w:rsidR="00315861" w:rsidRPr="00315861" w:rsidRDefault="00315861" w:rsidP="00315861">
      <w:pPr>
        <w:suppressAutoHyphens w:val="0"/>
        <w:ind w:left="284" w:firstLine="170"/>
        <w:rPr>
          <w:i/>
          <w:iCs/>
          <w:sz w:val="16"/>
          <w:szCs w:val="16"/>
        </w:rPr>
      </w:pPr>
      <w:r w:rsidRPr="00315861">
        <w:rPr>
          <w:i/>
          <w:iCs/>
          <w:sz w:val="18"/>
          <w:szCs w:val="18"/>
          <w:lang w:val="fr-FR"/>
        </w:rPr>
        <w:t>1) : Avertisseur AES : Voir le paragraphe 3</w:t>
      </w:r>
      <w:r w:rsidR="00FD6896" w:rsidRPr="00FD6896">
        <w:rPr>
          <w:i/>
          <w:iCs/>
          <w:sz w:val="18"/>
          <w:szCs w:val="18"/>
          <w:lang w:val="fr-FR"/>
        </w:rPr>
        <w:t>.</w:t>
      </w:r>
      <w:r w:rsidRPr="00315861">
        <w:rPr>
          <w:i/>
          <w:iCs/>
          <w:sz w:val="18"/>
          <w:szCs w:val="18"/>
          <w:lang w:val="fr-FR"/>
        </w:rPr>
        <w:t>4</w:t>
      </w:r>
      <w:r w:rsidR="00FD6896" w:rsidRPr="00FD6896">
        <w:rPr>
          <w:i/>
          <w:iCs/>
          <w:sz w:val="18"/>
          <w:szCs w:val="18"/>
          <w:lang w:val="fr-FR"/>
        </w:rPr>
        <w:t>.</w:t>
      </w:r>
      <w:r w:rsidRPr="00315861">
        <w:rPr>
          <w:i/>
          <w:iCs/>
          <w:sz w:val="18"/>
          <w:szCs w:val="18"/>
          <w:lang w:val="fr-FR"/>
        </w:rPr>
        <w:t>2 du présent Règlement, tel que modifié par la série 08 d’amendements</w:t>
      </w:r>
      <w:r w:rsidR="00FD6896" w:rsidRPr="00FD6896">
        <w:rPr>
          <w:i/>
          <w:iCs/>
          <w:sz w:val="18"/>
          <w:szCs w:val="18"/>
          <w:lang w:val="fr-FR"/>
        </w:rPr>
        <w:t>.</w:t>
      </w:r>
    </w:p>
    <w:p w14:paraId="5E4DD0B4" w14:textId="01E2A2CE" w:rsidR="00315861" w:rsidRPr="00315861" w:rsidRDefault="00315861" w:rsidP="00315861">
      <w:pPr>
        <w:suppressAutoHyphens w:val="0"/>
        <w:ind w:left="284" w:firstLine="170"/>
        <w:rPr>
          <w:i/>
          <w:iCs/>
          <w:sz w:val="16"/>
          <w:szCs w:val="16"/>
        </w:rPr>
      </w:pPr>
      <w:r w:rsidRPr="00315861">
        <w:rPr>
          <w:i/>
          <w:iCs/>
          <w:sz w:val="18"/>
          <w:szCs w:val="18"/>
          <w:lang w:val="fr-FR"/>
        </w:rPr>
        <w:t>2) : Voir le tableau 4A du paragraphe 6</w:t>
      </w:r>
      <w:r w:rsidR="00FD6896" w:rsidRPr="00FD6896">
        <w:rPr>
          <w:i/>
          <w:iCs/>
          <w:sz w:val="18"/>
          <w:szCs w:val="18"/>
          <w:lang w:val="fr-FR"/>
        </w:rPr>
        <w:t>.</w:t>
      </w:r>
      <w:r w:rsidRPr="00315861">
        <w:rPr>
          <w:i/>
          <w:iCs/>
          <w:sz w:val="18"/>
          <w:szCs w:val="18"/>
          <w:lang w:val="fr-FR"/>
        </w:rPr>
        <w:t xml:space="preserve">8 du Règlement ONU </w:t>
      </w:r>
      <w:r w:rsidRPr="00315861">
        <w:rPr>
          <w:rFonts w:eastAsia="MS Mincho"/>
          <w:i/>
          <w:iCs/>
          <w:sz w:val="18"/>
          <w:szCs w:val="18"/>
          <w:lang w:val="fr-FR"/>
        </w:rPr>
        <w:t>n</w:t>
      </w:r>
      <w:r w:rsidRPr="00315861">
        <w:rPr>
          <w:rFonts w:eastAsia="MS Mincho"/>
          <w:i/>
          <w:iCs/>
          <w:sz w:val="18"/>
          <w:szCs w:val="18"/>
          <w:vertAlign w:val="superscript"/>
          <w:lang w:val="fr-FR"/>
        </w:rPr>
        <w:t>o</w:t>
      </w:r>
      <w:r w:rsidRPr="00315861">
        <w:rPr>
          <w:i/>
          <w:iCs/>
          <w:sz w:val="18"/>
          <w:szCs w:val="18"/>
          <w:lang w:val="fr-FR"/>
        </w:rPr>
        <w:t xml:space="preserve"> 154</w:t>
      </w:r>
      <w:r w:rsidR="00FD6896" w:rsidRPr="00FD6896">
        <w:rPr>
          <w:i/>
          <w:iCs/>
          <w:sz w:val="18"/>
          <w:szCs w:val="18"/>
          <w:lang w:val="fr-FR"/>
        </w:rPr>
        <w:t>.</w:t>
      </w:r>
    </w:p>
    <w:p w14:paraId="397BF7A8" w14:textId="6DC7AC76" w:rsidR="00CF0431" w:rsidRPr="00315861" w:rsidRDefault="00315861" w:rsidP="00315861">
      <w:pPr>
        <w:suppressAutoHyphens w:val="0"/>
        <w:ind w:left="284" w:firstLine="170"/>
        <w:rPr>
          <w:i/>
          <w:iCs/>
          <w:sz w:val="16"/>
          <w:szCs w:val="16"/>
        </w:rPr>
      </w:pPr>
      <w:r w:rsidRPr="00315861">
        <w:rPr>
          <w:i/>
          <w:iCs/>
          <w:sz w:val="18"/>
          <w:szCs w:val="18"/>
          <w:lang w:val="fr-FR"/>
        </w:rPr>
        <w:t xml:space="preserve">3) : Le Règlement ONU </w:t>
      </w:r>
      <w:r w:rsidRPr="00315861">
        <w:rPr>
          <w:rFonts w:eastAsia="MS Mincho"/>
          <w:i/>
          <w:iCs/>
          <w:sz w:val="18"/>
          <w:szCs w:val="18"/>
          <w:lang w:val="fr-FR"/>
        </w:rPr>
        <w:t>n</w:t>
      </w:r>
      <w:r w:rsidRPr="00315861">
        <w:rPr>
          <w:rFonts w:eastAsia="MS Mincho"/>
          <w:i/>
          <w:iCs/>
          <w:sz w:val="18"/>
          <w:szCs w:val="18"/>
          <w:vertAlign w:val="superscript"/>
          <w:lang w:val="fr-FR"/>
        </w:rPr>
        <w:t>o</w:t>
      </w:r>
      <w:r w:rsidRPr="00315861">
        <w:rPr>
          <w:i/>
          <w:iCs/>
          <w:sz w:val="18"/>
          <w:szCs w:val="18"/>
          <w:lang w:val="fr-FR"/>
        </w:rPr>
        <w:t xml:space="preserve"> 168 sur les émissions en conditions réelles de conduite ne s’applique pas aux véhicules de la catégorie N</w:t>
      </w:r>
      <w:r w:rsidRPr="00315861">
        <w:rPr>
          <w:i/>
          <w:iCs/>
          <w:sz w:val="18"/>
          <w:szCs w:val="18"/>
          <w:vertAlign w:val="subscript"/>
          <w:lang w:val="fr-FR"/>
        </w:rPr>
        <w:t>2</w:t>
      </w:r>
      <w:r w:rsidR="00FD6896" w:rsidRPr="00FD6896">
        <w:rPr>
          <w:i/>
          <w:iCs/>
          <w:sz w:val="18"/>
          <w:szCs w:val="18"/>
          <w:lang w:val="fr-FR"/>
        </w:rPr>
        <w:t>.</w:t>
      </w:r>
      <w:r w:rsidRPr="00315861">
        <w:rPr>
          <w:i/>
          <w:iCs/>
          <w:sz w:val="16"/>
          <w:szCs w:val="16"/>
        </w:rPr>
        <w:t> </w:t>
      </w:r>
      <w:r w:rsidRPr="00315861">
        <w:rPr>
          <w:sz w:val="18"/>
          <w:szCs w:val="18"/>
          <w:lang w:val="fr-FR"/>
        </w:rPr>
        <w:t>»</w:t>
      </w:r>
      <w:r w:rsidR="00FD6896" w:rsidRPr="00FD6896">
        <w:rPr>
          <w:sz w:val="18"/>
          <w:szCs w:val="18"/>
          <w:lang w:val="fr-FR"/>
        </w:rPr>
        <w:t>.</w:t>
      </w:r>
    </w:p>
    <w:p w14:paraId="54F0EE26" w14:textId="0F41F994" w:rsidR="00315861" w:rsidRPr="00315861" w:rsidRDefault="00315861" w:rsidP="00315861">
      <w:pPr>
        <w:pStyle w:val="SingleTxtG"/>
        <w:spacing w:before="240" w:after="0"/>
        <w:jc w:val="center"/>
        <w:rPr>
          <w:u w:val="single"/>
        </w:rPr>
      </w:pPr>
      <w:r>
        <w:tab/>
      </w:r>
      <w:r>
        <w:rPr>
          <w:u w:val="single"/>
        </w:rPr>
        <w:tab/>
      </w:r>
      <w:r>
        <w:rPr>
          <w:u w:val="single"/>
        </w:rPr>
        <w:tab/>
      </w:r>
      <w:r>
        <w:rPr>
          <w:u w:val="single"/>
        </w:rPr>
        <w:tab/>
      </w:r>
    </w:p>
    <w:sectPr w:rsidR="00315861" w:rsidRPr="00315861" w:rsidSect="00315861">
      <w:headerReference w:type="even" r:id="rId13"/>
      <w:headerReference w:type="default" r:id="rId14"/>
      <w:footerReference w:type="even" r:id="rId15"/>
      <w:footerReference w:type="default" r:id="rId16"/>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5237" w14:textId="77777777" w:rsidR="005D759F" w:rsidRDefault="005D759F" w:rsidP="00F95C08">
      <w:pPr>
        <w:spacing w:line="240" w:lineRule="auto"/>
      </w:pPr>
    </w:p>
  </w:endnote>
  <w:endnote w:type="continuationSeparator" w:id="0">
    <w:p w14:paraId="62BD3DDA" w14:textId="77777777" w:rsidR="005D759F" w:rsidRPr="00AC3823" w:rsidRDefault="005D759F" w:rsidP="00AC3823">
      <w:pPr>
        <w:pStyle w:val="Pieddepage"/>
      </w:pPr>
    </w:p>
  </w:endnote>
  <w:endnote w:type="continuationNotice" w:id="1">
    <w:p w14:paraId="7BF640CF" w14:textId="77777777" w:rsidR="005D759F" w:rsidRDefault="005D75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C63" w14:textId="16E84A32" w:rsidR="00CF0431" w:rsidRPr="00CF0431" w:rsidRDefault="00CF0431" w:rsidP="00CF0431">
    <w:pPr>
      <w:pStyle w:val="Pieddepage"/>
      <w:tabs>
        <w:tab w:val="right" w:pos="9638"/>
      </w:tabs>
    </w:pPr>
    <w:r w:rsidRPr="00CF0431">
      <w:rPr>
        <w:b/>
        <w:sz w:val="18"/>
      </w:rPr>
      <w:fldChar w:fldCharType="begin"/>
    </w:r>
    <w:r w:rsidRPr="00CF0431">
      <w:rPr>
        <w:b/>
        <w:sz w:val="18"/>
      </w:rPr>
      <w:instrText xml:space="preserve"> PAGE  \* MERGEFORMAT </w:instrText>
    </w:r>
    <w:r w:rsidRPr="00CF0431">
      <w:rPr>
        <w:b/>
        <w:sz w:val="18"/>
      </w:rPr>
      <w:fldChar w:fldCharType="separate"/>
    </w:r>
    <w:r w:rsidRPr="00CF0431">
      <w:rPr>
        <w:b/>
        <w:noProof/>
        <w:sz w:val="18"/>
      </w:rPr>
      <w:t>2</w:t>
    </w:r>
    <w:r w:rsidRPr="00CF0431">
      <w:rPr>
        <w:b/>
        <w:sz w:val="18"/>
      </w:rPr>
      <w:fldChar w:fldCharType="end"/>
    </w:r>
    <w:r>
      <w:rPr>
        <w:b/>
        <w:sz w:val="18"/>
      </w:rPr>
      <w:tab/>
    </w:r>
    <w:r>
      <w:t>GE</w:t>
    </w:r>
    <w:r w:rsidR="00FD6896" w:rsidRPr="00FD6896">
      <w:t>.</w:t>
    </w:r>
    <w:r>
      <w:t>24-06553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7C62" w14:textId="22664503" w:rsidR="00CF0431" w:rsidRPr="00CF0431" w:rsidRDefault="00CF0431" w:rsidP="00CF0431">
    <w:pPr>
      <w:pStyle w:val="Pieddepage"/>
      <w:tabs>
        <w:tab w:val="right" w:pos="9638"/>
      </w:tabs>
      <w:rPr>
        <w:b/>
        <w:sz w:val="18"/>
      </w:rPr>
    </w:pPr>
    <w:r>
      <w:t>GE</w:t>
    </w:r>
    <w:r w:rsidR="00FD6896" w:rsidRPr="00FD6896">
      <w:t>.</w:t>
    </w:r>
    <w:r>
      <w:t>24-06553</w:t>
    </w:r>
    <w:r>
      <w:tab/>
    </w:r>
    <w:r w:rsidRPr="00CF0431">
      <w:rPr>
        <w:b/>
        <w:sz w:val="18"/>
      </w:rPr>
      <w:fldChar w:fldCharType="begin"/>
    </w:r>
    <w:r w:rsidRPr="00CF0431">
      <w:rPr>
        <w:b/>
        <w:sz w:val="18"/>
      </w:rPr>
      <w:instrText xml:space="preserve"> PAGE  \* MERGEFORMAT </w:instrText>
    </w:r>
    <w:r w:rsidRPr="00CF0431">
      <w:rPr>
        <w:b/>
        <w:sz w:val="18"/>
      </w:rPr>
      <w:fldChar w:fldCharType="separate"/>
    </w:r>
    <w:r w:rsidRPr="00CF0431">
      <w:rPr>
        <w:b/>
        <w:noProof/>
        <w:sz w:val="18"/>
      </w:rPr>
      <w:t>3</w:t>
    </w:r>
    <w:r w:rsidRPr="00CF043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A20" w14:textId="60A24928" w:rsidR="007F20FA" w:rsidRPr="00CF0431" w:rsidRDefault="00CF0431" w:rsidP="00CF0431">
    <w:pPr>
      <w:pStyle w:val="Pieddepage"/>
      <w:spacing w:before="120"/>
      <w:rPr>
        <w:sz w:val="20"/>
      </w:rPr>
    </w:pPr>
    <w:r>
      <w:rPr>
        <w:sz w:val="20"/>
      </w:rPr>
      <w:t>GE</w:t>
    </w:r>
    <w:r w:rsidR="00FD6896" w:rsidRPr="00FD6896">
      <w:rPr>
        <w:sz w:val="20"/>
      </w:rPr>
      <w:t>.</w:t>
    </w:r>
    <w:r w:rsidR="007F20FA">
      <w:rPr>
        <w:noProof/>
        <w:lang w:eastAsia="fr-CH"/>
      </w:rPr>
      <w:drawing>
        <wp:anchor distT="0" distB="0" distL="114300" distR="114300" simplePos="0" relativeHeight="251659264" behindDoc="0" locked="0" layoutInCell="1" allowOverlap="0" wp14:anchorId="1A0FB7C3" wp14:editId="6B6DDE15">
          <wp:simplePos x="0" y="0"/>
          <wp:positionH relativeFrom="margin">
            <wp:posOffset>4319905</wp:posOffset>
          </wp:positionH>
          <wp:positionV relativeFrom="margin">
            <wp:posOffset>9144000</wp:posOffset>
          </wp:positionV>
          <wp:extent cx="1105200" cy="234000"/>
          <wp:effectExtent l="0" t="0" r="0" b="0"/>
          <wp:wrapNone/>
          <wp:docPr id="8" name="Image 8"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24-06553  (F)</w:t>
    </w:r>
    <w:r>
      <w:rPr>
        <w:noProof/>
        <w:sz w:val="20"/>
      </w:rPr>
      <w:drawing>
        <wp:anchor distT="0" distB="0" distL="114300" distR="114300" simplePos="0" relativeHeight="251660288" behindDoc="0" locked="0" layoutInCell="1" allowOverlap="1" wp14:anchorId="07DF0D6B" wp14:editId="776D7477">
          <wp:simplePos x="0" y="0"/>
          <wp:positionH relativeFrom="margin">
            <wp:posOffset>5489575</wp:posOffset>
          </wp:positionH>
          <wp:positionV relativeFrom="margin">
            <wp:posOffset>8891905</wp:posOffset>
          </wp:positionV>
          <wp:extent cx="628650" cy="6286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090524    100524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AA94" w14:textId="68727A07" w:rsidR="00315861" w:rsidRPr="00315861" w:rsidRDefault="00315861" w:rsidP="00315861">
    <w:pPr>
      <w:pStyle w:val="Pieddepage"/>
    </w:pPr>
    <w:r>
      <w:rPr>
        <w:noProof/>
      </w:rPr>
      <mc:AlternateContent>
        <mc:Choice Requires="wps">
          <w:drawing>
            <wp:anchor distT="0" distB="0" distL="114300" distR="114300" simplePos="0" relativeHeight="251664384" behindDoc="0" locked="0" layoutInCell="1" allowOverlap="1" wp14:anchorId="0AC04CFE" wp14:editId="00A450F4">
              <wp:simplePos x="0" y="0"/>
              <wp:positionH relativeFrom="margin">
                <wp:posOffset>-431800</wp:posOffset>
              </wp:positionH>
              <wp:positionV relativeFrom="margin">
                <wp:posOffset>0</wp:posOffset>
              </wp:positionV>
              <wp:extent cx="215900" cy="61201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1F1CD4D" w14:textId="301DC9DD" w:rsidR="00315861" w:rsidRPr="00CF0431" w:rsidRDefault="00315861" w:rsidP="00315861">
                          <w:pPr>
                            <w:pStyle w:val="Pieddepage"/>
                            <w:tabs>
                              <w:tab w:val="right" w:pos="9638"/>
                            </w:tabs>
                          </w:pPr>
                          <w:r w:rsidRPr="00CF0431">
                            <w:rPr>
                              <w:b/>
                              <w:sz w:val="18"/>
                            </w:rPr>
                            <w:fldChar w:fldCharType="begin"/>
                          </w:r>
                          <w:r w:rsidRPr="00CF0431">
                            <w:rPr>
                              <w:b/>
                              <w:sz w:val="18"/>
                            </w:rPr>
                            <w:instrText xml:space="preserve"> PAGE  \* MERGEFORMAT </w:instrText>
                          </w:r>
                          <w:r w:rsidRPr="00CF0431">
                            <w:rPr>
                              <w:b/>
                              <w:sz w:val="18"/>
                            </w:rPr>
                            <w:fldChar w:fldCharType="separate"/>
                          </w:r>
                          <w:r>
                            <w:rPr>
                              <w:b/>
                              <w:sz w:val="18"/>
                            </w:rPr>
                            <w:t>6</w:t>
                          </w:r>
                          <w:r w:rsidRPr="00CF0431">
                            <w:rPr>
                              <w:b/>
                              <w:sz w:val="18"/>
                            </w:rPr>
                            <w:fldChar w:fldCharType="end"/>
                          </w:r>
                          <w:r>
                            <w:rPr>
                              <w:b/>
                              <w:sz w:val="18"/>
                            </w:rPr>
                            <w:tab/>
                          </w:r>
                          <w:r>
                            <w:t>GE</w:t>
                          </w:r>
                          <w:r w:rsidR="00FD6896" w:rsidRPr="00FD6896">
                            <w:t>.</w:t>
                          </w:r>
                          <w:r>
                            <w:t>24-06553</w:t>
                          </w:r>
                        </w:p>
                        <w:p w14:paraId="53BB0D46" w14:textId="77777777" w:rsidR="00315861" w:rsidRDefault="0031586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AC04CFE" id="_x0000_t202" coordsize="21600,21600" o:spt="202" path="m,l,21600r21600,l21600,xe">
              <v:stroke joinstyle="miter"/>
              <v:path gradientshapeok="t" o:connecttype="rect"/>
            </v:shapetype>
            <v:shape id="Zone de texte 7" o:spid="_x0000_s1028"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11F1CD4D" w14:textId="301DC9DD" w:rsidR="00315861" w:rsidRPr="00CF0431" w:rsidRDefault="00315861" w:rsidP="00315861">
                    <w:pPr>
                      <w:pStyle w:val="Pieddepage"/>
                      <w:tabs>
                        <w:tab w:val="right" w:pos="9638"/>
                      </w:tabs>
                    </w:pPr>
                    <w:r w:rsidRPr="00CF0431">
                      <w:rPr>
                        <w:b/>
                        <w:sz w:val="18"/>
                      </w:rPr>
                      <w:fldChar w:fldCharType="begin"/>
                    </w:r>
                    <w:r w:rsidRPr="00CF0431">
                      <w:rPr>
                        <w:b/>
                        <w:sz w:val="18"/>
                      </w:rPr>
                      <w:instrText xml:space="preserve"> PAGE  \* MERGEFORMAT </w:instrText>
                    </w:r>
                    <w:r w:rsidRPr="00CF0431">
                      <w:rPr>
                        <w:b/>
                        <w:sz w:val="18"/>
                      </w:rPr>
                      <w:fldChar w:fldCharType="separate"/>
                    </w:r>
                    <w:r>
                      <w:rPr>
                        <w:b/>
                        <w:sz w:val="18"/>
                      </w:rPr>
                      <w:t>6</w:t>
                    </w:r>
                    <w:r w:rsidRPr="00CF0431">
                      <w:rPr>
                        <w:b/>
                        <w:sz w:val="18"/>
                      </w:rPr>
                      <w:fldChar w:fldCharType="end"/>
                    </w:r>
                    <w:r>
                      <w:rPr>
                        <w:b/>
                        <w:sz w:val="18"/>
                      </w:rPr>
                      <w:tab/>
                    </w:r>
                    <w:r>
                      <w:t>GE</w:t>
                    </w:r>
                    <w:r w:rsidR="00FD6896" w:rsidRPr="00FD6896">
                      <w:t>.</w:t>
                    </w:r>
                    <w:r>
                      <w:t>24-06553</w:t>
                    </w:r>
                  </w:p>
                  <w:p w14:paraId="53BB0D46" w14:textId="77777777" w:rsidR="00315861" w:rsidRDefault="00315861"/>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E4F6" w14:textId="17D91288" w:rsidR="00315861" w:rsidRPr="00315861" w:rsidRDefault="00315861" w:rsidP="00315861">
    <w:pPr>
      <w:pStyle w:val="Pieddepage"/>
    </w:pPr>
    <w:r>
      <w:rPr>
        <w:noProof/>
      </w:rPr>
      <mc:AlternateContent>
        <mc:Choice Requires="wps">
          <w:drawing>
            <wp:anchor distT="0" distB="0" distL="114300" distR="114300" simplePos="0" relativeHeight="251662336" behindDoc="0" locked="0" layoutInCell="1" allowOverlap="1" wp14:anchorId="7DA89849" wp14:editId="727F3944">
              <wp:simplePos x="0" y="0"/>
              <wp:positionH relativeFrom="margin">
                <wp:posOffset>-431800</wp:posOffset>
              </wp:positionH>
              <wp:positionV relativeFrom="margin">
                <wp:posOffset>0</wp:posOffset>
              </wp:positionV>
              <wp:extent cx="215900" cy="61201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88DDBDF" w14:textId="6FDE398D" w:rsidR="00315861" w:rsidRPr="00CF0431" w:rsidRDefault="00315861" w:rsidP="00315861">
                          <w:pPr>
                            <w:pStyle w:val="Pieddepage"/>
                            <w:tabs>
                              <w:tab w:val="right" w:pos="9638"/>
                            </w:tabs>
                            <w:rPr>
                              <w:b/>
                              <w:sz w:val="18"/>
                            </w:rPr>
                          </w:pPr>
                          <w:r>
                            <w:t>GE</w:t>
                          </w:r>
                          <w:r w:rsidR="00FD6896" w:rsidRPr="00FD6896">
                            <w:t>.</w:t>
                          </w:r>
                          <w:r>
                            <w:t>24-06553</w:t>
                          </w:r>
                          <w:r>
                            <w:tab/>
                          </w:r>
                          <w:r w:rsidRPr="00CF0431">
                            <w:rPr>
                              <w:b/>
                              <w:sz w:val="18"/>
                            </w:rPr>
                            <w:fldChar w:fldCharType="begin"/>
                          </w:r>
                          <w:r w:rsidRPr="00CF0431">
                            <w:rPr>
                              <w:b/>
                              <w:sz w:val="18"/>
                            </w:rPr>
                            <w:instrText xml:space="preserve"> PAGE  \* MERGEFORMAT </w:instrText>
                          </w:r>
                          <w:r w:rsidRPr="00CF0431">
                            <w:rPr>
                              <w:b/>
                              <w:sz w:val="18"/>
                            </w:rPr>
                            <w:fldChar w:fldCharType="separate"/>
                          </w:r>
                          <w:r>
                            <w:rPr>
                              <w:b/>
                              <w:sz w:val="18"/>
                            </w:rPr>
                            <w:t>5</w:t>
                          </w:r>
                          <w:r w:rsidRPr="00CF0431">
                            <w:rPr>
                              <w:b/>
                              <w:sz w:val="18"/>
                            </w:rPr>
                            <w:fldChar w:fldCharType="end"/>
                          </w:r>
                        </w:p>
                        <w:p w14:paraId="0FDD4253" w14:textId="77777777" w:rsidR="00315861" w:rsidRDefault="0031586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DA89849" id="_x0000_t202" coordsize="21600,21600" o:spt="202" path="m,l,21600r21600,l21600,xe">
              <v:stroke joinstyle="miter"/>
              <v:path gradientshapeok="t" o:connecttype="rect"/>
            </v:shapetype>
            <v:shape id="Zone de texte 5"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788DDBDF" w14:textId="6FDE398D" w:rsidR="00315861" w:rsidRPr="00CF0431" w:rsidRDefault="00315861" w:rsidP="00315861">
                    <w:pPr>
                      <w:pStyle w:val="Pieddepage"/>
                      <w:tabs>
                        <w:tab w:val="right" w:pos="9638"/>
                      </w:tabs>
                      <w:rPr>
                        <w:b/>
                        <w:sz w:val="18"/>
                      </w:rPr>
                    </w:pPr>
                    <w:r>
                      <w:t>GE</w:t>
                    </w:r>
                    <w:r w:rsidR="00FD6896" w:rsidRPr="00FD6896">
                      <w:t>.</w:t>
                    </w:r>
                    <w:r>
                      <w:t>24-06553</w:t>
                    </w:r>
                    <w:r>
                      <w:tab/>
                    </w:r>
                    <w:r w:rsidRPr="00CF0431">
                      <w:rPr>
                        <w:b/>
                        <w:sz w:val="18"/>
                      </w:rPr>
                      <w:fldChar w:fldCharType="begin"/>
                    </w:r>
                    <w:r w:rsidRPr="00CF0431">
                      <w:rPr>
                        <w:b/>
                        <w:sz w:val="18"/>
                      </w:rPr>
                      <w:instrText xml:space="preserve"> PAGE  \* MERGEFORMAT </w:instrText>
                    </w:r>
                    <w:r w:rsidRPr="00CF0431">
                      <w:rPr>
                        <w:b/>
                        <w:sz w:val="18"/>
                      </w:rPr>
                      <w:fldChar w:fldCharType="separate"/>
                    </w:r>
                    <w:r>
                      <w:rPr>
                        <w:b/>
                        <w:sz w:val="18"/>
                      </w:rPr>
                      <w:t>5</w:t>
                    </w:r>
                    <w:r w:rsidRPr="00CF0431">
                      <w:rPr>
                        <w:b/>
                        <w:sz w:val="18"/>
                      </w:rPr>
                      <w:fldChar w:fldCharType="end"/>
                    </w:r>
                  </w:p>
                  <w:p w14:paraId="0FDD4253" w14:textId="77777777" w:rsidR="00315861" w:rsidRDefault="00315861"/>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52B3" w14:textId="77777777" w:rsidR="005D759F" w:rsidRPr="00AC3823" w:rsidRDefault="005D759F" w:rsidP="00AC3823">
      <w:pPr>
        <w:pStyle w:val="Pieddepage"/>
        <w:tabs>
          <w:tab w:val="right" w:pos="2155"/>
        </w:tabs>
        <w:spacing w:after="80" w:line="240" w:lineRule="atLeast"/>
        <w:ind w:left="680"/>
        <w:rPr>
          <w:u w:val="single"/>
        </w:rPr>
      </w:pPr>
      <w:r>
        <w:rPr>
          <w:u w:val="single"/>
        </w:rPr>
        <w:tab/>
      </w:r>
    </w:p>
  </w:footnote>
  <w:footnote w:type="continuationSeparator" w:id="0">
    <w:p w14:paraId="65ED3BC3" w14:textId="77777777" w:rsidR="005D759F" w:rsidRPr="00AC3823" w:rsidRDefault="005D759F" w:rsidP="00AC3823">
      <w:pPr>
        <w:pStyle w:val="Pieddepage"/>
        <w:tabs>
          <w:tab w:val="right" w:pos="2155"/>
        </w:tabs>
        <w:spacing w:after="80" w:line="240" w:lineRule="atLeast"/>
        <w:ind w:left="680"/>
        <w:rPr>
          <w:u w:val="single"/>
        </w:rPr>
      </w:pPr>
      <w:r>
        <w:rPr>
          <w:u w:val="single"/>
        </w:rPr>
        <w:tab/>
      </w:r>
    </w:p>
  </w:footnote>
  <w:footnote w:type="continuationNotice" w:id="1">
    <w:p w14:paraId="6D407017" w14:textId="77777777" w:rsidR="005D759F" w:rsidRPr="00AC3823" w:rsidRDefault="005D759F">
      <w:pPr>
        <w:spacing w:line="240" w:lineRule="auto"/>
        <w:rPr>
          <w:sz w:val="2"/>
          <w:szCs w:val="2"/>
        </w:rPr>
      </w:pPr>
    </w:p>
  </w:footnote>
  <w:footnote w:id="2">
    <w:p w14:paraId="6938D743" w14:textId="3CE95886" w:rsidR="00CF0431" w:rsidRDefault="00CF0431" w:rsidP="00CF0431">
      <w:pPr>
        <w:pStyle w:val="Notedebasdepage"/>
        <w:rPr>
          <w:lang w:val="fr-FR"/>
        </w:rPr>
      </w:pPr>
      <w:r w:rsidRPr="00315861">
        <w:rPr>
          <w:sz w:val="20"/>
          <w:szCs w:val="22"/>
          <w:lang w:val="fr-FR"/>
        </w:rPr>
        <w:tab/>
        <w:t>*</w:t>
      </w:r>
      <w:r w:rsidRPr="00315861">
        <w:rPr>
          <w:sz w:val="20"/>
          <w:szCs w:val="22"/>
          <w:lang w:val="fr-FR"/>
        </w:rPr>
        <w:tab/>
      </w:r>
      <w:r>
        <w:rPr>
          <w:lang w:val="fr-FR"/>
        </w:rPr>
        <w:t>Conformément au programme de travail du Comité des transports intérieurs pour 2024 tel qu’il figure dans le projet de budget-programme pour 2024 (A/78/6 (Sect</w:t>
      </w:r>
      <w:r w:rsidR="00FD6896" w:rsidRPr="00FD6896">
        <w:rPr>
          <w:lang w:val="fr-FR"/>
        </w:rPr>
        <w:t>.</w:t>
      </w:r>
      <w:r>
        <w:rPr>
          <w:lang w:val="fr-FR"/>
        </w:rPr>
        <w:t> 20), tableau 20</w:t>
      </w:r>
      <w:r w:rsidR="00FD6896" w:rsidRPr="00FD6896">
        <w:rPr>
          <w:lang w:val="fr-FR"/>
        </w:rPr>
        <w:t>.</w:t>
      </w:r>
      <w:r>
        <w:rPr>
          <w:lang w:val="fr-FR"/>
        </w:rPr>
        <w:t>5), le Forum mondial a pour mission d’élaborer, d’harmoniser et de mettre à jour les Règlements ONU en vue d’améliorer les caractéristiques fonctionnelles des véhicules</w:t>
      </w:r>
      <w:r w:rsidR="00FD6896" w:rsidRPr="00FD6896">
        <w:rPr>
          <w:lang w:val="fr-FR"/>
        </w:rPr>
        <w:t>.</w:t>
      </w:r>
      <w:r>
        <w:rPr>
          <w:lang w:val="fr-FR"/>
        </w:rPr>
        <w:t xml:space="preserve"> Le présent document est soumis en vertu de ce mandat</w:t>
      </w:r>
      <w:r w:rsidR="00FD6896" w:rsidRPr="00FD6896">
        <w:rPr>
          <w:lang w:val="fr-FR"/>
        </w:rPr>
        <w:t>.</w:t>
      </w:r>
    </w:p>
    <w:p w14:paraId="0F35BCB3" w14:textId="77777777" w:rsidR="00315861" w:rsidRPr="00B418D4" w:rsidRDefault="00315861" w:rsidP="00CF043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F48" w14:textId="021E9135" w:rsidR="00CF0431" w:rsidRPr="00CF0431" w:rsidRDefault="00CF0431">
    <w:pPr>
      <w:pStyle w:val="En-tte"/>
    </w:pPr>
    <w:fldSimple w:instr=" TITLE  \* MERGEFORMAT ">
      <w:r w:rsidR="00F9140E">
        <w:t>ECE/TRANS/WP.29/2024/50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1B7E" w14:textId="6CFBD9DF" w:rsidR="00CF0431" w:rsidRPr="00CF0431" w:rsidRDefault="00CF0431" w:rsidP="00CF0431">
    <w:pPr>
      <w:pStyle w:val="En-tte"/>
      <w:jc w:val="right"/>
    </w:pPr>
    <w:fldSimple w:instr=" TITLE  \* MERGEFORMAT ">
      <w:r w:rsidR="00F9140E">
        <w:t>ECE/TRANS/WP.29/2024/50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1CFC" w14:textId="7999BF54" w:rsidR="00315861" w:rsidRPr="00315861" w:rsidRDefault="00315861" w:rsidP="00315861">
    <w:r>
      <w:rPr>
        <w:noProof/>
      </w:rPr>
      <mc:AlternateContent>
        <mc:Choice Requires="wps">
          <w:drawing>
            <wp:anchor distT="0" distB="0" distL="114300" distR="114300" simplePos="0" relativeHeight="251663360" behindDoc="0" locked="0" layoutInCell="1" allowOverlap="1" wp14:anchorId="1A4E04BC" wp14:editId="4D66C1B5">
              <wp:simplePos x="0" y="0"/>
              <wp:positionH relativeFrom="page">
                <wp:posOffset>9935845</wp:posOffset>
              </wp:positionH>
              <wp:positionV relativeFrom="margin">
                <wp:posOffset>0</wp:posOffset>
              </wp:positionV>
              <wp:extent cx="215900" cy="612013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768F3D80" w14:textId="464A3C80" w:rsidR="00315861" w:rsidRPr="00CF0431" w:rsidRDefault="00315861" w:rsidP="00315861">
                          <w:pPr>
                            <w:pStyle w:val="En-tte"/>
                          </w:pPr>
                          <w:r>
                            <w:fldChar w:fldCharType="begin"/>
                          </w:r>
                          <w:r>
                            <w:instrText xml:space="preserve"> TITLE  \* MERGEFORMAT </w:instrText>
                          </w:r>
                          <w:r>
                            <w:fldChar w:fldCharType="separate"/>
                          </w:r>
                          <w:r w:rsidR="00F9140E">
                            <w:t>ECE/TRANS/WP.29/2024/50</w:t>
                          </w:r>
                          <w:r>
                            <w:fldChar w:fldCharType="end"/>
                          </w:r>
                        </w:p>
                        <w:p w14:paraId="78D1BDC7" w14:textId="77777777" w:rsidR="00315861" w:rsidRDefault="0031586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A4E04BC" id="_x0000_t202" coordsize="21600,21600" o:spt="202" path="m,l,21600r21600,l21600,xe">
              <v:stroke joinstyle="miter"/>
              <v:path gradientshapeok="t" o:connecttype="rect"/>
            </v:shapetype>
            <v:shape id="Zone de texte 6" o:spid="_x0000_s1026"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8EQA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tLQhebJ57ssXwlCh323eWt2NQEZws+PIKjdiIKaETC&#10;Ay1KI+XCweKsQvfjb+fRv+Bx5ayl9iy4/34EJznTXw3pH3t5NNxo7EfDHJs1EiczGj4rkkkPXNCj&#10;qRw2LzQ5q5iFrsAIqqTglK0316EfEpo8IVer5EQdayFszc6KsVOiOE/dCzg7KBhI+3scGxfyN0L2&#10;vlE9g6tjQFUnlS8sDnRTtyedhsmM4/TrPnld/h/Ln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ZqofBEACAACH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768F3D80" w14:textId="464A3C80" w:rsidR="00315861" w:rsidRPr="00CF0431" w:rsidRDefault="00315861" w:rsidP="00315861">
                    <w:pPr>
                      <w:pStyle w:val="En-tte"/>
                    </w:pPr>
                    <w:r>
                      <w:fldChar w:fldCharType="begin"/>
                    </w:r>
                    <w:r>
                      <w:instrText xml:space="preserve"> TITLE  \* MERGEFORMAT </w:instrText>
                    </w:r>
                    <w:r>
                      <w:fldChar w:fldCharType="separate"/>
                    </w:r>
                    <w:r w:rsidR="00F9140E">
                      <w:t>ECE/TRANS/WP.29/2024/50</w:t>
                    </w:r>
                    <w:r>
                      <w:fldChar w:fldCharType="end"/>
                    </w:r>
                  </w:p>
                  <w:p w14:paraId="78D1BDC7" w14:textId="77777777" w:rsidR="00315861" w:rsidRDefault="00315861"/>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29B8" w14:textId="108AABB1" w:rsidR="00315861" w:rsidRPr="00315861" w:rsidRDefault="00315861" w:rsidP="00315861">
    <w:r>
      <w:rPr>
        <w:noProof/>
      </w:rPr>
      <mc:AlternateContent>
        <mc:Choice Requires="wps">
          <w:drawing>
            <wp:anchor distT="0" distB="0" distL="114300" distR="114300" simplePos="0" relativeHeight="251661312" behindDoc="0" locked="0" layoutInCell="1" allowOverlap="1" wp14:anchorId="32E95CF9" wp14:editId="72F7CB59">
              <wp:simplePos x="0" y="0"/>
              <wp:positionH relativeFrom="page">
                <wp:posOffset>9935845</wp:posOffset>
              </wp:positionH>
              <wp:positionV relativeFrom="margin">
                <wp:posOffset>0</wp:posOffset>
              </wp:positionV>
              <wp:extent cx="215900" cy="612013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034C642" w14:textId="44E36574" w:rsidR="00315861" w:rsidRPr="00CF0431" w:rsidRDefault="00315861" w:rsidP="00315861">
                          <w:pPr>
                            <w:pStyle w:val="En-tte"/>
                            <w:jc w:val="right"/>
                          </w:pPr>
                          <w:r>
                            <w:fldChar w:fldCharType="begin"/>
                          </w:r>
                          <w:r>
                            <w:instrText xml:space="preserve"> TITLE  \* MERGEFORMAT </w:instrText>
                          </w:r>
                          <w:r>
                            <w:fldChar w:fldCharType="separate"/>
                          </w:r>
                          <w:r w:rsidR="00F9140E">
                            <w:t>ECE/TRANS/WP.29/2024/50</w:t>
                          </w:r>
                          <w:r>
                            <w:fldChar w:fldCharType="end"/>
                          </w:r>
                        </w:p>
                        <w:p w14:paraId="2B1CF6D4" w14:textId="77777777" w:rsidR="00315861" w:rsidRDefault="0031586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2E95CF9" id="_x0000_t202" coordsize="21600,21600" o:spt="202" path="m,l,21600r21600,l21600,xe">
              <v:stroke joinstyle="miter"/>
              <v:path gradientshapeok="t" o:connecttype="rect"/>
            </v:shapetype>
            <v:shape id="Zone de texte 4"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2034C642" w14:textId="44E36574" w:rsidR="00315861" w:rsidRPr="00CF0431" w:rsidRDefault="00315861" w:rsidP="00315861">
                    <w:pPr>
                      <w:pStyle w:val="En-tte"/>
                      <w:jc w:val="right"/>
                    </w:pPr>
                    <w:r>
                      <w:fldChar w:fldCharType="begin"/>
                    </w:r>
                    <w:r>
                      <w:instrText xml:space="preserve"> TITLE  \* MERGEFORMAT </w:instrText>
                    </w:r>
                    <w:r>
                      <w:fldChar w:fldCharType="separate"/>
                    </w:r>
                    <w:r w:rsidR="00F9140E">
                      <w:t>ECE/TRANS/WP.29/2024/50</w:t>
                    </w:r>
                    <w:r>
                      <w:fldChar w:fldCharType="end"/>
                    </w:r>
                  </w:p>
                  <w:p w14:paraId="2B1CF6D4" w14:textId="77777777" w:rsidR="00315861" w:rsidRDefault="00315861"/>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47141090">
    <w:abstractNumId w:val="12"/>
  </w:num>
  <w:num w:numId="2" w16cid:durableId="670909914">
    <w:abstractNumId w:val="11"/>
  </w:num>
  <w:num w:numId="3" w16cid:durableId="189808499">
    <w:abstractNumId w:val="10"/>
  </w:num>
  <w:num w:numId="4" w16cid:durableId="989871728">
    <w:abstractNumId w:val="8"/>
  </w:num>
  <w:num w:numId="5" w16cid:durableId="229847412">
    <w:abstractNumId w:val="3"/>
  </w:num>
  <w:num w:numId="6" w16cid:durableId="1841971044">
    <w:abstractNumId w:val="2"/>
  </w:num>
  <w:num w:numId="7" w16cid:durableId="51931985">
    <w:abstractNumId w:val="1"/>
  </w:num>
  <w:num w:numId="8" w16cid:durableId="1943605611">
    <w:abstractNumId w:val="0"/>
  </w:num>
  <w:num w:numId="9" w16cid:durableId="1465588073">
    <w:abstractNumId w:val="9"/>
  </w:num>
  <w:num w:numId="10" w16cid:durableId="738864647">
    <w:abstractNumId w:val="7"/>
  </w:num>
  <w:num w:numId="11" w16cid:durableId="1667704414">
    <w:abstractNumId w:val="6"/>
  </w:num>
  <w:num w:numId="12" w16cid:durableId="371464002">
    <w:abstractNumId w:val="5"/>
  </w:num>
  <w:num w:numId="13" w16cid:durableId="1905096270">
    <w:abstractNumId w:val="4"/>
  </w:num>
  <w:num w:numId="14" w16cid:durableId="405299206">
    <w:abstractNumId w:val="12"/>
  </w:num>
  <w:num w:numId="15" w16cid:durableId="216816295">
    <w:abstractNumId w:val="11"/>
  </w:num>
  <w:num w:numId="16" w16cid:durableId="1480531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9F"/>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15861"/>
    <w:rsid w:val="003916DE"/>
    <w:rsid w:val="00421996"/>
    <w:rsid w:val="00441C3B"/>
    <w:rsid w:val="00446FE5"/>
    <w:rsid w:val="00452396"/>
    <w:rsid w:val="00477EB2"/>
    <w:rsid w:val="004837D8"/>
    <w:rsid w:val="004E2EED"/>
    <w:rsid w:val="004E468C"/>
    <w:rsid w:val="005505B7"/>
    <w:rsid w:val="00573BE5"/>
    <w:rsid w:val="00586ED3"/>
    <w:rsid w:val="00596AA9"/>
    <w:rsid w:val="005D759F"/>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CF0431"/>
    <w:rsid w:val="00D3439C"/>
    <w:rsid w:val="00D7622E"/>
    <w:rsid w:val="00DB1831"/>
    <w:rsid w:val="00DD3BFD"/>
    <w:rsid w:val="00DF6678"/>
    <w:rsid w:val="00E0299A"/>
    <w:rsid w:val="00E85C74"/>
    <w:rsid w:val="00EA6547"/>
    <w:rsid w:val="00ED7237"/>
    <w:rsid w:val="00EF2E22"/>
    <w:rsid w:val="00F35BAF"/>
    <w:rsid w:val="00F660DF"/>
    <w:rsid w:val="00F9140E"/>
    <w:rsid w:val="00F94664"/>
    <w:rsid w:val="00F9573C"/>
    <w:rsid w:val="00F95C08"/>
    <w:rsid w:val="00FD689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40E"/>
  <w15:docId w15:val="{7DA5322F-61AC-4BF6-B233-54AB7A26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CF0431"/>
    <w:rPr>
      <w:rFonts w:ascii="Times New Roman" w:eastAsiaTheme="minorHAnsi" w:hAnsi="Times New Roman" w:cs="Times New Roman"/>
      <w:sz w:val="20"/>
      <w:szCs w:val="20"/>
      <w:lang w:eastAsia="en-US"/>
    </w:rPr>
  </w:style>
  <w:style w:type="character" w:customStyle="1" w:styleId="HChGChar">
    <w:name w:val="_ H _Ch_G Char"/>
    <w:link w:val="HChG"/>
    <w:locked/>
    <w:rsid w:val="00CF0431"/>
    <w:rPr>
      <w:rFonts w:ascii="Times New Roman" w:eastAsiaTheme="minorHAnsi" w:hAnsi="Times New Roman" w:cs="Times New Roman"/>
      <w:b/>
      <w:sz w:val="28"/>
      <w:szCs w:val="20"/>
      <w:lang w:eastAsia="en-US"/>
    </w:rPr>
  </w:style>
  <w:style w:type="character" w:customStyle="1" w:styleId="H1GChar">
    <w:name w:val="_ H_1_G Char"/>
    <w:link w:val="H1G"/>
    <w:locked/>
    <w:rsid w:val="00CF0431"/>
    <w:rPr>
      <w:rFonts w:ascii="Times New Roman" w:eastAsiaTheme="minorHAnsi" w:hAnsi="Times New Roman" w:cs="Times New Roman"/>
      <w:b/>
      <w:sz w:val="24"/>
      <w:szCs w:val="20"/>
      <w:lang w:eastAsia="en-US"/>
    </w:rPr>
  </w:style>
  <w:style w:type="paragraph" w:styleId="Paragraphedeliste">
    <w:name w:val="List Paragraph"/>
    <w:basedOn w:val="Normal"/>
    <w:uiPriority w:val="34"/>
    <w:qFormat/>
    <w:rsid w:val="00315861"/>
    <w:pPr>
      <w:widowControl w:val="0"/>
      <w:suppressAutoHyphens w:val="0"/>
      <w:kinsoku/>
      <w:overflowPunct/>
      <w:autoSpaceDE/>
      <w:autoSpaceDN/>
      <w:adjustRightInd/>
      <w:snapToGrid/>
      <w:spacing w:line="240" w:lineRule="auto"/>
      <w:ind w:left="720"/>
      <w:contextualSpacing/>
      <w:jc w:val="both"/>
    </w:pPr>
    <w:rPr>
      <w:rFonts w:eastAsia="MS Mincho"/>
      <w:kern w:val="2"/>
      <w:sz w:val="24"/>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97260-69DE-49E8-81CE-D1BB77E9A261}"/>
</file>

<file path=customXml/itemProps2.xml><?xml version="1.0" encoding="utf-8"?>
<ds:datastoreItem xmlns:ds="http://schemas.openxmlformats.org/officeDocument/2006/customXml" ds:itemID="{497F8E8C-26AE-4DCF-9134-5C74F2E48329}"/>
</file>

<file path=docProps/app.xml><?xml version="1.0" encoding="utf-8"?>
<Properties xmlns="http://schemas.openxmlformats.org/officeDocument/2006/extended-properties" xmlns:vt="http://schemas.openxmlformats.org/officeDocument/2006/docPropsVTypes">
  <Template>ECE_TRANS.dotm</Template>
  <TotalTime>1</TotalTime>
  <Pages>4</Pages>
  <Words>806</Words>
  <Characters>5644</Characters>
  <Application>Microsoft Office Word</Application>
  <DocSecurity>0</DocSecurity>
  <Lines>470</Lines>
  <Paragraphs>257</Paragraphs>
  <ScaleCrop>false</ScaleCrop>
  <HeadingPairs>
    <vt:vector size="2" baseType="variant">
      <vt:variant>
        <vt:lpstr>Titre</vt:lpstr>
      </vt:variant>
      <vt:variant>
        <vt:i4>1</vt:i4>
      </vt:variant>
    </vt:vector>
  </HeadingPairs>
  <TitlesOfParts>
    <vt:vector size="1" baseType="lpstr">
      <vt:lpstr>ECE/TRANS/WP.29/2024/50</vt:lpstr>
    </vt:vector>
  </TitlesOfParts>
  <Company>DCM</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ECE/TRANS/WP.29/2024/50</dc:title>
  <dc:subject/>
  <dc:creator>Maud DARICHE</dc:creator>
  <cp:keywords/>
  <cp:lastModifiedBy>Maud Dariche</cp:lastModifiedBy>
  <cp:revision>4</cp:revision>
  <cp:lastPrinted>2024-05-10T09:57:00Z</cp:lastPrinted>
  <dcterms:created xsi:type="dcterms:W3CDTF">2024-05-10T09:57:00Z</dcterms:created>
  <dcterms:modified xsi:type="dcterms:W3CDTF">2024-05-10T09:58:00Z</dcterms:modified>
</cp:coreProperties>
</file>