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91CBC45" w14:textId="77777777" w:rsidTr="00C97039">
        <w:trPr>
          <w:trHeight w:hRule="exact" w:val="851"/>
        </w:trPr>
        <w:tc>
          <w:tcPr>
            <w:tcW w:w="1276" w:type="dxa"/>
            <w:tcBorders>
              <w:bottom w:val="single" w:sz="4" w:space="0" w:color="auto"/>
            </w:tcBorders>
          </w:tcPr>
          <w:p w14:paraId="2A50100B" w14:textId="77777777" w:rsidR="00F35BAF" w:rsidRPr="00DB58B5" w:rsidRDefault="00F35BAF" w:rsidP="002776F0"/>
        </w:tc>
        <w:tc>
          <w:tcPr>
            <w:tcW w:w="2268" w:type="dxa"/>
            <w:tcBorders>
              <w:bottom w:val="single" w:sz="4" w:space="0" w:color="auto"/>
            </w:tcBorders>
            <w:vAlign w:val="bottom"/>
          </w:tcPr>
          <w:p w14:paraId="5C84433F"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914AC24" w14:textId="7B453276" w:rsidR="00F35BAF" w:rsidRPr="00DB58B5" w:rsidRDefault="002776F0" w:rsidP="002776F0">
            <w:pPr>
              <w:jc w:val="right"/>
            </w:pPr>
            <w:r w:rsidRPr="002776F0">
              <w:rPr>
                <w:sz w:val="40"/>
              </w:rPr>
              <w:t>ECE</w:t>
            </w:r>
            <w:r>
              <w:t>/TRANS/WP.29/2024/47</w:t>
            </w:r>
          </w:p>
        </w:tc>
      </w:tr>
      <w:tr w:rsidR="00F35BAF" w:rsidRPr="00DB58B5" w14:paraId="722C9A32" w14:textId="77777777" w:rsidTr="00C97039">
        <w:trPr>
          <w:trHeight w:hRule="exact" w:val="2835"/>
        </w:trPr>
        <w:tc>
          <w:tcPr>
            <w:tcW w:w="1276" w:type="dxa"/>
            <w:tcBorders>
              <w:top w:val="single" w:sz="4" w:space="0" w:color="auto"/>
              <w:bottom w:val="single" w:sz="12" w:space="0" w:color="auto"/>
            </w:tcBorders>
          </w:tcPr>
          <w:p w14:paraId="2E6F58B7" w14:textId="77777777" w:rsidR="00F35BAF" w:rsidRPr="00DB58B5" w:rsidRDefault="00F35BAF" w:rsidP="00C97039">
            <w:pPr>
              <w:spacing w:before="120"/>
              <w:jc w:val="center"/>
            </w:pPr>
            <w:r>
              <w:rPr>
                <w:noProof/>
                <w:lang w:eastAsia="fr-CH"/>
              </w:rPr>
              <w:drawing>
                <wp:inline distT="0" distB="0" distL="0" distR="0" wp14:anchorId="74F01B7D" wp14:editId="3A5B89A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0AB406C"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FDE9B96" w14:textId="77777777" w:rsidR="00F35BAF" w:rsidRDefault="002776F0" w:rsidP="00C97039">
            <w:pPr>
              <w:spacing w:before="240"/>
            </w:pPr>
            <w:r>
              <w:t>Distr. générale</w:t>
            </w:r>
          </w:p>
          <w:p w14:paraId="43939D16" w14:textId="77777777" w:rsidR="002776F0" w:rsidRDefault="002776F0" w:rsidP="002776F0">
            <w:pPr>
              <w:spacing w:line="240" w:lineRule="exact"/>
            </w:pPr>
            <w:r>
              <w:t>11 avril 2024</w:t>
            </w:r>
          </w:p>
          <w:p w14:paraId="2AE61EBE" w14:textId="77777777" w:rsidR="002776F0" w:rsidRDefault="002776F0" w:rsidP="002776F0">
            <w:pPr>
              <w:spacing w:line="240" w:lineRule="exact"/>
            </w:pPr>
            <w:r>
              <w:t>Français</w:t>
            </w:r>
          </w:p>
          <w:p w14:paraId="44D31DD7" w14:textId="0AF1FB5C" w:rsidR="002776F0" w:rsidRPr="00DB58B5" w:rsidRDefault="002776F0" w:rsidP="002776F0">
            <w:pPr>
              <w:spacing w:line="240" w:lineRule="exact"/>
            </w:pPr>
            <w:r>
              <w:t>Original : anglais</w:t>
            </w:r>
          </w:p>
        </w:tc>
      </w:tr>
    </w:tbl>
    <w:p w14:paraId="34245458" w14:textId="77777777" w:rsidR="007F20FA" w:rsidRPr="000312C0" w:rsidRDefault="007F20FA" w:rsidP="007F20FA">
      <w:pPr>
        <w:spacing w:before="120"/>
        <w:rPr>
          <w:b/>
          <w:sz w:val="28"/>
          <w:szCs w:val="28"/>
        </w:rPr>
      </w:pPr>
      <w:r w:rsidRPr="000312C0">
        <w:rPr>
          <w:b/>
          <w:sz w:val="28"/>
          <w:szCs w:val="28"/>
        </w:rPr>
        <w:t>Commission économique pour l’Europe</w:t>
      </w:r>
    </w:p>
    <w:p w14:paraId="70C48843" w14:textId="77777777" w:rsidR="007F20FA" w:rsidRDefault="007F20FA" w:rsidP="007F20FA">
      <w:pPr>
        <w:spacing w:before="120"/>
        <w:rPr>
          <w:sz w:val="28"/>
          <w:szCs w:val="28"/>
        </w:rPr>
      </w:pPr>
      <w:r w:rsidRPr="00685843">
        <w:rPr>
          <w:sz w:val="28"/>
          <w:szCs w:val="28"/>
        </w:rPr>
        <w:t>Comité des transports intérieurs</w:t>
      </w:r>
    </w:p>
    <w:p w14:paraId="63124B26" w14:textId="77777777" w:rsidR="002776F0" w:rsidRDefault="002776F0"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431A57EC" w14:textId="1EBAD354" w:rsidR="002776F0" w:rsidRPr="002428E3" w:rsidRDefault="002776F0" w:rsidP="002776F0">
      <w:pPr>
        <w:tabs>
          <w:tab w:val="left" w:pos="567"/>
          <w:tab w:val="left" w:pos="1134"/>
        </w:tabs>
        <w:spacing w:before="120"/>
        <w:rPr>
          <w:b/>
          <w:color w:val="000000" w:themeColor="text1"/>
          <w:lang w:val="fr-SN"/>
        </w:rPr>
      </w:pPr>
      <w:r>
        <w:rPr>
          <w:b/>
          <w:bCs/>
          <w:lang w:val="fr-FR"/>
        </w:rPr>
        <w:t>193</w:t>
      </w:r>
      <w:r w:rsidRPr="002776F0">
        <w:rPr>
          <w:b/>
          <w:bCs/>
          <w:vertAlign w:val="superscript"/>
          <w:lang w:val="fr-FR"/>
        </w:rPr>
        <w:t>e</w:t>
      </w:r>
      <w:r>
        <w:rPr>
          <w:b/>
          <w:bCs/>
          <w:lang w:val="fr-FR"/>
        </w:rPr>
        <w:t xml:space="preserve"> </w:t>
      </w:r>
      <w:r>
        <w:rPr>
          <w:b/>
          <w:bCs/>
          <w:lang w:val="fr-FR"/>
        </w:rPr>
        <w:t>session</w:t>
      </w:r>
    </w:p>
    <w:p w14:paraId="64ABC130" w14:textId="77777777" w:rsidR="002776F0" w:rsidRPr="002428E3" w:rsidRDefault="002776F0" w:rsidP="002776F0">
      <w:pPr>
        <w:rPr>
          <w:color w:val="000000" w:themeColor="text1"/>
          <w:lang w:val="fr-SN"/>
        </w:rPr>
      </w:pPr>
      <w:r>
        <w:rPr>
          <w:lang w:val="fr-FR"/>
        </w:rPr>
        <w:t>Genève, 25-28 juin 2024</w:t>
      </w:r>
    </w:p>
    <w:p w14:paraId="2C1F4114" w14:textId="36D3BDE5" w:rsidR="002776F0" w:rsidRPr="002428E3" w:rsidRDefault="002776F0" w:rsidP="002776F0">
      <w:pPr>
        <w:rPr>
          <w:lang w:val="fr-SN"/>
        </w:rPr>
      </w:pPr>
      <w:r>
        <w:rPr>
          <w:lang w:val="fr-FR"/>
        </w:rPr>
        <w:t>Point</w:t>
      </w:r>
      <w:r>
        <w:rPr>
          <w:lang w:val="fr-FR"/>
        </w:rPr>
        <w:t> </w:t>
      </w:r>
      <w:r>
        <w:rPr>
          <w:lang w:val="fr-FR"/>
        </w:rPr>
        <w:t>4.7.3 de l’ordre du jour provisoire</w:t>
      </w:r>
    </w:p>
    <w:p w14:paraId="461072A8" w14:textId="77777777" w:rsidR="002776F0" w:rsidRDefault="002776F0" w:rsidP="002776F0">
      <w:pPr>
        <w:rPr>
          <w:b/>
          <w:bCs/>
          <w:lang w:val="fr-FR"/>
        </w:rPr>
      </w:pPr>
      <w:r>
        <w:rPr>
          <w:b/>
          <w:bCs/>
          <w:lang w:val="fr-FR"/>
        </w:rPr>
        <w:t>Accord de 1958 :</w:t>
      </w:r>
    </w:p>
    <w:p w14:paraId="5471301A" w14:textId="3F184D2E" w:rsidR="002776F0" w:rsidRPr="002428E3" w:rsidRDefault="002776F0" w:rsidP="002776F0">
      <w:pPr>
        <w:rPr>
          <w:b/>
          <w:bCs/>
          <w:lang w:val="fr-SN"/>
        </w:rPr>
      </w:pPr>
      <w:r w:rsidRPr="004C1DB2">
        <w:rPr>
          <w:b/>
          <w:bCs/>
          <w:lang w:val="fr-SN"/>
        </w:rPr>
        <w:t>Examen de projets d</w:t>
      </w:r>
      <w:r>
        <w:rPr>
          <w:b/>
          <w:bCs/>
          <w:lang w:val="fr-SN"/>
        </w:rPr>
        <w:t>’</w:t>
      </w:r>
      <w:r w:rsidRPr="004C1DB2">
        <w:rPr>
          <w:b/>
          <w:bCs/>
          <w:lang w:val="fr-SN"/>
        </w:rPr>
        <w:t>amendements à des Règlements ONU existants,</w:t>
      </w:r>
      <w:r>
        <w:rPr>
          <w:b/>
          <w:bCs/>
          <w:lang w:val="fr-SN"/>
        </w:rPr>
        <w:t xml:space="preserve"> </w:t>
      </w:r>
      <w:r>
        <w:rPr>
          <w:b/>
          <w:bCs/>
          <w:lang w:val="fr-SN"/>
        </w:rPr>
        <w:br/>
      </w:r>
      <w:r w:rsidRPr="004C1DB2">
        <w:rPr>
          <w:b/>
          <w:bCs/>
          <w:lang w:val="fr-SN"/>
        </w:rPr>
        <w:t>soumis par le GRPE</w:t>
      </w:r>
    </w:p>
    <w:p w14:paraId="154F38CE" w14:textId="2255BB00" w:rsidR="002776F0" w:rsidRPr="002428E3" w:rsidRDefault="002776F0" w:rsidP="002776F0">
      <w:pPr>
        <w:pStyle w:val="HChG"/>
        <w:rPr>
          <w:lang w:val="fr-SN"/>
        </w:rPr>
      </w:pPr>
      <w:r>
        <w:rPr>
          <w:lang w:val="fr-FR"/>
        </w:rPr>
        <w:tab/>
      </w:r>
      <w:r>
        <w:rPr>
          <w:lang w:val="fr-FR"/>
        </w:rPr>
        <w:tab/>
        <w:t>Proposition de complément</w:t>
      </w:r>
      <w:r>
        <w:rPr>
          <w:lang w:val="fr-FR"/>
        </w:rPr>
        <w:t> </w:t>
      </w:r>
      <w:r>
        <w:rPr>
          <w:lang w:val="fr-FR"/>
        </w:rPr>
        <w:t>18 à la série 05 d’amendements au Règlement ONU n</w:t>
      </w:r>
      <w:r>
        <w:rPr>
          <w:vertAlign w:val="superscript"/>
          <w:lang w:val="fr-FR"/>
        </w:rPr>
        <w:t>o</w:t>
      </w:r>
      <w:r>
        <w:rPr>
          <w:lang w:val="fr-FR"/>
        </w:rPr>
        <w:t xml:space="preserve"> 83 (Émissions des véhicules </w:t>
      </w:r>
      <w:r>
        <w:rPr>
          <w:lang w:val="fr-FR"/>
        </w:rPr>
        <w:br/>
      </w:r>
      <w:r>
        <w:rPr>
          <w:lang w:val="fr-FR"/>
        </w:rPr>
        <w:t>des catégories</w:t>
      </w:r>
      <w:r>
        <w:rPr>
          <w:lang w:val="fr-FR"/>
        </w:rPr>
        <w:t> </w:t>
      </w:r>
      <w:r>
        <w:rPr>
          <w:lang w:val="fr-FR"/>
        </w:rPr>
        <w:t>M</w:t>
      </w:r>
      <w:r>
        <w:rPr>
          <w:vertAlign w:val="subscript"/>
          <w:lang w:val="fr-FR"/>
        </w:rPr>
        <w:t>1</w:t>
      </w:r>
      <w:r>
        <w:rPr>
          <w:lang w:val="fr-FR"/>
        </w:rPr>
        <w:t xml:space="preserve"> et N</w:t>
      </w:r>
      <w:r>
        <w:rPr>
          <w:vertAlign w:val="subscript"/>
          <w:lang w:val="fr-FR"/>
        </w:rPr>
        <w:t>1</w:t>
      </w:r>
      <w:r>
        <w:rPr>
          <w:lang w:val="fr-FR"/>
        </w:rPr>
        <w:t>)</w:t>
      </w:r>
    </w:p>
    <w:p w14:paraId="1B42F268" w14:textId="77777777" w:rsidR="002776F0" w:rsidRPr="00A868B6" w:rsidRDefault="002776F0" w:rsidP="002776F0">
      <w:pPr>
        <w:pStyle w:val="H1G"/>
        <w:rPr>
          <w:color w:val="000000" w:themeColor="text1"/>
        </w:rPr>
      </w:pPr>
      <w:r>
        <w:rPr>
          <w:lang w:val="fr-FR"/>
        </w:rPr>
        <w:tab/>
      </w:r>
      <w:r>
        <w:rPr>
          <w:lang w:val="fr-FR"/>
        </w:rPr>
        <w:tab/>
        <w:t xml:space="preserve">Communication du </w:t>
      </w:r>
      <w:r w:rsidRPr="000E778D">
        <w:rPr>
          <w:lang w:val="fr-FR"/>
        </w:rPr>
        <w:t>Groupe de travail de la pollution et de l</w:t>
      </w:r>
      <w:r>
        <w:rPr>
          <w:lang w:val="fr-FR"/>
        </w:rPr>
        <w:t>’</w:t>
      </w:r>
      <w:r w:rsidRPr="000E778D">
        <w:rPr>
          <w:lang w:val="fr-FR"/>
        </w:rPr>
        <w:t>énergie</w:t>
      </w:r>
      <w:r w:rsidRPr="002776F0">
        <w:rPr>
          <w:b w:val="0"/>
          <w:sz w:val="20"/>
          <w:lang w:val="fr-FR"/>
        </w:rPr>
        <w:footnoteReference w:customMarkFollows="1" w:id="2"/>
        <w:t>*</w:t>
      </w:r>
    </w:p>
    <w:p w14:paraId="69019A5A" w14:textId="77777777" w:rsidR="00AA0D45" w:rsidRDefault="002776F0" w:rsidP="002776F0">
      <w:pPr>
        <w:pStyle w:val="SingleTxtG"/>
        <w:ind w:firstLine="567"/>
        <w:rPr>
          <w:lang w:val="fr-FR"/>
        </w:rPr>
      </w:pPr>
      <w:r w:rsidRPr="00302915">
        <w:rPr>
          <w:lang w:val="fr-FR"/>
        </w:rPr>
        <w:t>Le texte ci-après, adopté par le Groupe de travail de la pollution et de l</w:t>
      </w:r>
      <w:r>
        <w:rPr>
          <w:lang w:val="fr-FR"/>
        </w:rPr>
        <w:t>’</w:t>
      </w:r>
      <w:r w:rsidRPr="00302915">
        <w:rPr>
          <w:lang w:val="fr-FR"/>
        </w:rPr>
        <w:t>énergie (GRPE) à sa quatre-vingt-dixième session (ECE/TRANS/WP.29/GRPE/90, par. 13),</w:t>
      </w:r>
      <w:r w:rsidRPr="00302915" w:rsidDel="00302915">
        <w:rPr>
          <w:lang w:val="fr-FR"/>
        </w:rPr>
        <w:t xml:space="preserve"> </w:t>
      </w:r>
      <w:r w:rsidRPr="00274FCD">
        <w:rPr>
          <w:lang w:val="fr-FR"/>
        </w:rPr>
        <w:t>est fondé sur le document</w:t>
      </w:r>
      <w:r>
        <w:rPr>
          <w:lang w:val="fr-FR"/>
        </w:rPr>
        <w:t> </w:t>
      </w:r>
      <w:r w:rsidRPr="00274FCD">
        <w:rPr>
          <w:lang w:val="fr-FR"/>
        </w:rPr>
        <w:t>ECE/TRANS/WP.29/GRPE/2024/7 et sur le document informel</w:t>
      </w:r>
      <w:r>
        <w:rPr>
          <w:lang w:val="fr-FR"/>
        </w:rPr>
        <w:t xml:space="preserve"> </w:t>
      </w:r>
      <w:r w:rsidRPr="00274FCD">
        <w:rPr>
          <w:lang w:val="fr-FR"/>
        </w:rPr>
        <w:t>GRPE-90-09-Rev.1 tel</w:t>
      </w:r>
      <w:r>
        <w:rPr>
          <w:lang w:val="fr-FR"/>
        </w:rPr>
        <w:t>s</w:t>
      </w:r>
      <w:r w:rsidRPr="00274FCD">
        <w:rPr>
          <w:lang w:val="fr-FR"/>
        </w:rPr>
        <w:t xml:space="preserve"> que modifié</w:t>
      </w:r>
      <w:r>
        <w:rPr>
          <w:lang w:val="fr-FR"/>
        </w:rPr>
        <w:t>s</w:t>
      </w:r>
      <w:r w:rsidRPr="00274FCD">
        <w:rPr>
          <w:lang w:val="fr-FR"/>
        </w:rPr>
        <w:t xml:space="preserve"> par l</w:t>
      </w:r>
      <w:r>
        <w:rPr>
          <w:lang w:val="fr-FR"/>
        </w:rPr>
        <w:t>’</w:t>
      </w:r>
      <w:r w:rsidRPr="00274FCD">
        <w:rPr>
          <w:lang w:val="fr-FR"/>
        </w:rPr>
        <w:t>annexe</w:t>
      </w:r>
      <w:r>
        <w:rPr>
          <w:lang w:val="fr-FR"/>
        </w:rPr>
        <w:t> </w:t>
      </w:r>
      <w:r w:rsidRPr="00274FCD">
        <w:rPr>
          <w:lang w:val="fr-FR"/>
        </w:rPr>
        <w:t>IV du rapport.</w:t>
      </w:r>
      <w:r w:rsidRPr="00274FCD" w:rsidDel="00302915">
        <w:rPr>
          <w:lang w:val="fr-FR"/>
        </w:rPr>
        <w:t xml:space="preserve"> </w:t>
      </w:r>
      <w:r w:rsidRPr="00FA2148">
        <w:rPr>
          <w:lang w:val="fr-FR"/>
        </w:rPr>
        <w:t>Il est soumis au Forum mondial de l</w:t>
      </w:r>
      <w:r>
        <w:rPr>
          <w:lang w:val="fr-FR"/>
        </w:rPr>
        <w:t>’</w:t>
      </w:r>
      <w:r w:rsidRPr="00FA2148">
        <w:rPr>
          <w:lang w:val="fr-FR"/>
        </w:rPr>
        <w:t>harmonisation des Règlements concernant les véhicules (WP.29) et au Comité d</w:t>
      </w:r>
      <w:r>
        <w:rPr>
          <w:lang w:val="fr-FR"/>
        </w:rPr>
        <w:t>’</w:t>
      </w:r>
      <w:r w:rsidRPr="00FA2148">
        <w:rPr>
          <w:lang w:val="fr-FR"/>
        </w:rPr>
        <w:t>administration de l</w:t>
      </w:r>
      <w:r>
        <w:rPr>
          <w:lang w:val="fr-FR"/>
        </w:rPr>
        <w:t>’</w:t>
      </w:r>
      <w:r w:rsidRPr="00FA2148">
        <w:rPr>
          <w:lang w:val="fr-FR"/>
        </w:rPr>
        <w:t>Accord de 1958 (AC.1) pour examen à leurs sessions de juin</w:t>
      </w:r>
      <w:r>
        <w:rPr>
          <w:lang w:val="fr-FR"/>
        </w:rPr>
        <w:t> </w:t>
      </w:r>
      <w:r w:rsidRPr="00FA2148">
        <w:rPr>
          <w:lang w:val="fr-FR"/>
        </w:rPr>
        <w:t>2024.</w:t>
      </w:r>
    </w:p>
    <w:p w14:paraId="725A42C4" w14:textId="6E08F73C" w:rsidR="002776F0" w:rsidRPr="002428E3" w:rsidRDefault="002776F0" w:rsidP="002776F0">
      <w:pPr>
        <w:pStyle w:val="SingleTxtG"/>
        <w:ind w:firstLine="567"/>
        <w:rPr>
          <w:rFonts w:ascii="LJLOIP+TimesNewRoman" w:hAnsi="LJLOIP+TimesNewRoman" w:cs="LJLOIP+TimesNewRoman"/>
          <w:b/>
          <w:bCs/>
          <w:color w:val="000000" w:themeColor="text1"/>
          <w:sz w:val="28"/>
          <w:szCs w:val="28"/>
          <w:lang w:val="fr-SN"/>
        </w:rPr>
      </w:pPr>
      <w:r w:rsidRPr="002428E3">
        <w:rPr>
          <w:b/>
          <w:bCs/>
          <w:color w:val="000000" w:themeColor="text1"/>
          <w:sz w:val="28"/>
          <w:szCs w:val="28"/>
          <w:lang w:val="fr-SN"/>
        </w:rPr>
        <w:br w:type="page"/>
      </w:r>
    </w:p>
    <w:p w14:paraId="0BC041E2" w14:textId="7B9C38F2" w:rsidR="002776F0" w:rsidRDefault="002776F0" w:rsidP="002776F0">
      <w:pPr>
        <w:pStyle w:val="SingleTxtG"/>
        <w:rPr>
          <w:i/>
          <w:iCs/>
          <w:lang w:val="fr-FR"/>
        </w:rPr>
      </w:pPr>
      <w:r w:rsidRPr="00F04A8F">
        <w:rPr>
          <w:i/>
          <w:iCs/>
          <w:lang w:val="fr-FR"/>
        </w:rPr>
        <w:lastRenderedPageBreak/>
        <w:t>Annexe</w:t>
      </w:r>
      <w:r>
        <w:rPr>
          <w:i/>
          <w:iCs/>
          <w:lang w:val="fr-FR"/>
        </w:rPr>
        <w:t> </w:t>
      </w:r>
      <w:r w:rsidRPr="00F04A8F">
        <w:rPr>
          <w:i/>
          <w:iCs/>
          <w:lang w:val="fr-FR"/>
        </w:rPr>
        <w:t>4</w:t>
      </w:r>
    </w:p>
    <w:p w14:paraId="69AC2522" w14:textId="74CA56C4" w:rsidR="002776F0" w:rsidRPr="002428E3" w:rsidRDefault="002776F0" w:rsidP="002776F0">
      <w:pPr>
        <w:pStyle w:val="SingleTxtG"/>
        <w:rPr>
          <w:lang w:val="fr-SN"/>
        </w:rPr>
      </w:pPr>
      <w:r>
        <w:rPr>
          <w:i/>
          <w:iCs/>
          <w:lang w:val="fr-FR"/>
        </w:rPr>
        <w:t>P</w:t>
      </w:r>
      <w:r w:rsidRPr="00F04A8F">
        <w:rPr>
          <w:i/>
          <w:iCs/>
          <w:lang w:val="fr-FR"/>
        </w:rPr>
        <w:t>aragraphe</w:t>
      </w:r>
      <w:r>
        <w:rPr>
          <w:i/>
          <w:iCs/>
          <w:lang w:val="fr-FR"/>
        </w:rPr>
        <w:t> </w:t>
      </w:r>
      <w:r w:rsidRPr="00F04A8F">
        <w:rPr>
          <w:i/>
          <w:iCs/>
          <w:lang w:val="fr-FR"/>
        </w:rPr>
        <w:t>4.1.5.2</w:t>
      </w:r>
      <w:r>
        <w:rPr>
          <w:lang w:val="fr-FR"/>
        </w:rPr>
        <w:t>, lire :</w:t>
      </w:r>
    </w:p>
    <w:p w14:paraId="0C1985BC" w14:textId="4DC6B12C" w:rsidR="002776F0" w:rsidRPr="0070672B" w:rsidRDefault="002776F0" w:rsidP="002776F0">
      <w:pPr>
        <w:pStyle w:val="SingleTxtG"/>
        <w:ind w:left="2268" w:hanging="1134"/>
        <w:rPr>
          <w:i/>
          <w:iCs/>
          <w:lang w:val="fr-SN"/>
        </w:rPr>
      </w:pPr>
      <w:r>
        <w:rPr>
          <w:lang w:val="fr-FR"/>
        </w:rPr>
        <w:t>« 4.1.5.2</w:t>
      </w:r>
      <w:r>
        <w:rPr>
          <w:lang w:val="fr-FR"/>
        </w:rPr>
        <w:tab/>
        <w:t>Banc à courbe d’absorption de puissance réglable : le frein doit être réglé pour absorber la puissance exercée sur les roues motrices à des vitesses stabilisées de 120, 100, 80, 60, 40 et 20 km/h. Les méthodes à appliquer pour déterminer et régler le frein sont décrites dans l’appendic</w:t>
      </w:r>
      <w:r w:rsidRPr="002776F0">
        <w:rPr>
          <w:lang w:val="fr-FR"/>
        </w:rPr>
        <w:t>e</w:t>
      </w:r>
      <w:r w:rsidRPr="002776F0">
        <w:rPr>
          <w:lang w:val="fr-FR"/>
        </w:rPr>
        <w:t> </w:t>
      </w:r>
      <w:r w:rsidRPr="002776F0">
        <w:rPr>
          <w:lang w:val="fr-FR"/>
        </w:rPr>
        <w:t xml:space="preserve">3a à la présente annexe. Dans </w:t>
      </w:r>
      <w:r w:rsidRPr="00F3052F">
        <w:rPr>
          <w:lang w:val="fr-FR"/>
        </w:rPr>
        <w:t>le cas où la résistance à l</w:t>
      </w:r>
      <w:r>
        <w:rPr>
          <w:lang w:val="fr-FR"/>
        </w:rPr>
        <w:t>’</w:t>
      </w:r>
      <w:r w:rsidRPr="00F3052F">
        <w:rPr>
          <w:lang w:val="fr-FR"/>
        </w:rPr>
        <w:t>avancement sur route du véhicule a déjà été déterminée conformément à la procédure WLTP telle qu</w:t>
      </w:r>
      <w:r>
        <w:rPr>
          <w:lang w:val="fr-FR"/>
        </w:rPr>
        <w:t>’</w:t>
      </w:r>
      <w:r w:rsidRPr="00F3052F">
        <w:rPr>
          <w:lang w:val="fr-FR"/>
        </w:rPr>
        <w:t>elle est définie dans le RTM ONU n</w:t>
      </w:r>
      <w:r w:rsidRPr="00F3052F">
        <w:rPr>
          <w:vertAlign w:val="superscript"/>
          <w:lang w:val="fr-FR"/>
        </w:rPr>
        <w:t>o</w:t>
      </w:r>
      <w:r w:rsidRPr="00F3052F">
        <w:rPr>
          <w:lang w:val="fr-FR"/>
        </w:rPr>
        <w:t> 15, la méthode décrite à l</w:t>
      </w:r>
      <w:r>
        <w:rPr>
          <w:lang w:val="fr-FR"/>
        </w:rPr>
        <w:t>’</w:t>
      </w:r>
      <w:r w:rsidRPr="00F3052F">
        <w:rPr>
          <w:lang w:val="fr-FR"/>
        </w:rPr>
        <w:t>appendice 3b peut être utilisée. </w:t>
      </w:r>
      <w:r w:rsidRPr="00DF670A">
        <w:rPr>
          <w:lang w:val="fr-FR"/>
        </w:rPr>
        <w:t>».</w:t>
      </w:r>
    </w:p>
    <w:p w14:paraId="4A2C44DA" w14:textId="1F701B46" w:rsidR="002776F0" w:rsidRPr="002428E3" w:rsidRDefault="002776F0" w:rsidP="002776F0">
      <w:pPr>
        <w:pStyle w:val="SingleTxtG"/>
        <w:rPr>
          <w:i/>
          <w:lang w:val="fr-SN"/>
        </w:rPr>
      </w:pPr>
      <w:r w:rsidRPr="00F3052F">
        <w:rPr>
          <w:i/>
          <w:iCs/>
          <w:lang w:val="fr-FR"/>
        </w:rPr>
        <w:t>L</w:t>
      </w:r>
      <w:r>
        <w:rPr>
          <w:i/>
          <w:iCs/>
          <w:lang w:val="fr-FR"/>
        </w:rPr>
        <w:t>’</w:t>
      </w:r>
      <w:r w:rsidRPr="00F3052F">
        <w:rPr>
          <w:i/>
          <w:iCs/>
          <w:lang w:val="fr-FR"/>
        </w:rPr>
        <w:t>appendice</w:t>
      </w:r>
      <w:r>
        <w:rPr>
          <w:i/>
          <w:iCs/>
          <w:lang w:val="fr-FR"/>
        </w:rPr>
        <w:t> </w:t>
      </w:r>
      <w:r w:rsidRPr="00F3052F">
        <w:rPr>
          <w:i/>
          <w:iCs/>
          <w:lang w:val="fr-FR"/>
        </w:rPr>
        <w:t>3</w:t>
      </w:r>
      <w:r>
        <w:rPr>
          <w:lang w:val="fr-FR"/>
        </w:rPr>
        <w:t xml:space="preserve"> devient l’appendice</w:t>
      </w:r>
      <w:r>
        <w:rPr>
          <w:lang w:val="fr-FR"/>
        </w:rPr>
        <w:t> </w:t>
      </w:r>
      <w:r>
        <w:rPr>
          <w:lang w:val="fr-FR"/>
        </w:rPr>
        <w:t>3a.</w:t>
      </w:r>
    </w:p>
    <w:p w14:paraId="1F5A4AF2" w14:textId="5278D36A" w:rsidR="002776F0" w:rsidRPr="002428E3" w:rsidRDefault="002776F0" w:rsidP="002776F0">
      <w:pPr>
        <w:pStyle w:val="SingleTxtG"/>
        <w:rPr>
          <w:lang w:val="fr-SN"/>
        </w:rPr>
      </w:pPr>
      <w:r w:rsidRPr="00E811B0">
        <w:rPr>
          <w:i/>
          <w:iCs/>
          <w:lang w:val="fr-FR"/>
        </w:rPr>
        <w:t>Ajouter le nouvel appendice 3b</w:t>
      </w:r>
      <w:r w:rsidRPr="0070672B">
        <w:rPr>
          <w:lang w:val="fr-FR"/>
        </w:rPr>
        <w:t>, libellé comme suit</w:t>
      </w:r>
      <w:r>
        <w:rPr>
          <w:lang w:val="fr-FR"/>
        </w:rPr>
        <w:t> </w:t>
      </w:r>
      <w:r w:rsidRPr="0070672B">
        <w:rPr>
          <w:lang w:val="fr-FR"/>
        </w:rPr>
        <w:t>:</w:t>
      </w:r>
    </w:p>
    <w:p w14:paraId="65F9E108" w14:textId="00537243" w:rsidR="002776F0" w:rsidRPr="002428E3" w:rsidRDefault="002776F0" w:rsidP="002776F0">
      <w:pPr>
        <w:pStyle w:val="HChG"/>
        <w:rPr>
          <w:szCs w:val="28"/>
          <w:lang w:val="fr-SN"/>
        </w:rPr>
      </w:pPr>
      <w:r>
        <w:rPr>
          <w:lang w:val="fr-FR"/>
        </w:rPr>
        <w:tab/>
      </w:r>
      <w:r w:rsidRPr="00E811B0">
        <w:rPr>
          <w:b w:val="0"/>
          <w:bCs/>
          <w:sz w:val="20"/>
          <w:lang w:val="fr-FR"/>
        </w:rPr>
        <w:t>« </w:t>
      </w:r>
      <w:r>
        <w:rPr>
          <w:lang w:val="fr-FR"/>
        </w:rPr>
        <w:t>Annexe</w:t>
      </w:r>
      <w:r>
        <w:rPr>
          <w:lang w:val="fr-FR"/>
        </w:rPr>
        <w:t> </w:t>
      </w:r>
      <w:r>
        <w:rPr>
          <w:lang w:val="fr-FR"/>
        </w:rPr>
        <w:t>4 − Appendice 3b</w:t>
      </w:r>
    </w:p>
    <w:p w14:paraId="3E3AD5CF" w14:textId="77777777" w:rsidR="002776F0" w:rsidRPr="002428E3" w:rsidRDefault="002776F0" w:rsidP="002776F0">
      <w:pPr>
        <w:pStyle w:val="HChG"/>
        <w:rPr>
          <w:szCs w:val="28"/>
          <w:lang w:val="fr-SN"/>
        </w:rPr>
      </w:pPr>
      <w:r>
        <w:rPr>
          <w:lang w:val="fr-FR"/>
        </w:rPr>
        <w:tab/>
      </w:r>
      <w:r>
        <w:rPr>
          <w:lang w:val="fr-FR"/>
        </w:rPr>
        <w:tab/>
        <w:t xml:space="preserve">Autre procédure de détermination de la résistance totale </w:t>
      </w:r>
      <w:r>
        <w:rPr>
          <w:lang w:val="fr-FR"/>
        </w:rPr>
        <w:br/>
        <w:t>à l’avancement d’un véhicule</w:t>
      </w:r>
    </w:p>
    <w:p w14:paraId="7229413C" w14:textId="77777777" w:rsidR="002776F0" w:rsidRPr="00F3052F" w:rsidRDefault="002776F0" w:rsidP="00AA0D45">
      <w:pPr>
        <w:pStyle w:val="SingleTxtG"/>
        <w:keepNext/>
        <w:ind w:left="2268" w:hanging="1134"/>
        <w:rPr>
          <w:szCs w:val="18"/>
        </w:rPr>
      </w:pPr>
      <w:r w:rsidRPr="00F3052F">
        <w:rPr>
          <w:szCs w:val="18"/>
        </w:rPr>
        <w:t>1.</w:t>
      </w:r>
      <w:r w:rsidRPr="00F3052F">
        <w:rPr>
          <w:szCs w:val="18"/>
        </w:rPr>
        <w:tab/>
      </w:r>
      <w:r w:rsidRPr="00F3052F">
        <w:rPr>
          <w:lang w:val="fr-FR"/>
        </w:rPr>
        <w:t xml:space="preserve">Introduction </w:t>
      </w:r>
    </w:p>
    <w:p w14:paraId="33B88F3D" w14:textId="1E65C859" w:rsidR="002776F0" w:rsidRPr="00F3052F" w:rsidRDefault="002776F0" w:rsidP="00AA0D45">
      <w:pPr>
        <w:pStyle w:val="SingleTxtG"/>
        <w:ind w:left="2268"/>
        <w:rPr>
          <w:szCs w:val="18"/>
          <w:lang w:val="fr-SN"/>
        </w:rPr>
      </w:pPr>
      <w:r w:rsidRPr="00F3052F">
        <w:rPr>
          <w:lang w:val="fr-FR"/>
        </w:rPr>
        <w:t>Le présent appendice décrit la méthode de calcul de la résistance à l</w:t>
      </w:r>
      <w:r>
        <w:rPr>
          <w:lang w:val="fr-FR"/>
        </w:rPr>
        <w:t>’</w:t>
      </w:r>
      <w:r w:rsidRPr="00F3052F">
        <w:rPr>
          <w:lang w:val="fr-FR"/>
        </w:rPr>
        <w:t>avancement qui peut être utilisée, au choix du constructeur, lorsque la résistance à l</w:t>
      </w:r>
      <w:r>
        <w:rPr>
          <w:lang w:val="fr-FR"/>
        </w:rPr>
        <w:t>’</w:t>
      </w:r>
      <w:r w:rsidRPr="00F3052F">
        <w:rPr>
          <w:lang w:val="fr-FR"/>
        </w:rPr>
        <w:t>avancement du véhicule est déterminée conformément à la procédure WLTP telle que définie dans le RTM ONU n</w:t>
      </w:r>
      <w:r w:rsidRPr="00F3052F">
        <w:rPr>
          <w:vertAlign w:val="superscript"/>
          <w:lang w:val="fr-FR"/>
        </w:rPr>
        <w:t>o</w:t>
      </w:r>
      <w:r>
        <w:rPr>
          <w:lang w:val="fr-FR"/>
        </w:rPr>
        <w:t> </w:t>
      </w:r>
      <w:r w:rsidRPr="00F3052F">
        <w:rPr>
          <w:lang w:val="fr-FR"/>
        </w:rPr>
        <w:t xml:space="preserve">15. </w:t>
      </w:r>
    </w:p>
    <w:p w14:paraId="4A5BD520" w14:textId="77777777" w:rsidR="002776F0" w:rsidRPr="00F3052F" w:rsidRDefault="002776F0" w:rsidP="00AA0D45">
      <w:pPr>
        <w:pStyle w:val="SingleTxtG"/>
        <w:keepNext/>
        <w:ind w:left="2268" w:hanging="1134"/>
      </w:pPr>
      <w:r w:rsidRPr="00F3052F">
        <w:t>2.</w:t>
      </w:r>
      <w:r w:rsidRPr="00F3052F">
        <w:tab/>
      </w:r>
      <w:r w:rsidRPr="00F3052F">
        <w:rPr>
          <w:lang w:val="fr-FR"/>
        </w:rPr>
        <w:t>Méthode</w:t>
      </w:r>
    </w:p>
    <w:p w14:paraId="400C0EC8" w14:textId="77777777" w:rsidR="002776F0" w:rsidRPr="00F3052F" w:rsidRDefault="002776F0" w:rsidP="00AA0D45">
      <w:pPr>
        <w:pStyle w:val="SingleTxtG"/>
        <w:keepNext/>
        <w:ind w:left="2268" w:hanging="1134"/>
        <w:rPr>
          <w:lang w:val="fr-SN"/>
        </w:rPr>
      </w:pPr>
      <w:r w:rsidRPr="00F3052F">
        <w:rPr>
          <w:lang w:val="fr-FR"/>
        </w:rPr>
        <w:t>2.1</w:t>
      </w:r>
      <w:r w:rsidRPr="00154A63">
        <w:rPr>
          <w:lang w:val="fr-FR"/>
        </w:rPr>
        <w:tab/>
      </w:r>
      <w:r w:rsidRPr="00F3052F">
        <w:rPr>
          <w:lang w:val="fr-FR"/>
        </w:rPr>
        <w:t>Calcul de la résistance à l</w:t>
      </w:r>
      <w:r>
        <w:rPr>
          <w:lang w:val="fr-FR"/>
        </w:rPr>
        <w:t>’</w:t>
      </w:r>
      <w:r w:rsidRPr="00F3052F">
        <w:rPr>
          <w:lang w:val="fr-FR"/>
        </w:rPr>
        <w:t>avancement du véhicule (procédure WLTP)</w:t>
      </w:r>
    </w:p>
    <w:p w14:paraId="299FE68D" w14:textId="3CC992FF" w:rsidR="002776F0" w:rsidRPr="00F3052F" w:rsidRDefault="002776F0" w:rsidP="00AA0D45">
      <w:pPr>
        <w:pStyle w:val="SingleTxtG"/>
        <w:ind w:left="2268"/>
        <w:rPr>
          <w:lang w:val="fr-SN"/>
        </w:rPr>
      </w:pPr>
      <w:r w:rsidRPr="00F3052F">
        <w:rPr>
          <w:lang w:val="fr-FR"/>
        </w:rPr>
        <w:t>La résistance à l</w:t>
      </w:r>
      <w:r>
        <w:rPr>
          <w:lang w:val="fr-FR"/>
        </w:rPr>
        <w:t>’</w:t>
      </w:r>
      <w:r w:rsidRPr="00F3052F">
        <w:rPr>
          <w:lang w:val="fr-FR"/>
        </w:rPr>
        <w:t>avancement du véhicule (procédure WLTP) doit être déterminée conformément à l</w:t>
      </w:r>
      <w:r>
        <w:rPr>
          <w:lang w:val="fr-FR"/>
        </w:rPr>
        <w:t>’</w:t>
      </w:r>
      <w:r w:rsidRPr="00F3052F">
        <w:rPr>
          <w:lang w:val="fr-FR"/>
        </w:rPr>
        <w:t>annexe</w:t>
      </w:r>
      <w:r>
        <w:rPr>
          <w:lang w:val="fr-FR"/>
        </w:rPr>
        <w:t> </w:t>
      </w:r>
      <w:r w:rsidRPr="00F3052F">
        <w:rPr>
          <w:lang w:val="fr-FR"/>
        </w:rPr>
        <w:t>4 du RTM ONU n</w:t>
      </w:r>
      <w:r w:rsidRPr="00F3052F">
        <w:rPr>
          <w:vertAlign w:val="superscript"/>
          <w:lang w:val="fr-FR"/>
        </w:rPr>
        <w:t>o</w:t>
      </w:r>
      <w:r w:rsidRPr="00F3052F">
        <w:rPr>
          <w:lang w:val="fr-FR"/>
        </w:rPr>
        <w:t> 15 ou, dans le cas où le véhicule appartient à une famille d</w:t>
      </w:r>
      <w:r>
        <w:rPr>
          <w:lang w:val="fr-FR"/>
        </w:rPr>
        <w:t>’</w:t>
      </w:r>
      <w:r w:rsidRPr="00F3052F">
        <w:rPr>
          <w:lang w:val="fr-FR"/>
        </w:rPr>
        <w:t>interpolation, conformément au paragraphe</w:t>
      </w:r>
      <w:r>
        <w:rPr>
          <w:lang w:val="fr-FR"/>
        </w:rPr>
        <w:t> </w:t>
      </w:r>
      <w:r w:rsidRPr="00F3052F">
        <w:rPr>
          <w:lang w:val="fr-FR"/>
        </w:rPr>
        <w:t>3.2.3.2.2 de son annexe</w:t>
      </w:r>
      <w:r>
        <w:rPr>
          <w:lang w:val="fr-FR"/>
        </w:rPr>
        <w:t> </w:t>
      </w:r>
      <w:r w:rsidRPr="00F3052F">
        <w:rPr>
          <w:lang w:val="fr-FR"/>
        </w:rPr>
        <w:t>7 (Calcul de la résistance à l</w:t>
      </w:r>
      <w:r>
        <w:rPr>
          <w:lang w:val="fr-FR"/>
        </w:rPr>
        <w:t>’</w:t>
      </w:r>
      <w:r w:rsidRPr="00F3052F">
        <w:rPr>
          <w:lang w:val="fr-FR"/>
        </w:rPr>
        <w:t>avancement sur route pour un véhicule donné), avec les paramètres d</w:t>
      </w:r>
      <w:r>
        <w:rPr>
          <w:lang w:val="fr-FR"/>
        </w:rPr>
        <w:t>’</w:t>
      </w:r>
      <w:r w:rsidRPr="00F3052F">
        <w:rPr>
          <w:lang w:val="fr-FR"/>
        </w:rPr>
        <w:t>entrée suivants :</w:t>
      </w:r>
    </w:p>
    <w:p w14:paraId="765C652B" w14:textId="77777777" w:rsidR="002776F0" w:rsidRPr="00F3052F" w:rsidRDefault="002776F0" w:rsidP="00AA0D45">
      <w:pPr>
        <w:pStyle w:val="SingleTxtG"/>
        <w:ind w:left="2835" w:hanging="567"/>
        <w:rPr>
          <w:lang w:val="fr-SN"/>
        </w:rPr>
      </w:pPr>
      <w:r w:rsidRPr="00F3052F">
        <w:rPr>
          <w:lang w:val="fr-FR"/>
        </w:rPr>
        <w:t>a)</w:t>
      </w:r>
      <w:r w:rsidRPr="00F3052F">
        <w:rPr>
          <w:lang w:val="fr-FR"/>
        </w:rPr>
        <w:tab/>
        <w:t>La masse d</w:t>
      </w:r>
      <w:r>
        <w:rPr>
          <w:lang w:val="fr-FR"/>
        </w:rPr>
        <w:t>’</w:t>
      </w:r>
      <w:r w:rsidRPr="00F3052F">
        <w:rPr>
          <w:lang w:val="fr-FR"/>
        </w:rPr>
        <w:t>essai du véhicule</w:t>
      </w:r>
      <w:r w:rsidRPr="002776F0">
        <w:rPr>
          <w:rStyle w:val="Appelnotedebasdep"/>
        </w:rPr>
        <w:footnoteReference w:id="3"/>
      </w:r>
      <w:r w:rsidRPr="00F3052F">
        <w:rPr>
          <w:lang w:val="fr-FR"/>
        </w:rPr>
        <w:t xml:space="preserve"> pourvu de son équipement de série</w:t>
      </w:r>
      <w:r w:rsidRPr="00F3052F">
        <w:rPr>
          <w:sz w:val="18"/>
          <w:szCs w:val="18"/>
          <w:vertAlign w:val="superscript"/>
          <w:lang w:val="fr-FR"/>
        </w:rPr>
        <w:t>1</w:t>
      </w:r>
      <w:r w:rsidRPr="00154A63">
        <w:rPr>
          <w:lang w:val="fr-FR"/>
        </w:rPr>
        <w:t xml:space="preserve"> ; </w:t>
      </w:r>
    </w:p>
    <w:p w14:paraId="51A21A6E" w14:textId="1A6C354F" w:rsidR="002776F0" w:rsidRPr="00F3052F" w:rsidRDefault="002776F0" w:rsidP="00AA0D45">
      <w:pPr>
        <w:pStyle w:val="SingleTxtG"/>
        <w:ind w:left="2835" w:hanging="567"/>
        <w:rPr>
          <w:lang w:val="fr-SN"/>
        </w:rPr>
      </w:pPr>
      <w:r w:rsidRPr="00F3052F">
        <w:rPr>
          <w:lang w:val="fr-FR"/>
        </w:rPr>
        <w:t>b)</w:t>
      </w:r>
      <w:r w:rsidRPr="00154A63">
        <w:rPr>
          <w:lang w:val="fr-FR"/>
        </w:rPr>
        <w:tab/>
      </w:r>
      <w:r w:rsidRPr="00154A63">
        <w:rPr>
          <w:lang w:val="fr-FR"/>
        </w:rPr>
        <w:tab/>
      </w:r>
      <w:r w:rsidRPr="00F3052F">
        <w:rPr>
          <w:lang w:val="fr-FR"/>
        </w:rPr>
        <w:t>La valeur du CRR de la classe d</w:t>
      </w:r>
      <w:r>
        <w:rPr>
          <w:lang w:val="fr-FR"/>
        </w:rPr>
        <w:t>’</w:t>
      </w:r>
      <w:r w:rsidRPr="00F3052F">
        <w:rPr>
          <w:lang w:val="fr-FR"/>
        </w:rPr>
        <w:t>efficacité énergétique correspondante selon le tableau</w:t>
      </w:r>
      <w:r>
        <w:rPr>
          <w:lang w:val="fr-FR"/>
        </w:rPr>
        <w:t> </w:t>
      </w:r>
      <w:r w:rsidRPr="00F3052F">
        <w:rPr>
          <w:lang w:val="fr-FR"/>
        </w:rPr>
        <w:t>A4/2 de l</w:t>
      </w:r>
      <w:r>
        <w:rPr>
          <w:lang w:val="fr-FR"/>
        </w:rPr>
        <w:t>’</w:t>
      </w:r>
      <w:r w:rsidRPr="00F3052F">
        <w:rPr>
          <w:lang w:val="fr-FR"/>
        </w:rPr>
        <w:t>annexe</w:t>
      </w:r>
      <w:r>
        <w:rPr>
          <w:lang w:val="fr-FR"/>
        </w:rPr>
        <w:t> </w:t>
      </w:r>
      <w:r w:rsidRPr="00F3052F">
        <w:rPr>
          <w:lang w:val="fr-FR"/>
        </w:rPr>
        <w:t>4 du RTM ONU n</w:t>
      </w:r>
      <w:r w:rsidRPr="00F3052F">
        <w:rPr>
          <w:vertAlign w:val="superscript"/>
          <w:lang w:val="fr-FR"/>
        </w:rPr>
        <w:t>o</w:t>
      </w:r>
      <w:r w:rsidRPr="00F3052F">
        <w:rPr>
          <w:lang w:val="fr-FR"/>
        </w:rPr>
        <w:t> 15 ou, si les pneumatiques montés sur les essieux avant et arrière relèvent de différentes classes d</w:t>
      </w:r>
      <w:r>
        <w:rPr>
          <w:lang w:val="fr-FR"/>
        </w:rPr>
        <w:t>’</w:t>
      </w:r>
      <w:r w:rsidRPr="00F3052F">
        <w:rPr>
          <w:lang w:val="fr-FR"/>
        </w:rPr>
        <w:t>efficacité énergétique, la moyenne pondérée calculée à l</w:t>
      </w:r>
      <w:r>
        <w:rPr>
          <w:lang w:val="fr-FR"/>
        </w:rPr>
        <w:t>’</w:t>
      </w:r>
      <w:r w:rsidRPr="00F3052F">
        <w:rPr>
          <w:lang w:val="fr-FR"/>
        </w:rPr>
        <w:t>aide de l</w:t>
      </w:r>
      <w:r>
        <w:rPr>
          <w:lang w:val="fr-FR"/>
        </w:rPr>
        <w:t>’</w:t>
      </w:r>
      <w:r w:rsidRPr="00F3052F">
        <w:rPr>
          <w:lang w:val="fr-FR"/>
        </w:rPr>
        <w:t>équation qui figure au paragraphe 3.2.3.2.2.2.3 de l</w:t>
      </w:r>
      <w:r>
        <w:rPr>
          <w:lang w:val="fr-FR"/>
        </w:rPr>
        <w:t>’</w:t>
      </w:r>
      <w:r w:rsidRPr="00F3052F">
        <w:rPr>
          <w:lang w:val="fr-FR"/>
        </w:rPr>
        <w:t>annexe</w:t>
      </w:r>
      <w:r>
        <w:rPr>
          <w:lang w:val="fr-FR"/>
        </w:rPr>
        <w:t> </w:t>
      </w:r>
      <w:r w:rsidRPr="00F3052F">
        <w:rPr>
          <w:lang w:val="fr-FR"/>
        </w:rPr>
        <w:t>7 du RTM ONU n</w:t>
      </w:r>
      <w:r w:rsidRPr="00F3052F">
        <w:rPr>
          <w:vertAlign w:val="superscript"/>
          <w:lang w:val="fr-FR"/>
        </w:rPr>
        <w:t>o</w:t>
      </w:r>
      <w:r w:rsidRPr="00F3052F">
        <w:rPr>
          <w:lang w:val="fr-FR"/>
        </w:rPr>
        <w:t> 15 ;</w:t>
      </w:r>
      <w:r w:rsidRPr="00154A63">
        <w:rPr>
          <w:lang w:val="fr-FR"/>
        </w:rPr>
        <w:t xml:space="preserve"> </w:t>
      </w:r>
    </w:p>
    <w:p w14:paraId="52DCD8E2" w14:textId="77777777" w:rsidR="002776F0" w:rsidRPr="00F3052F" w:rsidRDefault="002776F0" w:rsidP="00AA0D45">
      <w:pPr>
        <w:pStyle w:val="SingleTxtG"/>
        <w:ind w:left="2835" w:hanging="567"/>
        <w:rPr>
          <w:lang w:val="fr-FR"/>
        </w:rPr>
      </w:pPr>
      <w:r w:rsidRPr="00F3052F">
        <w:rPr>
          <w:lang w:val="fr-FR"/>
        </w:rPr>
        <w:t>c)</w:t>
      </w:r>
      <w:r w:rsidRPr="00F3052F">
        <w:rPr>
          <w:lang w:val="fr-FR"/>
        </w:rPr>
        <w:tab/>
        <w:t xml:space="preserve">La traînée </w:t>
      </w:r>
      <w:r w:rsidRPr="00F3052F">
        <w:rPr>
          <w:lang w:val="fr-SN"/>
        </w:rPr>
        <w:t>aérodynamique</w:t>
      </w:r>
      <w:r w:rsidRPr="00F3052F">
        <w:rPr>
          <w:lang w:val="fr-FR"/>
        </w:rPr>
        <w:t xml:space="preserve"> du véhicule pourvu de son équipement de série</w:t>
      </w:r>
      <w:r w:rsidRPr="00F3052F">
        <w:rPr>
          <w:sz w:val="18"/>
          <w:szCs w:val="18"/>
          <w:vertAlign w:val="superscript"/>
          <w:lang w:val="fr-FR"/>
        </w:rPr>
        <w:t>1</w:t>
      </w:r>
      <w:r w:rsidRPr="00F3052F">
        <w:rPr>
          <w:lang w:val="fr-FR"/>
        </w:rPr>
        <w:t>.</w:t>
      </w:r>
    </w:p>
    <w:p w14:paraId="7D7937A8" w14:textId="77777777" w:rsidR="002776F0" w:rsidRPr="00F3052F" w:rsidRDefault="002776F0" w:rsidP="00AA0D45">
      <w:pPr>
        <w:pStyle w:val="SingleTxtG"/>
        <w:keepNext/>
        <w:ind w:left="2268" w:hanging="1134"/>
        <w:rPr>
          <w:lang w:val="fr-SN"/>
        </w:rPr>
      </w:pPr>
      <w:r w:rsidRPr="00F3052F">
        <w:rPr>
          <w:lang w:val="fr-FR"/>
        </w:rPr>
        <w:t>2.2</w:t>
      </w:r>
      <w:r w:rsidRPr="00154A63">
        <w:rPr>
          <w:lang w:val="fr-FR"/>
        </w:rPr>
        <w:tab/>
      </w:r>
      <w:r w:rsidRPr="00F3052F">
        <w:rPr>
          <w:lang w:val="fr-FR"/>
        </w:rPr>
        <w:t>Calcul de la résistance à l</w:t>
      </w:r>
      <w:r>
        <w:rPr>
          <w:lang w:val="fr-FR"/>
        </w:rPr>
        <w:t>’</w:t>
      </w:r>
      <w:r w:rsidRPr="00F3052F">
        <w:rPr>
          <w:lang w:val="fr-FR"/>
        </w:rPr>
        <w:t>avancement du véhicule (procédure NEDC)</w:t>
      </w:r>
    </w:p>
    <w:p w14:paraId="2E5914E7" w14:textId="1C191B14" w:rsidR="002776F0" w:rsidRPr="00F3052F" w:rsidRDefault="002776F0" w:rsidP="00AA0D45">
      <w:pPr>
        <w:pStyle w:val="SingleTxtG"/>
        <w:keepNext/>
        <w:ind w:left="2268" w:hanging="1134"/>
        <w:rPr>
          <w:lang w:val="fr-SN"/>
        </w:rPr>
      </w:pPr>
      <w:r w:rsidRPr="00F3052F">
        <w:rPr>
          <w:lang w:val="fr-FR"/>
        </w:rPr>
        <w:t>2.2.1</w:t>
      </w:r>
      <w:r w:rsidRPr="00154A63">
        <w:rPr>
          <w:lang w:val="fr-FR"/>
        </w:rPr>
        <w:tab/>
      </w:r>
      <w:r w:rsidRPr="00F3052F">
        <w:rPr>
          <w:lang w:val="fr-FR"/>
        </w:rPr>
        <w:t>Effet de la différence de pression recommandée des pneumatiques</w:t>
      </w:r>
    </w:p>
    <w:p w14:paraId="2A83B8E9" w14:textId="77777777" w:rsidR="002776F0" w:rsidRPr="00F3052F" w:rsidRDefault="002776F0" w:rsidP="00AA0D45">
      <w:pPr>
        <w:pStyle w:val="SingleTxtG"/>
        <w:ind w:left="2268"/>
        <w:rPr>
          <w:bCs/>
          <w:lang w:val="fr-SN"/>
        </w:rPr>
      </w:pPr>
      <w:r w:rsidRPr="00F3052F">
        <w:rPr>
          <w:lang w:val="fr-FR"/>
        </w:rPr>
        <w:t>La pression des pneumatiques à prendre en considération aux fins du calcul de la résistance à l</w:t>
      </w:r>
      <w:r>
        <w:rPr>
          <w:lang w:val="fr-FR"/>
        </w:rPr>
        <w:t>’</w:t>
      </w:r>
      <w:r w:rsidRPr="00F3052F">
        <w:rPr>
          <w:lang w:val="fr-FR"/>
        </w:rPr>
        <w:t>avancement par la procédure NEDC est la moyenne entre les deux essieux de la moyenne entre la pression minimale et la pression maximale autorisées des pneumatiques sélectionnés, pour chaque essieu, pour la masse de référence NEDC du véhicule.</w:t>
      </w:r>
      <w:r w:rsidRPr="00154A63">
        <w:rPr>
          <w:lang w:val="fr-FR"/>
        </w:rPr>
        <w:t xml:space="preserve"> </w:t>
      </w:r>
      <w:r w:rsidRPr="00F3052F">
        <w:rPr>
          <w:lang w:val="fr-FR"/>
        </w:rPr>
        <w:t>Le calcul doit être effectué à l</w:t>
      </w:r>
      <w:r>
        <w:rPr>
          <w:lang w:val="fr-FR"/>
        </w:rPr>
        <w:t>’</w:t>
      </w:r>
      <w:r w:rsidRPr="00F3052F">
        <w:rPr>
          <w:lang w:val="fr-FR"/>
        </w:rPr>
        <w:t>aide de la formule suivante :</w:t>
      </w:r>
    </w:p>
    <w:p w14:paraId="1A599811" w14:textId="77777777" w:rsidR="002776F0" w:rsidRPr="00F3052F" w:rsidRDefault="002776F0" w:rsidP="00AA0D45">
      <w:pPr>
        <w:pStyle w:val="SingleTxtG"/>
        <w:ind w:left="2268"/>
        <w:rPr>
          <w:bCs/>
          <w:iCs/>
          <w:szCs w:val="21"/>
        </w:rPr>
      </w:pPr>
      <m:oMathPara>
        <m:oMathParaPr>
          <m:jc m:val="left"/>
        </m:oMathParaPr>
        <m:oMath>
          <m:sSub>
            <m:sSubPr>
              <m:ctrlPr>
                <w:rPr>
                  <w:rFonts w:ascii="Cambria Math" w:hAnsi="Cambria Math"/>
                  <w:bCs/>
                  <w:iCs/>
                  <w:szCs w:val="21"/>
                </w:rPr>
              </m:ctrlPr>
            </m:sSubPr>
            <m:e>
              <m:r>
                <m:rPr>
                  <m:sty m:val="p"/>
                </m:rPr>
                <w:rPr>
                  <w:rFonts w:ascii="Cambria Math" w:hAnsi="Cambria Math"/>
                  <w:szCs w:val="21"/>
                </w:rPr>
                <m:t>P</m:t>
              </m:r>
            </m:e>
            <m:sub>
              <m:r>
                <m:rPr>
                  <m:sty m:val="p"/>
                </m:rPr>
                <w:rPr>
                  <w:rFonts w:ascii="Cambria Math" w:hAnsi="Cambria Math"/>
                  <w:szCs w:val="21"/>
                </w:rPr>
                <m:t>avg</m:t>
              </m:r>
            </m:sub>
          </m:sSub>
          <m:r>
            <m:rPr>
              <m:sty m:val="p"/>
            </m:rPr>
            <w:rPr>
              <w:rFonts w:ascii="Cambria Math" w:hAnsi="Cambria Math"/>
              <w:szCs w:val="21"/>
            </w:rPr>
            <m:t>=</m:t>
          </m:r>
          <m:d>
            <m:dPr>
              <m:ctrlPr>
                <w:rPr>
                  <w:rFonts w:ascii="Cambria Math" w:hAnsi="Cambria Math"/>
                  <w:bCs/>
                  <w:iCs/>
                  <w:szCs w:val="21"/>
                </w:rPr>
              </m:ctrlPr>
            </m:dPr>
            <m:e>
              <m:f>
                <m:fPr>
                  <m:ctrlPr>
                    <w:rPr>
                      <w:rFonts w:ascii="Cambria Math" w:hAnsi="Cambria Math"/>
                      <w:bCs/>
                      <w:iCs/>
                      <w:szCs w:val="21"/>
                    </w:rPr>
                  </m:ctrlPr>
                </m:fPr>
                <m:num>
                  <m:sSub>
                    <m:sSubPr>
                      <m:ctrlPr>
                        <w:rPr>
                          <w:rFonts w:ascii="Cambria Math" w:hAnsi="Cambria Math"/>
                          <w:bCs/>
                          <w:iCs/>
                          <w:szCs w:val="21"/>
                        </w:rPr>
                      </m:ctrlPr>
                    </m:sSubPr>
                    <m:e>
                      <m:r>
                        <m:rPr>
                          <m:sty m:val="p"/>
                        </m:rPr>
                        <w:rPr>
                          <w:rFonts w:ascii="Cambria Math" w:hAnsi="Cambria Math"/>
                          <w:szCs w:val="21"/>
                        </w:rPr>
                        <m:t>P</m:t>
                      </m:r>
                    </m:e>
                    <m:sub>
                      <m:r>
                        <m:rPr>
                          <m:sty m:val="p"/>
                        </m:rPr>
                        <w:rPr>
                          <w:rFonts w:ascii="Cambria Math" w:hAnsi="Cambria Math"/>
                          <w:szCs w:val="21"/>
                        </w:rPr>
                        <m:t>max</m:t>
                      </m:r>
                    </m:sub>
                  </m:sSub>
                  <m:r>
                    <m:rPr>
                      <m:sty m:val="p"/>
                    </m:rPr>
                    <w:rPr>
                      <w:rFonts w:ascii="Cambria Math" w:hAnsi="Cambria Math"/>
                      <w:szCs w:val="21"/>
                    </w:rPr>
                    <m:t>+</m:t>
                  </m:r>
                  <m:sSub>
                    <m:sSubPr>
                      <m:ctrlPr>
                        <w:rPr>
                          <w:rFonts w:ascii="Cambria Math" w:hAnsi="Cambria Math"/>
                          <w:bCs/>
                          <w:iCs/>
                          <w:szCs w:val="21"/>
                        </w:rPr>
                      </m:ctrlPr>
                    </m:sSubPr>
                    <m:e>
                      <m:r>
                        <m:rPr>
                          <m:sty m:val="p"/>
                        </m:rPr>
                        <w:rPr>
                          <w:rFonts w:ascii="Cambria Math" w:hAnsi="Cambria Math"/>
                          <w:szCs w:val="21"/>
                        </w:rPr>
                        <m:t>P</m:t>
                      </m:r>
                    </m:e>
                    <m:sub>
                      <m:r>
                        <m:rPr>
                          <m:sty m:val="p"/>
                        </m:rPr>
                        <w:rPr>
                          <w:rFonts w:ascii="Cambria Math" w:hAnsi="Cambria Math"/>
                          <w:szCs w:val="21"/>
                        </w:rPr>
                        <m:t>min</m:t>
                      </m:r>
                    </m:sub>
                  </m:sSub>
                </m:num>
                <m:den>
                  <m:r>
                    <m:rPr>
                      <m:sty m:val="p"/>
                    </m:rPr>
                    <w:rPr>
                      <w:rFonts w:ascii="Cambria Math" w:hAnsi="Cambria Math"/>
                      <w:szCs w:val="21"/>
                    </w:rPr>
                    <m:t>2</m:t>
                  </m:r>
                </m:den>
              </m:f>
            </m:e>
          </m:d>
        </m:oMath>
      </m:oMathPara>
    </w:p>
    <w:p w14:paraId="7A2B7A59" w14:textId="034FB7CB" w:rsidR="002776F0" w:rsidRPr="00F3052F" w:rsidRDefault="002776F0" w:rsidP="00AA0D45">
      <w:pPr>
        <w:pStyle w:val="SingleTxtG"/>
        <w:keepNext/>
        <w:ind w:left="2268"/>
        <w:rPr>
          <w:bCs/>
          <w:lang w:val="fr-SN"/>
        </w:rPr>
      </w:pPr>
      <w:r>
        <w:rPr>
          <w:bCs/>
          <w:lang w:val="fr-FR"/>
        </w:rPr>
        <w:lastRenderedPageBreak/>
        <w:t>O</w:t>
      </w:r>
      <w:r w:rsidRPr="00F3052F">
        <w:rPr>
          <w:bCs/>
          <w:lang w:val="fr-FR"/>
        </w:rPr>
        <w:t>ù</w:t>
      </w:r>
      <w:r>
        <w:rPr>
          <w:bCs/>
          <w:lang w:val="fr-FR"/>
        </w:rPr>
        <w:t> </w:t>
      </w:r>
      <w:r w:rsidRPr="00F3052F">
        <w:rPr>
          <w:bCs/>
          <w:lang w:val="fr-FR"/>
        </w:rPr>
        <w:t>:</w:t>
      </w:r>
    </w:p>
    <w:p w14:paraId="71018EAE" w14:textId="77777777" w:rsidR="002776F0" w:rsidRPr="00F3052F" w:rsidRDefault="002776F0" w:rsidP="00AA0D45">
      <w:pPr>
        <w:pStyle w:val="SingleTxtG"/>
        <w:ind w:left="2268"/>
        <w:rPr>
          <w:bCs/>
          <w:lang w:val="fr-SN"/>
        </w:rPr>
      </w:pPr>
      <w:r w:rsidRPr="00F3052F">
        <w:rPr>
          <w:bCs/>
          <w:lang w:val="fr-FR"/>
        </w:rPr>
        <w:t>P</w:t>
      </w:r>
      <w:r w:rsidRPr="00F3052F">
        <w:rPr>
          <w:bCs/>
          <w:vertAlign w:val="subscript"/>
          <w:lang w:val="fr-FR"/>
        </w:rPr>
        <w:t>max</w:t>
      </w:r>
      <w:r w:rsidRPr="00F3052F">
        <w:rPr>
          <w:bCs/>
          <w:lang w:val="fr-FR"/>
        </w:rPr>
        <w:t xml:space="preserve"> désigne la moyenne des pressions maximales des pneumatiques sélectionnés pour les deux essieux ;</w:t>
      </w:r>
    </w:p>
    <w:p w14:paraId="63CBAE35" w14:textId="77777777" w:rsidR="002776F0" w:rsidRPr="00F3052F" w:rsidRDefault="002776F0" w:rsidP="00AA0D45">
      <w:pPr>
        <w:pStyle w:val="SingleTxtG"/>
        <w:ind w:left="2268"/>
        <w:rPr>
          <w:bCs/>
          <w:lang w:val="fr-SN"/>
        </w:rPr>
      </w:pPr>
      <w:proofErr w:type="spellStart"/>
      <w:r w:rsidRPr="00F3052F">
        <w:rPr>
          <w:bCs/>
          <w:lang w:val="fr-FR"/>
        </w:rPr>
        <w:t>P</w:t>
      </w:r>
      <w:r w:rsidRPr="00F3052F">
        <w:rPr>
          <w:bCs/>
          <w:vertAlign w:val="subscript"/>
          <w:lang w:val="fr-FR"/>
        </w:rPr>
        <w:t>min</w:t>
      </w:r>
      <w:proofErr w:type="spellEnd"/>
      <w:r w:rsidRPr="00F3052F">
        <w:rPr>
          <w:bCs/>
          <w:lang w:val="fr-FR"/>
        </w:rPr>
        <w:t xml:space="preserve"> désigne la moyenne des pressions minimales des pneumatiques sélectionnés pour les deux essieux.</w:t>
      </w:r>
    </w:p>
    <w:p w14:paraId="17E710FB" w14:textId="77777777" w:rsidR="002776F0" w:rsidRPr="00F3052F" w:rsidRDefault="002776F0" w:rsidP="00AA0D45">
      <w:pPr>
        <w:pStyle w:val="SingleTxtG"/>
        <w:keepNext/>
        <w:ind w:left="2268"/>
        <w:rPr>
          <w:bCs/>
          <w:szCs w:val="21"/>
          <w:lang w:val="fr-SN"/>
        </w:rPr>
      </w:pPr>
      <w:r w:rsidRPr="00F3052F">
        <w:rPr>
          <w:bCs/>
          <w:lang w:val="fr-FR"/>
        </w:rPr>
        <w:t>L</w:t>
      </w:r>
      <w:r>
        <w:rPr>
          <w:bCs/>
          <w:lang w:val="fr-FR"/>
        </w:rPr>
        <w:t>’</w:t>
      </w:r>
      <w:r w:rsidRPr="00F3052F">
        <w:rPr>
          <w:bCs/>
          <w:lang w:val="fr-FR"/>
        </w:rPr>
        <w:t>effet qui en résulte sur la résistance appliquée au véhicule doit être calculé à l</w:t>
      </w:r>
      <w:r>
        <w:rPr>
          <w:bCs/>
          <w:lang w:val="fr-FR"/>
        </w:rPr>
        <w:t>’</w:t>
      </w:r>
      <w:r w:rsidRPr="00F3052F">
        <w:rPr>
          <w:bCs/>
          <w:lang w:val="fr-FR"/>
        </w:rPr>
        <w:t>aide de la formule suivante :</w:t>
      </w:r>
    </w:p>
    <w:p w14:paraId="16832BFA" w14:textId="77777777" w:rsidR="002776F0" w:rsidRPr="00F3052F" w:rsidRDefault="002776F0" w:rsidP="00AA0D45">
      <w:pPr>
        <w:pStyle w:val="SingleTxtG"/>
        <w:ind w:left="2268"/>
        <w:rPr>
          <w:bCs/>
          <w:iCs/>
          <w:szCs w:val="21"/>
        </w:rPr>
      </w:pPr>
      <m:oMathPara>
        <m:oMathParaPr>
          <m:jc m:val="left"/>
        </m:oMathParaPr>
        <m:oMath>
          <m:r>
            <m:rPr>
              <m:sty m:val="p"/>
            </m:rPr>
            <w:rPr>
              <w:rFonts w:ascii="Cambria Math" w:hAnsi="Cambria Math"/>
              <w:szCs w:val="21"/>
            </w:rPr>
            <m:t>TP=</m:t>
          </m:r>
          <m:sSup>
            <m:sSupPr>
              <m:ctrlPr>
                <w:rPr>
                  <w:rFonts w:ascii="Cambria Math" w:hAnsi="Cambria Math"/>
                  <w:bCs/>
                  <w:iCs/>
                  <w:szCs w:val="21"/>
                </w:rPr>
              </m:ctrlPr>
            </m:sSupPr>
            <m:e>
              <m:d>
                <m:dPr>
                  <m:ctrlPr>
                    <w:rPr>
                      <w:rFonts w:ascii="Cambria Math" w:hAnsi="Cambria Math"/>
                      <w:bCs/>
                      <w:iCs/>
                      <w:szCs w:val="21"/>
                    </w:rPr>
                  </m:ctrlPr>
                </m:dPr>
                <m:e>
                  <m:f>
                    <m:fPr>
                      <m:ctrlPr>
                        <w:rPr>
                          <w:rFonts w:ascii="Cambria Math" w:hAnsi="Cambria Math"/>
                          <w:bCs/>
                          <w:iCs/>
                          <w:szCs w:val="21"/>
                        </w:rPr>
                      </m:ctrlPr>
                    </m:fPr>
                    <m:num>
                      <m:sSub>
                        <m:sSubPr>
                          <m:ctrlPr>
                            <w:rPr>
                              <w:rFonts w:ascii="Cambria Math" w:hAnsi="Cambria Math"/>
                              <w:bCs/>
                              <w:iCs/>
                              <w:szCs w:val="21"/>
                            </w:rPr>
                          </m:ctrlPr>
                        </m:sSubPr>
                        <m:e>
                          <m:r>
                            <m:rPr>
                              <m:sty m:val="p"/>
                            </m:rPr>
                            <w:rPr>
                              <w:rFonts w:ascii="Cambria Math" w:hAnsi="Cambria Math"/>
                              <w:szCs w:val="21"/>
                            </w:rPr>
                            <m:t>P</m:t>
                          </m:r>
                        </m:e>
                        <m:sub>
                          <m:r>
                            <m:rPr>
                              <m:sty m:val="p"/>
                            </m:rPr>
                            <w:rPr>
                              <w:rFonts w:ascii="Cambria Math" w:hAnsi="Cambria Math"/>
                              <w:szCs w:val="21"/>
                            </w:rPr>
                            <m:t>avg</m:t>
                          </m:r>
                        </m:sub>
                      </m:sSub>
                    </m:num>
                    <m:den>
                      <m:sSub>
                        <m:sSubPr>
                          <m:ctrlPr>
                            <w:rPr>
                              <w:rFonts w:ascii="Cambria Math" w:hAnsi="Cambria Math"/>
                              <w:bCs/>
                              <w:iCs/>
                              <w:szCs w:val="21"/>
                            </w:rPr>
                          </m:ctrlPr>
                        </m:sSubPr>
                        <m:e>
                          <m:r>
                            <m:rPr>
                              <m:sty m:val="p"/>
                            </m:rPr>
                            <w:rPr>
                              <w:rFonts w:ascii="Cambria Math" w:hAnsi="Cambria Math"/>
                              <w:szCs w:val="21"/>
                            </w:rPr>
                            <m:t>P</m:t>
                          </m:r>
                        </m:e>
                        <m:sub>
                          <m:r>
                            <m:rPr>
                              <m:sty m:val="p"/>
                            </m:rPr>
                            <w:rPr>
                              <w:rFonts w:ascii="Cambria Math" w:hAnsi="Cambria Math"/>
                              <w:szCs w:val="21"/>
                            </w:rPr>
                            <m:t>min</m:t>
                          </m:r>
                        </m:sub>
                      </m:sSub>
                    </m:den>
                  </m:f>
                </m:e>
              </m:d>
            </m:e>
            <m:sup>
              <m:r>
                <m:rPr>
                  <m:sty m:val="p"/>
                </m:rPr>
                <w:rPr>
                  <w:rFonts w:ascii="Cambria Math" w:hAnsi="Cambria Math"/>
                  <w:szCs w:val="21"/>
                </w:rPr>
                <m:t>-0,4</m:t>
              </m:r>
            </m:sup>
          </m:sSup>
        </m:oMath>
      </m:oMathPara>
    </w:p>
    <w:p w14:paraId="413AD18A" w14:textId="244A919B" w:rsidR="002776F0" w:rsidRPr="00F3052F" w:rsidRDefault="002776F0" w:rsidP="00AA0D45">
      <w:pPr>
        <w:pStyle w:val="SingleTxtG"/>
        <w:keepNext/>
        <w:ind w:left="2268" w:hanging="1134"/>
        <w:rPr>
          <w:lang w:val="fr-SN"/>
        </w:rPr>
      </w:pPr>
      <w:r w:rsidRPr="00F3052F">
        <w:rPr>
          <w:lang w:val="fr-FR"/>
        </w:rPr>
        <w:t>2.2.2</w:t>
      </w:r>
      <w:r w:rsidRPr="00542323">
        <w:rPr>
          <w:lang w:val="fr-FR"/>
        </w:rPr>
        <w:tab/>
      </w:r>
      <w:r w:rsidRPr="00F3052F">
        <w:rPr>
          <w:lang w:val="fr-FR"/>
        </w:rPr>
        <w:t>Effet de la profondeur de sculpture des pneumatiques</w:t>
      </w:r>
    </w:p>
    <w:p w14:paraId="08856C0F" w14:textId="77777777" w:rsidR="002776F0" w:rsidRPr="00F3052F" w:rsidRDefault="002776F0" w:rsidP="00AA0D45">
      <w:pPr>
        <w:pStyle w:val="SingleTxtG"/>
        <w:ind w:left="2268"/>
        <w:rPr>
          <w:lang w:val="fr-SN"/>
        </w:rPr>
      </w:pPr>
      <w:r w:rsidRPr="00F3052F">
        <w:rPr>
          <w:lang w:val="fr-FR"/>
        </w:rPr>
        <w:t>L</w:t>
      </w:r>
      <w:r>
        <w:rPr>
          <w:lang w:val="fr-FR"/>
        </w:rPr>
        <w:t>’</w:t>
      </w:r>
      <w:r w:rsidRPr="00F3052F">
        <w:rPr>
          <w:lang w:val="fr-FR"/>
        </w:rPr>
        <w:t>effet de la profondeur de sculpture des pneumatiques sur la résistance appliquée au véhicule doit être déterminé à l</w:t>
      </w:r>
      <w:r>
        <w:rPr>
          <w:lang w:val="fr-FR"/>
        </w:rPr>
        <w:t>’</w:t>
      </w:r>
      <w:r w:rsidRPr="00F3052F">
        <w:rPr>
          <w:lang w:val="fr-FR"/>
        </w:rPr>
        <w:t>aide de la formule suivante :</w:t>
      </w:r>
    </w:p>
    <w:p w14:paraId="018F3586" w14:textId="77777777" w:rsidR="002776F0" w:rsidRPr="00F3052F" w:rsidRDefault="002776F0" w:rsidP="00AA0D45">
      <w:pPr>
        <w:pStyle w:val="SingleTxtG"/>
        <w:ind w:left="2268"/>
        <w:rPr>
          <w:iCs/>
          <w:szCs w:val="21"/>
        </w:rPr>
      </w:pPr>
      <w:r w:rsidRPr="00F3052F">
        <w:rPr>
          <w:iCs/>
          <w:szCs w:val="21"/>
          <w:lang w:val="fr-SN"/>
        </w:rPr>
        <w:tab/>
      </w:r>
      <m:oMath>
        <m:r>
          <m:rPr>
            <m:sty m:val="p"/>
          </m:rPr>
          <w:rPr>
            <w:rFonts w:ascii="Cambria Math" w:hAnsi="Cambria Math"/>
            <w:szCs w:val="21"/>
          </w:rPr>
          <m:t>TTD=</m:t>
        </m:r>
        <m:d>
          <m:dPr>
            <m:ctrlPr>
              <w:rPr>
                <w:rFonts w:ascii="Cambria Math" w:hAnsi="Cambria Math"/>
                <w:iCs/>
                <w:szCs w:val="21"/>
              </w:rPr>
            </m:ctrlPr>
          </m:dPr>
          <m:e>
            <m:r>
              <m:rPr>
                <m:sty m:val="p"/>
              </m:rPr>
              <w:rPr>
                <w:rFonts w:ascii="Cambria Math" w:hAnsi="Cambria Math"/>
                <w:szCs w:val="21"/>
              </w:rPr>
              <m:t>2∙</m:t>
            </m:r>
            <m:f>
              <m:fPr>
                <m:ctrlPr>
                  <w:rPr>
                    <w:rFonts w:ascii="Cambria Math" w:hAnsi="Cambria Math"/>
                    <w:iCs/>
                    <w:szCs w:val="21"/>
                  </w:rPr>
                </m:ctrlPr>
              </m:fPr>
              <m:num>
                <m:r>
                  <m:rPr>
                    <m:sty m:val="p"/>
                  </m:rPr>
                  <w:rPr>
                    <w:rFonts w:ascii="Cambria Math" w:hAnsi="Cambria Math"/>
                    <w:szCs w:val="21"/>
                  </w:rPr>
                  <m:t>0,1∙</m:t>
                </m:r>
                <m:sSub>
                  <m:sSubPr>
                    <m:ctrlPr>
                      <w:rPr>
                        <w:rFonts w:ascii="Cambria Math" w:hAnsi="Cambria Math"/>
                        <w:iCs/>
                        <w:szCs w:val="21"/>
                      </w:rPr>
                    </m:ctrlPr>
                  </m:sSubPr>
                  <m:e>
                    <m:r>
                      <m:rPr>
                        <m:sty m:val="p"/>
                      </m:rPr>
                      <w:rPr>
                        <w:rFonts w:ascii="Cambria Math" w:hAnsi="Cambria Math"/>
                        <w:szCs w:val="21"/>
                      </w:rPr>
                      <m:t>RM</m:t>
                    </m:r>
                  </m:e>
                  <m:sub>
                    <m:r>
                      <m:rPr>
                        <m:sty m:val="p"/>
                      </m:rPr>
                      <w:rPr>
                        <w:rFonts w:ascii="Cambria Math" w:hAnsi="Cambria Math"/>
                        <w:szCs w:val="21"/>
                      </w:rPr>
                      <m:t>n</m:t>
                    </m:r>
                  </m:sub>
                </m:sSub>
                <m:r>
                  <m:rPr>
                    <m:sty m:val="p"/>
                  </m:rPr>
                  <w:rPr>
                    <w:rFonts w:ascii="Cambria Math" w:hAnsi="Cambria Math"/>
                    <w:szCs w:val="21"/>
                  </w:rPr>
                  <m:t>∙9,81</m:t>
                </m:r>
              </m:num>
              <m:den>
                <m:r>
                  <m:rPr>
                    <m:sty m:val="p"/>
                  </m:rPr>
                  <w:rPr>
                    <w:rFonts w:ascii="Cambria Math" w:hAnsi="Cambria Math"/>
                    <w:szCs w:val="21"/>
                  </w:rPr>
                  <m:t>1 000</m:t>
                </m:r>
              </m:den>
            </m:f>
          </m:e>
        </m:d>
      </m:oMath>
    </w:p>
    <w:p w14:paraId="6E050063" w14:textId="0C293E35" w:rsidR="002776F0" w:rsidRPr="00F3052F" w:rsidRDefault="002776F0" w:rsidP="00AA0D45">
      <w:pPr>
        <w:pStyle w:val="SingleTxtG"/>
        <w:ind w:left="2268"/>
        <w:rPr>
          <w:lang w:val="fr-SN"/>
        </w:rPr>
      </w:pPr>
      <w:r>
        <w:rPr>
          <w:lang w:val="fr-FR"/>
        </w:rPr>
        <w:t>O</w:t>
      </w:r>
      <w:r w:rsidRPr="00F3052F">
        <w:rPr>
          <w:lang w:val="fr-FR"/>
        </w:rPr>
        <w:t xml:space="preserve">ù </w:t>
      </w:r>
      <w:proofErr w:type="spellStart"/>
      <w:r w:rsidRPr="00F3052F">
        <w:rPr>
          <w:lang w:val="fr-FR"/>
        </w:rPr>
        <w:t>RM</w:t>
      </w:r>
      <w:r w:rsidRPr="00F3052F">
        <w:rPr>
          <w:vertAlign w:val="subscript"/>
          <w:lang w:val="fr-FR"/>
        </w:rPr>
        <w:t>n</w:t>
      </w:r>
      <w:proofErr w:type="spellEnd"/>
      <w:r w:rsidRPr="00F3052F">
        <w:rPr>
          <w:lang w:val="fr-FR"/>
        </w:rPr>
        <w:t xml:space="preserve"> est la masse de référence du véhicule telle que définie dans le présent Règlement.</w:t>
      </w:r>
    </w:p>
    <w:p w14:paraId="50ECC456" w14:textId="254437B2" w:rsidR="002776F0" w:rsidRPr="00F3052F" w:rsidRDefault="002776F0" w:rsidP="00AA0D45">
      <w:pPr>
        <w:pStyle w:val="SingleTxtG"/>
        <w:keepNext/>
        <w:ind w:left="2268" w:hanging="1134"/>
        <w:rPr>
          <w:lang w:val="fr-SN"/>
        </w:rPr>
      </w:pPr>
      <w:r w:rsidRPr="00F3052F">
        <w:rPr>
          <w:lang w:val="fr-FR"/>
        </w:rPr>
        <w:t>2.2.3</w:t>
      </w:r>
      <w:r w:rsidRPr="00542323">
        <w:rPr>
          <w:lang w:val="fr-FR"/>
        </w:rPr>
        <w:tab/>
      </w:r>
      <w:r w:rsidRPr="00F3052F">
        <w:rPr>
          <w:lang w:val="fr-FR"/>
        </w:rPr>
        <w:t>Effet de la différence de prise en compte des composants en rotation</w:t>
      </w:r>
    </w:p>
    <w:p w14:paraId="2634EBB0" w14:textId="77777777" w:rsidR="002776F0" w:rsidRPr="00F3052F" w:rsidRDefault="002776F0" w:rsidP="00AA0D45">
      <w:pPr>
        <w:pStyle w:val="SingleTxtG"/>
        <w:ind w:left="2268"/>
        <w:rPr>
          <w:lang w:val="fr-SN"/>
        </w:rPr>
      </w:pPr>
      <w:r w:rsidRPr="00F3052F">
        <w:rPr>
          <w:lang w:val="fr-FR"/>
        </w:rPr>
        <w:t>Dans le cadre de la méthode de la décélération libre de la procédure WTLP, les temps de décélération libre sont convertis en forces et inversement par prise en compte de la masse d</w:t>
      </w:r>
      <w:r>
        <w:rPr>
          <w:lang w:val="fr-FR"/>
        </w:rPr>
        <w:t>’</w:t>
      </w:r>
      <w:r w:rsidRPr="00F3052F">
        <w:rPr>
          <w:lang w:val="fr-FR"/>
        </w:rPr>
        <w:t>essai applicable et de la masse rotative (3 % de la somme de la masse en ordre de marche du véhicule et de 25 kg).</w:t>
      </w:r>
      <w:r w:rsidRPr="00542323">
        <w:rPr>
          <w:lang w:val="fr-FR"/>
        </w:rPr>
        <w:t xml:space="preserve"> </w:t>
      </w:r>
      <w:r w:rsidRPr="00F3052F">
        <w:rPr>
          <w:lang w:val="fr-FR"/>
        </w:rPr>
        <w:t>Dans le cadre de la méthode de la décélération libre de la procédure NEDC, les temps de décélération libre sont convertis en forces et inversement en faisant abstraction de la masse rotative.</w:t>
      </w:r>
    </w:p>
    <w:p w14:paraId="57428D9C" w14:textId="4F1BAB31" w:rsidR="002776F0" w:rsidRPr="00F3052F" w:rsidRDefault="002776F0" w:rsidP="00AA0D45">
      <w:pPr>
        <w:pStyle w:val="SingleTxtG"/>
        <w:keepNext/>
        <w:ind w:left="2268" w:hanging="1134"/>
        <w:rPr>
          <w:lang w:val="fr-SN"/>
        </w:rPr>
      </w:pPr>
      <w:r w:rsidRPr="00F3052F">
        <w:rPr>
          <w:lang w:val="fr-FR"/>
        </w:rPr>
        <w:t>2.2.4</w:t>
      </w:r>
      <w:r w:rsidRPr="00624576">
        <w:rPr>
          <w:lang w:val="fr-FR"/>
        </w:rPr>
        <w:tab/>
      </w:r>
      <w:r w:rsidRPr="00F3052F">
        <w:rPr>
          <w:lang w:val="fr-FR"/>
        </w:rPr>
        <w:t>Détermination des coefficients de résistance à l</w:t>
      </w:r>
      <w:r>
        <w:rPr>
          <w:lang w:val="fr-FR"/>
        </w:rPr>
        <w:t>’</w:t>
      </w:r>
      <w:r w:rsidRPr="00F3052F">
        <w:rPr>
          <w:lang w:val="fr-FR"/>
        </w:rPr>
        <w:t>avancement pour la procédure NEDC</w:t>
      </w:r>
      <w:r w:rsidRPr="00624576">
        <w:rPr>
          <w:lang w:val="fr-FR"/>
        </w:rPr>
        <w:t xml:space="preserve"> </w:t>
      </w:r>
    </w:p>
    <w:p w14:paraId="2F3F8F3C" w14:textId="06F9245D" w:rsidR="002776F0" w:rsidRPr="00F3052F" w:rsidRDefault="002776F0" w:rsidP="00AA0D45">
      <w:pPr>
        <w:pStyle w:val="SingleTxtG"/>
        <w:keepNext/>
        <w:ind w:left="2835" w:hanging="567"/>
        <w:rPr>
          <w:lang w:val="fr-SN"/>
        </w:rPr>
      </w:pPr>
      <w:r w:rsidRPr="00F3052F">
        <w:rPr>
          <w:lang w:val="fr-FR"/>
        </w:rPr>
        <w:t>a)</w:t>
      </w:r>
      <w:r w:rsidRPr="00624576">
        <w:rPr>
          <w:lang w:val="fr-FR"/>
        </w:rPr>
        <w:tab/>
      </w:r>
      <w:r w:rsidRPr="00F3052F">
        <w:rPr>
          <w:lang w:val="fr-FR"/>
        </w:rPr>
        <w:t>Le coefficient de résistance à l</w:t>
      </w:r>
      <w:r>
        <w:rPr>
          <w:lang w:val="fr-FR"/>
        </w:rPr>
        <w:t>’</w:t>
      </w:r>
      <w:r w:rsidRPr="00F3052F">
        <w:rPr>
          <w:lang w:val="fr-FR"/>
        </w:rPr>
        <w:t>avancement</w:t>
      </w:r>
      <w:r>
        <w:rPr>
          <w:lang w:val="fr-FR"/>
        </w:rPr>
        <w:t> </w:t>
      </w:r>
      <w:r w:rsidRPr="00F3052F">
        <w:rPr>
          <w:lang w:val="fr-FR"/>
        </w:rPr>
        <w:t>F</w:t>
      </w:r>
      <w:r w:rsidRPr="00F3052F">
        <w:rPr>
          <w:vertAlign w:val="subscript"/>
          <w:lang w:val="fr-FR"/>
        </w:rPr>
        <w:t>0n</w:t>
      </w:r>
      <w:r w:rsidRPr="00F3052F">
        <w:rPr>
          <w:lang w:val="fr-FR"/>
        </w:rPr>
        <w:t xml:space="preserve"> du véhicule, en newtons (N), est calculé comme suit</w:t>
      </w:r>
      <w:r>
        <w:rPr>
          <w:lang w:val="fr-FR"/>
        </w:rPr>
        <w:t> </w:t>
      </w:r>
      <w:r w:rsidRPr="00F3052F">
        <w:rPr>
          <w:lang w:val="fr-FR"/>
        </w:rPr>
        <w:t>:</w:t>
      </w:r>
    </w:p>
    <w:p w14:paraId="3466CA6A" w14:textId="08975C56" w:rsidR="002776F0" w:rsidRPr="00F3052F" w:rsidRDefault="002776F0" w:rsidP="002776F0">
      <w:pPr>
        <w:pStyle w:val="SingleTxtG"/>
        <w:keepNext/>
        <w:ind w:left="3402" w:hanging="567"/>
        <w:rPr>
          <w:lang w:val="fr-SN"/>
        </w:rPr>
      </w:pPr>
      <w:r w:rsidRPr="00F3052F">
        <w:rPr>
          <w:lang w:val="fr-FR"/>
        </w:rPr>
        <w:t>i)</w:t>
      </w:r>
      <w:r w:rsidRPr="00624576">
        <w:rPr>
          <w:lang w:val="fr-FR"/>
        </w:rPr>
        <w:tab/>
      </w:r>
      <w:r w:rsidRPr="00F3052F">
        <w:rPr>
          <w:lang w:val="fr-FR"/>
        </w:rPr>
        <w:t>Effet de la différence d</w:t>
      </w:r>
      <w:r>
        <w:rPr>
          <w:lang w:val="fr-FR"/>
        </w:rPr>
        <w:t>’</w:t>
      </w:r>
      <w:r w:rsidRPr="00F3052F">
        <w:rPr>
          <w:lang w:val="fr-FR"/>
        </w:rPr>
        <w:t>inertie</w:t>
      </w:r>
      <w:r>
        <w:rPr>
          <w:lang w:val="fr-FR"/>
        </w:rPr>
        <w:t> </w:t>
      </w:r>
      <w:r w:rsidRPr="00F3052F">
        <w:rPr>
          <w:lang w:val="fr-FR"/>
        </w:rPr>
        <w:t>:</w:t>
      </w:r>
    </w:p>
    <w:bookmarkStart w:id="0" w:name="_Hlk30015935"/>
    <w:p w14:paraId="66700146" w14:textId="77777777" w:rsidR="002776F0" w:rsidRPr="00F3052F" w:rsidRDefault="002776F0" w:rsidP="002776F0">
      <w:pPr>
        <w:pStyle w:val="SingleTxtG"/>
        <w:ind w:left="3402"/>
        <w:rPr>
          <w:iCs/>
          <w:szCs w:val="21"/>
        </w:rPr>
      </w:pPr>
      <m:oMathPara>
        <m:oMathParaPr>
          <m:jc m:val="left"/>
        </m:oMathParaPr>
        <m:oMath>
          <m:sSubSup>
            <m:sSubSupPr>
              <m:ctrlPr>
                <w:rPr>
                  <w:rFonts w:ascii="Cambria Math" w:hAnsi="Cambria Math"/>
                  <w:iCs/>
                  <w:szCs w:val="21"/>
                </w:rPr>
              </m:ctrlPr>
            </m:sSubSupPr>
            <m:e>
              <m:r>
                <m:rPr>
                  <m:sty m:val="p"/>
                </m:rPr>
                <w:rPr>
                  <w:rFonts w:ascii="Cambria Math" w:hAnsi="Cambria Math"/>
                  <w:szCs w:val="21"/>
                </w:rPr>
                <m:t>F</m:t>
              </m:r>
            </m:e>
            <m:sub>
              <m:r>
                <m:rPr>
                  <m:sty m:val="p"/>
                </m:rPr>
                <w:rPr>
                  <w:rFonts w:ascii="Cambria Math" w:hAnsi="Cambria Math"/>
                  <w:szCs w:val="21"/>
                </w:rPr>
                <m:t>0n</m:t>
              </m:r>
            </m:sub>
            <m:sup>
              <m:r>
                <m:rPr>
                  <m:sty m:val="p"/>
                </m:rPr>
                <w:rPr>
                  <w:rFonts w:ascii="Cambria Math" w:hAnsi="Cambria Math"/>
                  <w:szCs w:val="21"/>
                </w:rPr>
                <m:t>1</m:t>
              </m:r>
            </m:sup>
          </m:sSubSup>
          <w:bookmarkEnd w:id="0"/>
          <m:r>
            <m:rPr>
              <m:sty m:val="p"/>
            </m:rPr>
            <w:rPr>
              <w:rFonts w:ascii="Cambria Math" w:hAnsi="Cambria Math"/>
              <w:szCs w:val="21"/>
            </w:rPr>
            <m:t>=</m:t>
          </m:r>
          <m:sSub>
            <m:sSubPr>
              <m:ctrlPr>
                <w:rPr>
                  <w:rFonts w:ascii="Cambria Math" w:hAnsi="Cambria Math"/>
                  <w:iCs/>
                  <w:szCs w:val="21"/>
                </w:rPr>
              </m:ctrlPr>
            </m:sSubPr>
            <m:e>
              <m:r>
                <m:rPr>
                  <m:sty m:val="p"/>
                </m:rPr>
                <w:rPr>
                  <w:rFonts w:ascii="Cambria Math" w:hAnsi="Cambria Math"/>
                  <w:szCs w:val="21"/>
                </w:rPr>
                <m:t>F</m:t>
              </m:r>
            </m:e>
            <m:sub>
              <m:r>
                <m:rPr>
                  <m:sty m:val="p"/>
                </m:rPr>
                <w:rPr>
                  <w:rFonts w:ascii="Cambria Math" w:hAnsi="Cambria Math"/>
                  <w:szCs w:val="21"/>
                </w:rPr>
                <m:t>0w</m:t>
              </m:r>
            </m:sub>
          </m:sSub>
          <m:r>
            <m:rPr>
              <m:sty m:val="p"/>
            </m:rPr>
            <w:rPr>
              <w:rFonts w:ascii="Cambria Math" w:hAnsi="Cambria Math"/>
              <w:szCs w:val="21"/>
            </w:rPr>
            <m:t>∙</m:t>
          </m:r>
          <m:d>
            <m:dPr>
              <m:ctrlPr>
                <w:rPr>
                  <w:rFonts w:ascii="Cambria Math" w:hAnsi="Cambria Math"/>
                  <w:iCs/>
                  <w:szCs w:val="21"/>
                </w:rPr>
              </m:ctrlPr>
            </m:dPr>
            <m:e>
              <m:f>
                <m:fPr>
                  <m:ctrlPr>
                    <w:rPr>
                      <w:rFonts w:ascii="Cambria Math" w:hAnsi="Cambria Math"/>
                      <w:iCs/>
                      <w:szCs w:val="21"/>
                    </w:rPr>
                  </m:ctrlPr>
                </m:fPr>
                <m:num>
                  <m:sSub>
                    <m:sSubPr>
                      <m:ctrlPr>
                        <w:rPr>
                          <w:rFonts w:ascii="Cambria Math" w:hAnsi="Cambria Math"/>
                          <w:iCs/>
                          <w:szCs w:val="21"/>
                        </w:rPr>
                      </m:ctrlPr>
                    </m:sSubPr>
                    <m:e>
                      <m:r>
                        <m:rPr>
                          <m:sty m:val="p"/>
                        </m:rPr>
                        <w:rPr>
                          <w:rFonts w:ascii="Cambria Math" w:hAnsi="Cambria Math"/>
                          <w:szCs w:val="21"/>
                        </w:rPr>
                        <m:t>RM</m:t>
                      </m:r>
                    </m:e>
                    <m:sub>
                      <m:r>
                        <m:rPr>
                          <m:sty m:val="p"/>
                        </m:rPr>
                        <w:rPr>
                          <w:rFonts w:ascii="Cambria Math" w:hAnsi="Cambria Math"/>
                          <w:szCs w:val="21"/>
                        </w:rPr>
                        <m:t>n</m:t>
                      </m:r>
                    </m:sub>
                  </m:sSub>
                </m:num>
                <m:den>
                  <m:sSub>
                    <m:sSubPr>
                      <m:ctrlPr>
                        <w:rPr>
                          <w:rFonts w:ascii="Cambria Math" w:hAnsi="Cambria Math"/>
                          <w:iCs/>
                          <w:szCs w:val="21"/>
                        </w:rPr>
                      </m:ctrlPr>
                    </m:sSubPr>
                    <m:e>
                      <m:r>
                        <m:rPr>
                          <m:sty m:val="p"/>
                        </m:rPr>
                        <w:rPr>
                          <w:rFonts w:ascii="Cambria Math" w:hAnsi="Cambria Math"/>
                          <w:szCs w:val="21"/>
                        </w:rPr>
                        <m:t>TM</m:t>
                      </m:r>
                    </m:e>
                    <m:sub>
                      <m:r>
                        <m:rPr>
                          <m:sty m:val="p"/>
                        </m:rPr>
                        <w:rPr>
                          <w:rFonts w:ascii="Cambria Math" w:hAnsi="Cambria Math"/>
                          <w:szCs w:val="21"/>
                        </w:rPr>
                        <m:t>w</m:t>
                      </m:r>
                    </m:sub>
                  </m:sSub>
                </m:den>
              </m:f>
            </m:e>
          </m:d>
        </m:oMath>
      </m:oMathPara>
    </w:p>
    <w:p w14:paraId="71EDC02E" w14:textId="7F1B8FA4" w:rsidR="002776F0" w:rsidRPr="00F3052F" w:rsidRDefault="002776F0" w:rsidP="002776F0">
      <w:pPr>
        <w:pStyle w:val="SingleTxtG"/>
        <w:ind w:left="3402"/>
        <w:rPr>
          <w:lang w:val="fr-SN"/>
        </w:rPr>
      </w:pPr>
      <w:r>
        <w:rPr>
          <w:lang w:val="fr-FR"/>
        </w:rPr>
        <w:t>O</w:t>
      </w:r>
      <w:r w:rsidRPr="00F3052F">
        <w:rPr>
          <w:lang w:val="fr-FR"/>
        </w:rPr>
        <w:t>ù</w:t>
      </w:r>
      <w:r>
        <w:rPr>
          <w:lang w:val="fr-FR"/>
        </w:rPr>
        <w:t> </w:t>
      </w:r>
      <w:r w:rsidRPr="00F3052F">
        <w:rPr>
          <w:lang w:val="fr-FR"/>
        </w:rPr>
        <w:t>:</w:t>
      </w:r>
    </w:p>
    <w:p w14:paraId="48F2982D" w14:textId="77777777" w:rsidR="002776F0" w:rsidRPr="00F3052F" w:rsidRDefault="002776F0" w:rsidP="002776F0">
      <w:pPr>
        <w:pStyle w:val="SingleTxtG"/>
        <w:ind w:left="3402"/>
        <w:rPr>
          <w:lang w:val="fr-SN"/>
        </w:rPr>
      </w:pPr>
      <w:proofErr w:type="spellStart"/>
      <w:r w:rsidRPr="00F3052F">
        <w:rPr>
          <w:lang w:val="fr-FR"/>
        </w:rPr>
        <w:t>RM</w:t>
      </w:r>
      <w:r w:rsidRPr="00F3052F">
        <w:rPr>
          <w:vertAlign w:val="subscript"/>
          <w:lang w:val="fr-FR"/>
        </w:rPr>
        <w:t>n</w:t>
      </w:r>
      <w:proofErr w:type="spellEnd"/>
      <w:r w:rsidRPr="00F3052F">
        <w:rPr>
          <w:lang w:val="fr-FR"/>
        </w:rPr>
        <w:t xml:space="preserve"> est la masse de référence du véhicule telle que définie dans le présent Règlement ;</w:t>
      </w:r>
    </w:p>
    <w:p w14:paraId="1DC4CCBE" w14:textId="5F628E6C" w:rsidR="002776F0" w:rsidRPr="00F3052F" w:rsidRDefault="002776F0" w:rsidP="002776F0">
      <w:pPr>
        <w:pStyle w:val="SingleTxtG"/>
        <w:ind w:left="3402"/>
        <w:rPr>
          <w:lang w:val="fr-SN"/>
        </w:rPr>
      </w:pPr>
      <w:r w:rsidRPr="00F3052F">
        <w:rPr>
          <w:lang w:val="fr-FR"/>
        </w:rPr>
        <w:t>F</w:t>
      </w:r>
      <w:r w:rsidRPr="00F3052F">
        <w:rPr>
          <w:vertAlign w:val="subscript"/>
          <w:lang w:val="fr-FR"/>
        </w:rPr>
        <w:t>0w</w:t>
      </w:r>
      <w:r w:rsidRPr="00F3052F">
        <w:rPr>
          <w:lang w:val="fr-FR"/>
        </w:rPr>
        <w:t xml:space="preserve"> est le coefficient de résistance à l</w:t>
      </w:r>
      <w:r>
        <w:rPr>
          <w:lang w:val="fr-FR"/>
        </w:rPr>
        <w:t>’</w:t>
      </w:r>
      <w:r w:rsidRPr="00F3052F">
        <w:rPr>
          <w:lang w:val="fr-FR"/>
        </w:rPr>
        <w:t>avancement F</w:t>
      </w:r>
      <w:r w:rsidRPr="00F3052F">
        <w:rPr>
          <w:vertAlign w:val="subscript"/>
          <w:lang w:val="fr-FR"/>
        </w:rPr>
        <w:t xml:space="preserve">0 </w:t>
      </w:r>
      <w:r w:rsidRPr="00F3052F">
        <w:rPr>
          <w:lang w:val="fr-FR"/>
        </w:rPr>
        <w:t>déterminé aux fins de l</w:t>
      </w:r>
      <w:r>
        <w:rPr>
          <w:lang w:val="fr-FR"/>
        </w:rPr>
        <w:t>’</w:t>
      </w:r>
      <w:r w:rsidRPr="00F3052F">
        <w:rPr>
          <w:lang w:val="fr-FR"/>
        </w:rPr>
        <w:t>essai WLTP du véhicule</w:t>
      </w:r>
      <w:r>
        <w:rPr>
          <w:lang w:val="fr-FR"/>
        </w:rPr>
        <w:t> </w:t>
      </w:r>
      <w:r w:rsidRPr="00F3052F">
        <w:rPr>
          <w:lang w:val="fr-FR"/>
        </w:rPr>
        <w:t>;</w:t>
      </w:r>
      <w:r w:rsidRPr="00624576">
        <w:rPr>
          <w:lang w:val="fr-FR"/>
        </w:rPr>
        <w:t xml:space="preserve"> </w:t>
      </w:r>
    </w:p>
    <w:p w14:paraId="21EF590F" w14:textId="77777777" w:rsidR="002776F0" w:rsidRPr="00F3052F" w:rsidRDefault="002776F0" w:rsidP="002776F0">
      <w:pPr>
        <w:pStyle w:val="SingleTxtG"/>
        <w:ind w:left="3402"/>
        <w:rPr>
          <w:lang w:val="fr-SN"/>
        </w:rPr>
      </w:pPr>
      <w:proofErr w:type="spellStart"/>
      <w:r w:rsidRPr="00F3052F">
        <w:rPr>
          <w:lang w:val="fr-FR"/>
        </w:rPr>
        <w:t>TM</w:t>
      </w:r>
      <w:r w:rsidRPr="00F3052F">
        <w:rPr>
          <w:vertAlign w:val="subscript"/>
          <w:lang w:val="fr-FR"/>
        </w:rPr>
        <w:t>w</w:t>
      </w:r>
      <w:proofErr w:type="spellEnd"/>
      <w:r w:rsidRPr="00F3052F">
        <w:rPr>
          <w:lang w:val="fr-FR"/>
        </w:rPr>
        <w:t xml:space="preserve"> est la masse d</w:t>
      </w:r>
      <w:r>
        <w:rPr>
          <w:lang w:val="fr-FR"/>
        </w:rPr>
        <w:t>’</w:t>
      </w:r>
      <w:r w:rsidRPr="00F3052F">
        <w:rPr>
          <w:lang w:val="fr-FR"/>
        </w:rPr>
        <w:t>essai utilisée pour l</w:t>
      </w:r>
      <w:r>
        <w:rPr>
          <w:lang w:val="fr-FR"/>
        </w:rPr>
        <w:t>’</w:t>
      </w:r>
      <w:r w:rsidRPr="00F3052F">
        <w:rPr>
          <w:lang w:val="fr-FR"/>
        </w:rPr>
        <w:t>essai WLTP du véhicule pourvu de son équipement de série ;</w:t>
      </w:r>
    </w:p>
    <w:p w14:paraId="76386B96" w14:textId="77777777" w:rsidR="002776F0" w:rsidRPr="00F3052F" w:rsidRDefault="002776F0" w:rsidP="002776F0">
      <w:pPr>
        <w:pStyle w:val="SingleTxtG"/>
        <w:keepNext/>
        <w:ind w:left="3402" w:hanging="567"/>
        <w:rPr>
          <w:lang w:val="fr-SN"/>
        </w:rPr>
      </w:pPr>
      <w:r w:rsidRPr="00F3052F">
        <w:rPr>
          <w:lang w:val="fr-FR"/>
        </w:rPr>
        <w:t>ii)</w:t>
      </w:r>
      <w:r w:rsidRPr="00624576">
        <w:rPr>
          <w:lang w:val="fr-FR"/>
        </w:rPr>
        <w:tab/>
      </w:r>
      <w:r w:rsidRPr="00F3052F">
        <w:rPr>
          <w:lang w:val="fr-FR"/>
        </w:rPr>
        <w:t>Effet de la différence de pression des pneumatiques :</w:t>
      </w:r>
    </w:p>
    <w:p w14:paraId="6D846335" w14:textId="77777777" w:rsidR="002776F0" w:rsidRPr="00F3052F" w:rsidRDefault="002776F0" w:rsidP="002776F0">
      <w:pPr>
        <w:pStyle w:val="SingleTxtG"/>
        <w:ind w:left="3402"/>
        <w:rPr>
          <w:iCs/>
          <w:szCs w:val="21"/>
        </w:rPr>
      </w:pPr>
      <m:oMathPara>
        <m:oMathParaPr>
          <m:jc m:val="left"/>
        </m:oMathParaPr>
        <m:oMath>
          <m:sSubSup>
            <m:sSubSupPr>
              <m:ctrlPr>
                <w:rPr>
                  <w:rFonts w:ascii="Cambria Math" w:hAnsi="Cambria Math"/>
                  <w:iCs/>
                  <w:szCs w:val="21"/>
                </w:rPr>
              </m:ctrlPr>
            </m:sSubSupPr>
            <m:e>
              <m:r>
                <m:rPr>
                  <m:sty m:val="p"/>
                </m:rPr>
                <w:rPr>
                  <w:rFonts w:ascii="Cambria Math" w:hAnsi="Cambria Math"/>
                  <w:szCs w:val="21"/>
                </w:rPr>
                <m:t>F</m:t>
              </m:r>
            </m:e>
            <m:sub>
              <m:r>
                <m:rPr>
                  <m:sty m:val="p"/>
                </m:rPr>
                <w:rPr>
                  <w:rFonts w:ascii="Cambria Math" w:hAnsi="Cambria Math"/>
                  <w:szCs w:val="21"/>
                </w:rPr>
                <m:t>0n</m:t>
              </m:r>
            </m:sub>
            <m:sup>
              <m:r>
                <m:rPr>
                  <m:sty m:val="p"/>
                </m:rPr>
                <w:rPr>
                  <w:rFonts w:ascii="Cambria Math" w:hAnsi="Cambria Math"/>
                  <w:szCs w:val="21"/>
                </w:rPr>
                <m:t>2</m:t>
              </m:r>
            </m:sup>
          </m:sSubSup>
          <m:r>
            <m:rPr>
              <m:sty m:val="p"/>
            </m:rPr>
            <w:rPr>
              <w:rFonts w:ascii="Cambria Math" w:hAnsi="Cambria Math"/>
              <w:szCs w:val="21"/>
            </w:rPr>
            <m:t>=</m:t>
          </m:r>
          <m:sSubSup>
            <m:sSubSupPr>
              <m:ctrlPr>
                <w:rPr>
                  <w:rFonts w:ascii="Cambria Math" w:hAnsi="Cambria Math"/>
                  <w:iCs/>
                  <w:szCs w:val="21"/>
                </w:rPr>
              </m:ctrlPr>
            </m:sSubSupPr>
            <m:e>
              <m:r>
                <m:rPr>
                  <m:sty m:val="p"/>
                </m:rPr>
                <w:rPr>
                  <w:rFonts w:ascii="Cambria Math" w:hAnsi="Cambria Math"/>
                  <w:szCs w:val="21"/>
                </w:rPr>
                <m:t>F</m:t>
              </m:r>
            </m:e>
            <m:sub>
              <m:r>
                <m:rPr>
                  <m:sty m:val="p"/>
                </m:rPr>
                <w:rPr>
                  <w:rFonts w:ascii="Cambria Math" w:hAnsi="Cambria Math"/>
                  <w:szCs w:val="21"/>
                </w:rPr>
                <m:t>0n</m:t>
              </m:r>
            </m:sub>
            <m:sup>
              <m:r>
                <m:rPr>
                  <m:sty m:val="p"/>
                </m:rPr>
                <w:rPr>
                  <w:rFonts w:ascii="Cambria Math" w:hAnsi="Cambria Math"/>
                  <w:szCs w:val="21"/>
                </w:rPr>
                <m:t>1</m:t>
              </m:r>
            </m:sup>
          </m:sSubSup>
          <m:r>
            <m:rPr>
              <m:sty m:val="p"/>
            </m:rPr>
            <w:rPr>
              <w:rFonts w:ascii="Cambria Math" w:hAnsi="Cambria Math"/>
              <w:szCs w:val="21"/>
            </w:rPr>
            <m:t>∙TP</m:t>
          </m:r>
        </m:oMath>
      </m:oMathPara>
    </w:p>
    <w:p w14:paraId="0ADEE311" w14:textId="49DD1BFD" w:rsidR="002776F0" w:rsidRPr="00F3052F" w:rsidRDefault="002776F0" w:rsidP="002776F0">
      <w:pPr>
        <w:pStyle w:val="SingleTxtG"/>
        <w:ind w:left="3402"/>
        <w:rPr>
          <w:lang w:val="fr-SN"/>
        </w:rPr>
      </w:pPr>
      <w:r>
        <w:rPr>
          <w:lang w:val="fr-FR"/>
        </w:rPr>
        <w:t>O</w:t>
      </w:r>
      <w:r w:rsidRPr="00F3052F">
        <w:rPr>
          <w:lang w:val="fr-FR"/>
        </w:rPr>
        <w:t>ù TP est tel que défini au 2.2.1</w:t>
      </w:r>
      <w:r>
        <w:rPr>
          <w:lang w:val="fr-FR"/>
        </w:rPr>
        <w:t> ;</w:t>
      </w:r>
    </w:p>
    <w:p w14:paraId="23B9AB90" w14:textId="77777777" w:rsidR="002776F0" w:rsidRPr="00F3052F" w:rsidRDefault="002776F0" w:rsidP="002776F0">
      <w:pPr>
        <w:pStyle w:val="SingleTxtG"/>
        <w:keepNext/>
        <w:ind w:left="2835"/>
        <w:rPr>
          <w:lang w:val="fr-SN"/>
        </w:rPr>
      </w:pPr>
      <w:r w:rsidRPr="00F3052F">
        <w:rPr>
          <w:lang w:val="fr-FR"/>
        </w:rPr>
        <w:t>iii)</w:t>
      </w:r>
      <w:r w:rsidRPr="00624576">
        <w:rPr>
          <w:lang w:val="fr-FR"/>
        </w:rPr>
        <w:tab/>
      </w:r>
      <w:r w:rsidRPr="00F3052F">
        <w:rPr>
          <w:lang w:val="fr-FR"/>
        </w:rPr>
        <w:t>Effet de l</w:t>
      </w:r>
      <w:r>
        <w:rPr>
          <w:lang w:val="fr-FR"/>
        </w:rPr>
        <w:t>’</w:t>
      </w:r>
      <w:r w:rsidRPr="00F3052F">
        <w:rPr>
          <w:lang w:val="fr-FR"/>
        </w:rPr>
        <w:t>inertie des composants en rotation :</w:t>
      </w:r>
    </w:p>
    <w:p w14:paraId="24F7897B" w14:textId="77777777" w:rsidR="002776F0" w:rsidRPr="00F3052F" w:rsidRDefault="002776F0" w:rsidP="002776F0">
      <w:pPr>
        <w:pStyle w:val="SingleTxtG"/>
        <w:ind w:left="3402"/>
        <w:rPr>
          <w:iCs/>
          <w:szCs w:val="21"/>
        </w:rPr>
      </w:pPr>
      <m:oMathPara>
        <m:oMathParaPr>
          <m:jc m:val="left"/>
        </m:oMathParaPr>
        <m:oMath>
          <m:sSubSup>
            <m:sSubSupPr>
              <m:ctrlPr>
                <w:rPr>
                  <w:rFonts w:ascii="Cambria Math" w:hAnsi="Cambria Math"/>
                  <w:iCs/>
                  <w:szCs w:val="21"/>
                </w:rPr>
              </m:ctrlPr>
            </m:sSubSupPr>
            <m:e>
              <m:r>
                <m:rPr>
                  <m:sty m:val="p"/>
                </m:rPr>
                <w:rPr>
                  <w:rFonts w:ascii="Cambria Math" w:hAnsi="Cambria Math"/>
                  <w:szCs w:val="21"/>
                </w:rPr>
                <m:t>F</m:t>
              </m:r>
            </m:e>
            <m:sub>
              <m:r>
                <m:rPr>
                  <m:sty m:val="p"/>
                </m:rPr>
                <w:rPr>
                  <w:rFonts w:ascii="Cambria Math" w:hAnsi="Cambria Math"/>
                  <w:szCs w:val="21"/>
                </w:rPr>
                <m:t>0n</m:t>
              </m:r>
            </m:sub>
            <m:sup>
              <m:r>
                <m:rPr>
                  <m:sty m:val="p"/>
                </m:rPr>
                <w:rPr>
                  <w:rFonts w:ascii="Cambria Math" w:hAnsi="Cambria Math"/>
                  <w:szCs w:val="21"/>
                </w:rPr>
                <m:t>3</m:t>
              </m:r>
            </m:sup>
          </m:sSubSup>
          <m:r>
            <m:rPr>
              <m:sty m:val="p"/>
            </m:rPr>
            <w:rPr>
              <w:rFonts w:ascii="Cambria Math" w:hAnsi="Cambria Math"/>
              <w:szCs w:val="21"/>
            </w:rPr>
            <m:t>=</m:t>
          </m:r>
          <m:sSubSup>
            <m:sSubSupPr>
              <m:ctrlPr>
                <w:rPr>
                  <w:rFonts w:ascii="Cambria Math" w:hAnsi="Cambria Math"/>
                  <w:iCs/>
                  <w:szCs w:val="21"/>
                </w:rPr>
              </m:ctrlPr>
            </m:sSubSupPr>
            <m:e>
              <m:r>
                <m:rPr>
                  <m:sty m:val="p"/>
                </m:rPr>
                <w:rPr>
                  <w:rFonts w:ascii="Cambria Math" w:hAnsi="Cambria Math"/>
                  <w:szCs w:val="21"/>
                </w:rPr>
                <m:t>F</m:t>
              </m:r>
            </m:e>
            <m:sub>
              <m:r>
                <m:rPr>
                  <m:sty m:val="p"/>
                </m:rPr>
                <w:rPr>
                  <w:rFonts w:ascii="Cambria Math" w:hAnsi="Cambria Math"/>
                  <w:szCs w:val="21"/>
                </w:rPr>
                <m:t>0n</m:t>
              </m:r>
            </m:sub>
            <m:sup>
              <m:r>
                <m:rPr>
                  <m:sty m:val="p"/>
                </m:rPr>
                <w:rPr>
                  <w:rFonts w:ascii="Cambria Math" w:hAnsi="Cambria Math"/>
                  <w:szCs w:val="21"/>
                </w:rPr>
                <m:t>2</m:t>
              </m:r>
            </m:sup>
          </m:sSubSup>
          <m:r>
            <m:rPr>
              <m:sty m:val="p"/>
            </m:rPr>
            <w:rPr>
              <w:rFonts w:ascii="Cambria Math" w:hAnsi="Cambria Math"/>
              <w:szCs w:val="21"/>
            </w:rPr>
            <m:t>∙</m:t>
          </m:r>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1</m:t>
                  </m:r>
                </m:num>
                <m:den>
                  <m:r>
                    <m:rPr>
                      <m:sty m:val="p"/>
                    </m:rPr>
                    <w:rPr>
                      <w:rFonts w:ascii="Cambria Math" w:hAnsi="Cambria Math"/>
                      <w:szCs w:val="21"/>
                    </w:rPr>
                    <m:t>1,03</m:t>
                  </m:r>
                </m:den>
              </m:f>
            </m:e>
          </m:d>
        </m:oMath>
      </m:oMathPara>
    </w:p>
    <w:p w14:paraId="4762092D" w14:textId="77777777" w:rsidR="002776F0" w:rsidRPr="00F3052F" w:rsidRDefault="002776F0" w:rsidP="002776F0">
      <w:pPr>
        <w:pStyle w:val="SingleTxtG"/>
        <w:keepNext/>
        <w:ind w:left="3402" w:hanging="567"/>
        <w:rPr>
          <w:lang w:val="fr-SN"/>
        </w:rPr>
      </w:pPr>
      <w:r w:rsidRPr="00F3052F">
        <w:rPr>
          <w:lang w:val="fr-FR"/>
        </w:rPr>
        <w:t>iv)</w:t>
      </w:r>
      <w:r w:rsidRPr="00624576">
        <w:rPr>
          <w:lang w:val="fr-FR"/>
        </w:rPr>
        <w:tab/>
      </w:r>
      <w:r w:rsidRPr="00F3052F">
        <w:rPr>
          <w:lang w:val="fr-FR"/>
        </w:rPr>
        <w:t>Effet de la différence de profondeur de sculpture des pneumatiques :</w:t>
      </w:r>
    </w:p>
    <w:p w14:paraId="1706E6DB" w14:textId="77777777" w:rsidR="002776F0" w:rsidRPr="00F3052F" w:rsidRDefault="002776F0" w:rsidP="002776F0">
      <w:pPr>
        <w:pStyle w:val="SingleTxtG"/>
        <w:ind w:left="3402"/>
        <w:rPr>
          <w:iCs/>
        </w:rPr>
      </w:pPr>
      <m:oMathPara>
        <m:oMathParaPr>
          <m:jc m:val="left"/>
        </m:oMathParaP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0n</m:t>
              </m:r>
            </m:sub>
          </m:sSub>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F</m:t>
              </m:r>
            </m:e>
            <m:sub>
              <m:r>
                <m:rPr>
                  <m:sty m:val="p"/>
                </m:rPr>
                <w:rPr>
                  <w:rFonts w:ascii="Cambria Math" w:hAnsi="Cambria Math"/>
                </w:rPr>
                <m:t>0n</m:t>
              </m:r>
            </m:sub>
            <m:sup>
              <m:r>
                <m:rPr>
                  <m:sty m:val="p"/>
                </m:rPr>
                <w:rPr>
                  <w:rFonts w:ascii="Cambria Math" w:hAnsi="Cambria Math"/>
                </w:rPr>
                <m:t>3</m:t>
              </m:r>
            </m:sup>
          </m:sSubSup>
          <m:r>
            <m:rPr>
              <m:sty m:val="p"/>
            </m:rPr>
            <w:rPr>
              <w:rFonts w:ascii="Cambria Math" w:hAnsi="Cambria Math"/>
            </w:rPr>
            <m:t>-TTD</m:t>
          </m:r>
        </m:oMath>
      </m:oMathPara>
    </w:p>
    <w:p w14:paraId="7ED31B6C" w14:textId="430DADF8" w:rsidR="002776F0" w:rsidRPr="00F3052F" w:rsidRDefault="002776F0" w:rsidP="002776F0">
      <w:pPr>
        <w:pStyle w:val="SingleTxtG"/>
        <w:ind w:left="3402"/>
        <w:rPr>
          <w:lang w:val="fr-SN"/>
        </w:rPr>
      </w:pPr>
      <w:r>
        <w:rPr>
          <w:lang w:val="fr-FR"/>
        </w:rPr>
        <w:lastRenderedPageBreak/>
        <w:t>O</w:t>
      </w:r>
      <w:r w:rsidRPr="00F3052F">
        <w:rPr>
          <w:lang w:val="fr-FR"/>
        </w:rPr>
        <w:t>ù TTD est tel que défini au 2.2.2</w:t>
      </w:r>
      <w:r>
        <w:rPr>
          <w:lang w:val="fr-FR"/>
        </w:rPr>
        <w:t> ;</w:t>
      </w:r>
    </w:p>
    <w:p w14:paraId="03D00376" w14:textId="77777777" w:rsidR="002776F0" w:rsidRPr="00F3052F" w:rsidRDefault="002776F0" w:rsidP="002776F0">
      <w:pPr>
        <w:pStyle w:val="SingleTxtG"/>
        <w:keepNext/>
        <w:ind w:left="2835" w:hanging="567"/>
        <w:rPr>
          <w:szCs w:val="21"/>
          <w:lang w:val="fr-SN"/>
        </w:rPr>
      </w:pPr>
      <w:r w:rsidRPr="00F3052F">
        <w:rPr>
          <w:lang w:val="fr-FR"/>
        </w:rPr>
        <w:t>b)</w:t>
      </w:r>
      <w:r w:rsidRPr="00624576">
        <w:rPr>
          <w:lang w:val="fr-FR"/>
        </w:rPr>
        <w:tab/>
      </w:r>
      <w:r w:rsidRPr="00F3052F">
        <w:rPr>
          <w:lang w:val="fr-FR"/>
        </w:rPr>
        <w:t>Le coefficient de résistance à l</w:t>
      </w:r>
      <w:r>
        <w:rPr>
          <w:lang w:val="fr-FR"/>
        </w:rPr>
        <w:t>’</w:t>
      </w:r>
      <w:r w:rsidRPr="00F3052F">
        <w:rPr>
          <w:lang w:val="fr-FR"/>
        </w:rPr>
        <w:t>avancement F</w:t>
      </w:r>
      <w:r w:rsidRPr="00F3052F">
        <w:rPr>
          <w:vertAlign w:val="subscript"/>
          <w:lang w:val="fr-FR"/>
        </w:rPr>
        <w:t>1n</w:t>
      </w:r>
      <w:r w:rsidRPr="00F3052F">
        <w:rPr>
          <w:lang w:val="fr-FR"/>
        </w:rPr>
        <w:t xml:space="preserve"> du véhicule est calculé comme suit :</w:t>
      </w:r>
      <w:r w:rsidRPr="00624576">
        <w:rPr>
          <w:lang w:val="fr-FR"/>
        </w:rPr>
        <w:t xml:space="preserve"> </w:t>
      </w:r>
    </w:p>
    <w:p w14:paraId="5E2177D8" w14:textId="77777777" w:rsidR="002776F0" w:rsidRPr="00F3052F" w:rsidRDefault="002776F0" w:rsidP="002776F0">
      <w:pPr>
        <w:pStyle w:val="SingleTxtG"/>
        <w:keepNext/>
        <w:ind w:left="2835" w:hanging="567"/>
        <w:rPr>
          <w:iCs/>
          <w:szCs w:val="21"/>
        </w:rPr>
      </w:pPr>
      <m:oMathPara>
        <m:oMathParaPr>
          <m:jc m:val="left"/>
        </m:oMathParaPr>
        <m:oMath>
          <m:sSub>
            <m:sSubPr>
              <m:ctrlPr>
                <w:rPr>
                  <w:rFonts w:ascii="Cambria Math" w:hAnsi="Cambria Math"/>
                  <w:iCs/>
                  <w:szCs w:val="21"/>
                </w:rPr>
              </m:ctrlPr>
            </m:sSubPr>
            <m:e>
              <m:r>
                <m:rPr>
                  <m:sty m:val="p"/>
                </m:rPr>
                <w:rPr>
                  <w:rFonts w:ascii="Cambria Math" w:hAnsi="Cambria Math"/>
                  <w:szCs w:val="21"/>
                </w:rPr>
                <m:t>F</m:t>
              </m:r>
            </m:e>
            <m:sub>
              <m:r>
                <m:rPr>
                  <m:sty m:val="p"/>
                </m:rPr>
                <w:rPr>
                  <w:rFonts w:ascii="Cambria Math" w:hAnsi="Cambria Math"/>
                  <w:szCs w:val="21"/>
                </w:rPr>
                <m:t>1n</m:t>
              </m:r>
            </m:sub>
          </m:sSub>
          <m:r>
            <m:rPr>
              <m:sty m:val="p"/>
            </m:rPr>
            <w:rPr>
              <w:rFonts w:ascii="Cambria Math" w:hAnsi="Cambria Math"/>
              <w:szCs w:val="21"/>
            </w:rPr>
            <m:t>=</m:t>
          </m:r>
          <m:sSub>
            <m:sSubPr>
              <m:ctrlPr>
                <w:rPr>
                  <w:rFonts w:ascii="Cambria Math" w:hAnsi="Cambria Math"/>
                  <w:iCs/>
                  <w:szCs w:val="21"/>
                </w:rPr>
              </m:ctrlPr>
            </m:sSubPr>
            <m:e>
              <m:r>
                <m:rPr>
                  <m:sty m:val="p"/>
                </m:rPr>
                <w:rPr>
                  <w:rFonts w:ascii="Cambria Math" w:hAnsi="Cambria Math"/>
                  <w:szCs w:val="21"/>
                </w:rPr>
                <m:t>F</m:t>
              </m:r>
            </m:e>
            <m:sub>
              <m:r>
                <m:rPr>
                  <m:sty m:val="p"/>
                </m:rPr>
                <w:rPr>
                  <w:rFonts w:ascii="Cambria Math" w:hAnsi="Cambria Math"/>
                  <w:szCs w:val="21"/>
                </w:rPr>
                <m:t>1w</m:t>
              </m:r>
            </m:sub>
          </m:sSub>
          <m:r>
            <m:rPr>
              <m:sty m:val="p"/>
            </m:rPr>
            <w:rPr>
              <w:rFonts w:ascii="Cambria Math" w:hAnsi="Cambria Math"/>
              <w:szCs w:val="21"/>
            </w:rPr>
            <m:t>∙</m:t>
          </m:r>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1</m:t>
                  </m:r>
                </m:num>
                <m:den>
                  <m:r>
                    <m:rPr>
                      <m:sty m:val="p"/>
                    </m:rPr>
                    <w:rPr>
                      <w:rFonts w:ascii="Cambria Math" w:hAnsi="Cambria Math"/>
                      <w:szCs w:val="21"/>
                    </w:rPr>
                    <m:t>1,03</m:t>
                  </m:r>
                </m:den>
              </m:f>
            </m:e>
          </m:d>
        </m:oMath>
      </m:oMathPara>
    </w:p>
    <w:p w14:paraId="44FF793A" w14:textId="77777777" w:rsidR="002776F0" w:rsidRPr="00F3052F" w:rsidRDefault="002776F0" w:rsidP="002776F0">
      <w:pPr>
        <w:pStyle w:val="SingleTxtG"/>
        <w:keepNext/>
        <w:ind w:left="2835" w:hanging="567"/>
        <w:rPr>
          <w:lang w:val="fr-SN"/>
        </w:rPr>
      </w:pPr>
      <w:r w:rsidRPr="00F3052F">
        <w:rPr>
          <w:lang w:val="fr-FR"/>
        </w:rPr>
        <w:t>c)</w:t>
      </w:r>
      <w:r w:rsidRPr="00624576">
        <w:rPr>
          <w:lang w:val="fr-FR"/>
        </w:rPr>
        <w:tab/>
      </w:r>
      <w:r w:rsidRPr="00F3052F">
        <w:rPr>
          <w:lang w:val="fr-FR"/>
        </w:rPr>
        <w:t>Le coefficient de résistance à l</w:t>
      </w:r>
      <w:r>
        <w:rPr>
          <w:lang w:val="fr-FR"/>
        </w:rPr>
        <w:t>’</w:t>
      </w:r>
      <w:r w:rsidRPr="00F3052F">
        <w:rPr>
          <w:lang w:val="fr-FR"/>
        </w:rPr>
        <w:t>avancement F</w:t>
      </w:r>
      <w:r w:rsidRPr="00F3052F">
        <w:rPr>
          <w:vertAlign w:val="subscript"/>
          <w:lang w:val="fr-FR"/>
        </w:rPr>
        <w:t>2n</w:t>
      </w:r>
      <w:r w:rsidRPr="00F3052F">
        <w:rPr>
          <w:lang w:val="fr-FR"/>
        </w:rPr>
        <w:t xml:space="preserve"> du véhicule est calculé comme suit :</w:t>
      </w:r>
      <w:r w:rsidRPr="00624576">
        <w:rPr>
          <w:lang w:val="fr-FR"/>
        </w:rPr>
        <w:t xml:space="preserve"> </w:t>
      </w:r>
    </w:p>
    <w:p w14:paraId="17DA8528" w14:textId="77777777" w:rsidR="002776F0" w:rsidRPr="00F3052F" w:rsidRDefault="002776F0" w:rsidP="002776F0">
      <w:pPr>
        <w:pStyle w:val="SingleTxtG"/>
        <w:keepNext/>
        <w:ind w:left="2835" w:hanging="567"/>
        <w:rPr>
          <w:iCs/>
          <w:szCs w:val="21"/>
        </w:rPr>
      </w:pPr>
      <m:oMathPara>
        <m:oMathParaPr>
          <m:jc m:val="left"/>
        </m:oMathParaPr>
        <m:oMath>
          <m:sSub>
            <m:sSubPr>
              <m:ctrlPr>
                <w:rPr>
                  <w:rFonts w:ascii="Cambria Math" w:hAnsi="Cambria Math"/>
                  <w:iCs/>
                  <w:szCs w:val="21"/>
                </w:rPr>
              </m:ctrlPr>
            </m:sSubPr>
            <m:e>
              <m:r>
                <m:rPr>
                  <m:sty m:val="p"/>
                </m:rPr>
                <w:rPr>
                  <w:rFonts w:ascii="Cambria Math" w:hAnsi="Cambria Math"/>
                  <w:szCs w:val="21"/>
                </w:rPr>
                <m:t>F</m:t>
              </m:r>
            </m:e>
            <m:sub>
              <m:r>
                <m:rPr>
                  <m:sty m:val="p"/>
                </m:rPr>
                <w:rPr>
                  <w:rFonts w:ascii="Cambria Math" w:hAnsi="Cambria Math"/>
                  <w:szCs w:val="21"/>
                </w:rPr>
                <m:t>2n</m:t>
              </m:r>
            </m:sub>
          </m:sSub>
          <m:r>
            <m:rPr>
              <m:sty m:val="p"/>
            </m:rPr>
            <w:rPr>
              <w:rFonts w:ascii="Cambria Math" w:hAnsi="Cambria Math"/>
              <w:szCs w:val="21"/>
            </w:rPr>
            <m:t>=</m:t>
          </m:r>
          <m:sSub>
            <m:sSubPr>
              <m:ctrlPr>
                <w:rPr>
                  <w:rFonts w:ascii="Cambria Math" w:hAnsi="Cambria Math"/>
                  <w:iCs/>
                  <w:szCs w:val="21"/>
                </w:rPr>
              </m:ctrlPr>
            </m:sSubPr>
            <m:e>
              <m:r>
                <m:rPr>
                  <m:sty m:val="p"/>
                </m:rPr>
                <w:rPr>
                  <w:rFonts w:ascii="Cambria Math" w:hAnsi="Cambria Math"/>
                  <w:szCs w:val="21"/>
                </w:rPr>
                <m:t>F</m:t>
              </m:r>
            </m:e>
            <m:sub>
              <m:r>
                <m:rPr>
                  <m:sty m:val="p"/>
                </m:rPr>
                <w:rPr>
                  <w:rFonts w:ascii="Cambria Math" w:hAnsi="Cambria Math"/>
                  <w:szCs w:val="21"/>
                </w:rPr>
                <m:t>2w</m:t>
              </m:r>
            </m:sub>
          </m:sSub>
          <m:r>
            <m:rPr>
              <m:sty m:val="p"/>
            </m:rPr>
            <w:rPr>
              <w:rFonts w:ascii="Cambria Math" w:hAnsi="Cambria Math"/>
              <w:szCs w:val="21"/>
            </w:rPr>
            <m:t>∙</m:t>
          </m:r>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1</m:t>
                  </m:r>
                </m:num>
                <m:den>
                  <m:r>
                    <m:rPr>
                      <m:sty m:val="p"/>
                    </m:rPr>
                    <w:rPr>
                      <w:rFonts w:ascii="Cambria Math" w:hAnsi="Cambria Math"/>
                      <w:szCs w:val="21"/>
                    </w:rPr>
                    <m:t>1,03</m:t>
                  </m:r>
                </m:den>
              </m:f>
            </m:e>
          </m:d>
        </m:oMath>
      </m:oMathPara>
    </w:p>
    <w:p w14:paraId="35331644" w14:textId="3B90FF7F" w:rsidR="002776F0" w:rsidRPr="00F3052F" w:rsidRDefault="002776F0" w:rsidP="00AA0D45">
      <w:pPr>
        <w:pStyle w:val="SingleTxtG"/>
        <w:ind w:left="2835"/>
        <w:rPr>
          <w:szCs w:val="21"/>
          <w:lang w:val="fr-SN"/>
        </w:rPr>
      </w:pPr>
      <w:r>
        <w:rPr>
          <w:lang w:val="fr-FR"/>
        </w:rPr>
        <w:t>O</w:t>
      </w:r>
      <w:r w:rsidRPr="00F3052F">
        <w:rPr>
          <w:lang w:val="fr-FR"/>
        </w:rPr>
        <w:t>ù F</w:t>
      </w:r>
      <w:r w:rsidRPr="00F3052F">
        <w:rPr>
          <w:vertAlign w:val="subscript"/>
          <w:lang w:val="fr-FR"/>
        </w:rPr>
        <w:t>2w</w:t>
      </w:r>
      <w:r w:rsidRPr="00F3052F">
        <w:rPr>
          <w:lang w:val="fr-FR"/>
        </w:rPr>
        <w:t xml:space="preserve"> désigne le coefficient de résistance à l</w:t>
      </w:r>
      <w:r>
        <w:rPr>
          <w:lang w:val="fr-FR"/>
        </w:rPr>
        <w:t>’</w:t>
      </w:r>
      <w:r w:rsidRPr="00F3052F">
        <w:rPr>
          <w:lang w:val="fr-FR"/>
        </w:rPr>
        <w:t>avancement F</w:t>
      </w:r>
      <w:r w:rsidRPr="00F3052F">
        <w:rPr>
          <w:vertAlign w:val="subscript"/>
          <w:lang w:val="fr-FR"/>
        </w:rPr>
        <w:t>2</w:t>
      </w:r>
      <w:r w:rsidRPr="00F3052F">
        <w:rPr>
          <w:lang w:val="fr-FR"/>
        </w:rPr>
        <w:t xml:space="preserve"> de la procédure WLTP déterminé pour le véhicule pourvu de son équipement de série. </w:t>
      </w:r>
      <w:r w:rsidRPr="00624576">
        <w:rPr>
          <w:lang w:val="fr-FR"/>
        </w:rPr>
        <w:t>».</w:t>
      </w:r>
    </w:p>
    <w:p w14:paraId="03E9F42A" w14:textId="77777777" w:rsidR="002776F0" w:rsidRDefault="002776F0" w:rsidP="002776F0">
      <w:pPr>
        <w:pStyle w:val="SingleTxtG"/>
        <w:rPr>
          <w:lang w:val="fr-FR"/>
        </w:rPr>
      </w:pPr>
      <w:r>
        <w:rPr>
          <w:i/>
          <w:iCs/>
          <w:lang w:val="fr-FR"/>
        </w:rPr>
        <w:t>Supprimer l’annexe 4a.</w:t>
      </w:r>
    </w:p>
    <w:p w14:paraId="4148B158" w14:textId="77777777" w:rsidR="002776F0" w:rsidRDefault="002776F0" w:rsidP="002776F0">
      <w:pPr>
        <w:pStyle w:val="SingleTxtG"/>
        <w:rPr>
          <w:i/>
          <w:iCs/>
          <w:lang w:val="fr-FR"/>
        </w:rPr>
      </w:pPr>
      <w:r>
        <w:rPr>
          <w:i/>
          <w:iCs/>
          <w:lang w:val="fr-FR"/>
        </w:rPr>
        <w:t>Annexe 7</w:t>
      </w:r>
    </w:p>
    <w:p w14:paraId="1CC85EC1" w14:textId="77777777" w:rsidR="002776F0" w:rsidRDefault="002776F0" w:rsidP="002776F0">
      <w:pPr>
        <w:pStyle w:val="SingleTxtG"/>
        <w:rPr>
          <w:i/>
          <w:iCs/>
          <w:lang w:val="fr-FR"/>
        </w:rPr>
      </w:pPr>
      <w:r>
        <w:rPr>
          <w:i/>
          <w:iCs/>
          <w:lang w:val="fr-FR"/>
        </w:rPr>
        <w:t>Paragraphe 7.1, lire :</w:t>
      </w:r>
    </w:p>
    <w:p w14:paraId="4DE7C729" w14:textId="49CF7286" w:rsidR="002776F0" w:rsidRPr="00B77635" w:rsidRDefault="002776F0" w:rsidP="00AA0D45">
      <w:pPr>
        <w:pStyle w:val="SingleTxtG"/>
        <w:keepNext/>
        <w:ind w:left="2268" w:hanging="1134"/>
      </w:pPr>
      <w:r>
        <w:rPr>
          <w:lang w:val="fr-FR"/>
        </w:rPr>
        <w:t>« </w:t>
      </w:r>
      <w:r>
        <w:rPr>
          <w:lang w:val="fr-FR"/>
        </w:rPr>
        <w:t>7.1</w:t>
      </w:r>
      <w:r>
        <w:rPr>
          <w:lang w:val="fr-FR"/>
        </w:rPr>
        <w:tab/>
        <w:t>Pour les essais de routine en fin de chaîne de production, au lieu de réaliser l’essai du type 4 décrit dans la présente annexe C3, le titulaire de l’homologation peut démontrer la conformité en prélevant un échantillon de véhicules qui doivent satisfaire aux exigences ci-après.</w:t>
      </w:r>
      <w:r>
        <w:rPr>
          <w:lang w:val="fr-FR"/>
        </w:rPr>
        <w:t> »</w:t>
      </w:r>
      <w:r>
        <w:rPr>
          <w:lang w:val="fr-FR"/>
        </w:rPr>
        <w:t>.</w:t>
      </w:r>
    </w:p>
    <w:p w14:paraId="4FD060D0" w14:textId="77777777" w:rsidR="002776F0" w:rsidRPr="00B77635" w:rsidRDefault="002776F0" w:rsidP="002776F0">
      <w:pPr>
        <w:spacing w:after="120"/>
        <w:ind w:left="2268" w:right="1134" w:hanging="1134"/>
        <w:jc w:val="both"/>
      </w:pPr>
      <w:r>
        <w:rPr>
          <w:i/>
          <w:iCs/>
          <w:lang w:val="fr-FR"/>
        </w:rPr>
        <w:t>Ajouter les nouveaux paragraphes 7.1.1 et 7.1.2</w:t>
      </w:r>
      <w:r>
        <w:rPr>
          <w:lang w:val="fr-FR"/>
        </w:rPr>
        <w:t>, libellés comme suit :</w:t>
      </w:r>
    </w:p>
    <w:p w14:paraId="081EDB24" w14:textId="7339F033" w:rsidR="002776F0" w:rsidRPr="00B77635" w:rsidRDefault="002776F0" w:rsidP="00AA0D45">
      <w:pPr>
        <w:pStyle w:val="SingleTxtG"/>
        <w:keepNext/>
        <w:ind w:left="2268" w:hanging="1134"/>
      </w:pPr>
      <w:r>
        <w:rPr>
          <w:lang w:val="fr-FR"/>
        </w:rPr>
        <w:t>« </w:t>
      </w:r>
      <w:r>
        <w:rPr>
          <w:lang w:val="fr-FR"/>
        </w:rPr>
        <w:t>7.1.1</w:t>
      </w:r>
      <w:r>
        <w:rPr>
          <w:lang w:val="fr-FR"/>
        </w:rPr>
        <w:tab/>
        <w:t>Dans le cas des véhicules équipés d’un système de réservoir de carburant étanche, à la demande du constructeur et en accord avec l’autorité compétente, des procédures remplaçant celles prévues aux paragraphes 7.2 à 7.4 de la présente annexe peuvent être appliquées.</w:t>
      </w:r>
    </w:p>
    <w:p w14:paraId="22C9A3CF" w14:textId="5BA97A2C" w:rsidR="002776F0" w:rsidRPr="00B77635" w:rsidRDefault="002776F0" w:rsidP="00AA0D45">
      <w:pPr>
        <w:pStyle w:val="SingleTxtG"/>
        <w:keepNext/>
        <w:ind w:left="2268" w:hanging="1134"/>
      </w:pPr>
      <w:r>
        <w:rPr>
          <w:lang w:val="fr-FR"/>
        </w:rPr>
        <w:t>7.1.2</w:t>
      </w:r>
      <w:r>
        <w:rPr>
          <w:lang w:val="fr-FR"/>
        </w:rPr>
        <w:tab/>
        <w:t>Lorsque le constructeur choisit d’utiliser une autre procédure, tous les détails de la procédure d’essai de conformité doivent être consignés dans le dossier d’homologation de type.</w:t>
      </w:r>
      <w:r>
        <w:rPr>
          <w:lang w:val="fr-FR"/>
        </w:rPr>
        <w:t> »</w:t>
      </w:r>
      <w:r>
        <w:rPr>
          <w:lang w:val="fr-FR"/>
        </w:rPr>
        <w:t>.</w:t>
      </w:r>
    </w:p>
    <w:p w14:paraId="2C9E0ABA" w14:textId="74138591" w:rsidR="002776F0" w:rsidRPr="00B77635" w:rsidRDefault="002776F0" w:rsidP="002776F0">
      <w:pPr>
        <w:spacing w:after="120"/>
        <w:ind w:left="2268" w:right="1134" w:hanging="1134"/>
        <w:jc w:val="both"/>
      </w:pPr>
      <w:r>
        <w:rPr>
          <w:i/>
          <w:iCs/>
          <w:lang w:val="fr-FR"/>
        </w:rPr>
        <w:t>Paragraphe 7.2.2</w:t>
      </w:r>
      <w:r>
        <w:rPr>
          <w:lang w:val="fr-FR"/>
        </w:rPr>
        <w:t>, lire</w:t>
      </w:r>
      <w:r>
        <w:rPr>
          <w:lang w:val="fr-FR"/>
        </w:rPr>
        <w:t> </w:t>
      </w:r>
      <w:r>
        <w:rPr>
          <w:lang w:val="fr-FR"/>
        </w:rPr>
        <w:t>:</w:t>
      </w:r>
    </w:p>
    <w:p w14:paraId="460E42D5" w14:textId="0329003A" w:rsidR="002776F0" w:rsidRPr="00B77635" w:rsidRDefault="002776F0" w:rsidP="00AA0D45">
      <w:pPr>
        <w:pStyle w:val="SingleTxtG"/>
        <w:keepNext/>
        <w:ind w:left="2268" w:hanging="1134"/>
      </w:pPr>
      <w:r>
        <w:rPr>
          <w:lang w:val="fr-FR"/>
        </w:rPr>
        <w:t>« </w:t>
      </w:r>
      <w:r>
        <w:rPr>
          <w:lang w:val="fr-FR"/>
        </w:rPr>
        <w:t>7.2.2</w:t>
      </w:r>
      <w:r>
        <w:rPr>
          <w:lang w:val="fr-FR"/>
        </w:rPr>
        <w:tab/>
        <w:t xml:space="preserve">Une pression de 3,70 kPa </w:t>
      </w:r>
      <w:r w:rsidR="00AA0D45">
        <w:rPr>
          <w:lang w:val="fr-FR"/>
        </w:rPr>
        <w:sym w:font="Symbol" w:char="F0B1"/>
      </w:r>
      <w:r w:rsidR="00AA0D45">
        <w:rPr>
          <w:lang w:val="fr-FR"/>
        </w:rPr>
        <w:t xml:space="preserve"> </w:t>
      </w:r>
      <w:r>
        <w:rPr>
          <w:lang w:val="fr-FR"/>
        </w:rPr>
        <w:t>0,10 kPa doit être appliquée au système d’alimentation en carburant. À la demande du constructeur et avec l’accord de l’autorité compétente, une pression différente peut également être appliquée, compte tenu de la plage de pressions d’utilisation du système d’alimentation.</w:t>
      </w:r>
      <w:r w:rsidR="00AA0D45">
        <w:rPr>
          <w:lang w:val="fr-FR"/>
        </w:rPr>
        <w:t> »</w:t>
      </w:r>
      <w:r>
        <w:rPr>
          <w:lang w:val="fr-FR"/>
        </w:rPr>
        <w:t>.</w:t>
      </w:r>
    </w:p>
    <w:p w14:paraId="2C26C73D" w14:textId="5F23DE34" w:rsidR="002776F0" w:rsidRPr="00B77635" w:rsidRDefault="002776F0" w:rsidP="002776F0">
      <w:pPr>
        <w:spacing w:after="120"/>
        <w:ind w:left="2268" w:right="1134" w:hanging="1134"/>
        <w:jc w:val="both"/>
      </w:pPr>
      <w:r>
        <w:rPr>
          <w:i/>
          <w:iCs/>
          <w:lang w:val="fr-FR"/>
        </w:rPr>
        <w:t>Paragraphe 7.2.4</w:t>
      </w:r>
      <w:r>
        <w:rPr>
          <w:lang w:val="fr-FR"/>
        </w:rPr>
        <w:t>, lire</w:t>
      </w:r>
      <w:r w:rsidR="00AA0D45">
        <w:rPr>
          <w:lang w:val="fr-FR"/>
        </w:rPr>
        <w:t> </w:t>
      </w:r>
      <w:r>
        <w:rPr>
          <w:lang w:val="fr-FR"/>
        </w:rPr>
        <w:t>:</w:t>
      </w:r>
    </w:p>
    <w:p w14:paraId="66B62B2D" w14:textId="4E8CD63D" w:rsidR="002776F0" w:rsidRPr="00B77635" w:rsidRDefault="00AA0D45" w:rsidP="00AA0D45">
      <w:pPr>
        <w:pStyle w:val="SingleTxtG"/>
        <w:keepNext/>
        <w:ind w:left="2268" w:hanging="1134"/>
      </w:pPr>
      <w:r>
        <w:rPr>
          <w:lang w:val="fr-FR"/>
        </w:rPr>
        <w:t>« </w:t>
      </w:r>
      <w:r w:rsidR="002776F0">
        <w:rPr>
          <w:lang w:val="fr-FR"/>
        </w:rPr>
        <w:t>7.2.4</w:t>
      </w:r>
      <w:r w:rsidR="002776F0">
        <w:rPr>
          <w:lang w:val="fr-FR"/>
        </w:rPr>
        <w:tab/>
        <w:t>Après l’isolation du système d’alimentation en carburant, la pression ne doit pas baisser de plus de 0,50 kPa en 5 min.</w:t>
      </w:r>
      <w:r>
        <w:rPr>
          <w:lang w:val="fr-FR"/>
        </w:rPr>
        <w:t> »</w:t>
      </w:r>
      <w:r w:rsidR="002776F0">
        <w:rPr>
          <w:lang w:val="fr-FR"/>
        </w:rPr>
        <w:t>.</w:t>
      </w:r>
    </w:p>
    <w:p w14:paraId="75A34A24" w14:textId="06198022" w:rsidR="002776F0" w:rsidRPr="00B77635" w:rsidRDefault="002776F0" w:rsidP="002776F0">
      <w:pPr>
        <w:spacing w:after="120"/>
        <w:ind w:left="2268" w:right="1134" w:hanging="1134"/>
        <w:jc w:val="both"/>
      </w:pPr>
      <w:r>
        <w:rPr>
          <w:i/>
          <w:iCs/>
          <w:lang w:val="fr-FR"/>
        </w:rPr>
        <w:t>Ajouter le nouveau paragraphe 7.2.5</w:t>
      </w:r>
      <w:r>
        <w:rPr>
          <w:lang w:val="fr-FR"/>
        </w:rPr>
        <w:t>, libellé comme suit</w:t>
      </w:r>
      <w:r w:rsidR="00AA0D45">
        <w:rPr>
          <w:lang w:val="fr-FR"/>
        </w:rPr>
        <w:t> </w:t>
      </w:r>
      <w:r>
        <w:rPr>
          <w:lang w:val="fr-FR"/>
        </w:rPr>
        <w:t>:</w:t>
      </w:r>
    </w:p>
    <w:p w14:paraId="14603D65" w14:textId="137382F6" w:rsidR="002776F0" w:rsidRPr="00B77635" w:rsidRDefault="00AA0D45" w:rsidP="00AA0D45">
      <w:pPr>
        <w:pStyle w:val="SingleTxtG"/>
        <w:keepNext/>
        <w:ind w:left="2268" w:hanging="1134"/>
      </w:pPr>
      <w:r>
        <w:rPr>
          <w:lang w:val="fr-FR"/>
        </w:rPr>
        <w:t>« </w:t>
      </w:r>
      <w:r w:rsidR="002776F0">
        <w:rPr>
          <w:lang w:val="fr-FR"/>
        </w:rPr>
        <w:t>7.2.5</w:t>
      </w:r>
      <w:r w:rsidR="002776F0">
        <w:rPr>
          <w:lang w:val="fr-FR"/>
        </w:rPr>
        <w:tab/>
        <w:t>À la demande du constructeur et en accord avec l’autorité compétente, la fonction d’étanchéité peut être démontrée par une autre procédure équivalente.</w:t>
      </w:r>
      <w:r>
        <w:rPr>
          <w:lang w:val="fr-FR"/>
        </w:rPr>
        <w:t> »</w:t>
      </w:r>
      <w:r w:rsidR="002776F0">
        <w:rPr>
          <w:lang w:val="fr-FR"/>
        </w:rPr>
        <w:t xml:space="preserve">. </w:t>
      </w:r>
    </w:p>
    <w:p w14:paraId="4B1FF7F9" w14:textId="65DCE83D" w:rsidR="002776F0" w:rsidRPr="00B77635" w:rsidRDefault="002776F0" w:rsidP="002776F0">
      <w:pPr>
        <w:spacing w:after="120"/>
        <w:ind w:left="2268" w:right="1134" w:hanging="1134"/>
        <w:jc w:val="both"/>
      </w:pPr>
      <w:r>
        <w:rPr>
          <w:i/>
          <w:iCs/>
          <w:lang w:val="fr-FR"/>
        </w:rPr>
        <w:t>Paragraphe 7.3.2</w:t>
      </w:r>
      <w:r>
        <w:rPr>
          <w:lang w:val="fr-FR"/>
        </w:rPr>
        <w:t>, lire</w:t>
      </w:r>
      <w:r w:rsidR="00AA0D45">
        <w:rPr>
          <w:lang w:val="fr-FR"/>
        </w:rPr>
        <w:t> </w:t>
      </w:r>
      <w:r>
        <w:rPr>
          <w:lang w:val="fr-FR"/>
        </w:rPr>
        <w:t>:</w:t>
      </w:r>
    </w:p>
    <w:p w14:paraId="2478F2B6" w14:textId="72504D2C" w:rsidR="002776F0" w:rsidRPr="00B77635" w:rsidRDefault="00AA0D45" w:rsidP="00AA0D45">
      <w:pPr>
        <w:pStyle w:val="SingleTxtG"/>
        <w:keepNext/>
        <w:ind w:left="2268" w:hanging="1134"/>
      </w:pPr>
      <w:r>
        <w:rPr>
          <w:lang w:val="fr-FR"/>
        </w:rPr>
        <w:t>« </w:t>
      </w:r>
      <w:r w:rsidR="002776F0">
        <w:rPr>
          <w:lang w:val="fr-FR"/>
        </w:rPr>
        <w:t>7.3.2</w:t>
      </w:r>
      <w:r w:rsidR="002776F0">
        <w:rPr>
          <w:lang w:val="fr-FR"/>
        </w:rPr>
        <w:tab/>
        <w:t xml:space="preserve">Une pression de 3,70 kPa </w:t>
      </w:r>
      <w:r>
        <w:rPr>
          <w:lang w:val="fr-FR"/>
        </w:rPr>
        <w:sym w:font="Symbol" w:char="F0B1"/>
      </w:r>
      <w:r>
        <w:rPr>
          <w:lang w:val="fr-FR"/>
        </w:rPr>
        <w:t xml:space="preserve"> </w:t>
      </w:r>
      <w:r w:rsidR="002776F0">
        <w:rPr>
          <w:lang w:val="fr-FR"/>
        </w:rPr>
        <w:t>0,10 kPa doit être appliquée au système d’alimentation en carburant. À la demande du constructeur et avec l’accord de l’autorité compétente, une pression différente peut également être appliquée, compte tenu de la plage de pressions d’utilisation du système d’alimentation.</w:t>
      </w:r>
      <w:r>
        <w:rPr>
          <w:lang w:val="fr-FR"/>
        </w:rPr>
        <w:t> »</w:t>
      </w:r>
      <w:r w:rsidR="002776F0">
        <w:rPr>
          <w:lang w:val="fr-FR"/>
        </w:rPr>
        <w:t xml:space="preserve">. </w:t>
      </w:r>
    </w:p>
    <w:p w14:paraId="4F03EF22" w14:textId="53E48FFF" w:rsidR="002776F0" w:rsidRPr="00B77635" w:rsidRDefault="002776F0" w:rsidP="00AA0D45">
      <w:pPr>
        <w:keepNext/>
        <w:spacing w:after="120"/>
        <w:ind w:left="1134" w:right="1134"/>
        <w:jc w:val="both"/>
      </w:pPr>
      <w:r>
        <w:rPr>
          <w:i/>
          <w:iCs/>
          <w:lang w:val="fr-FR"/>
        </w:rPr>
        <w:t>Paragraphe 7.3.5</w:t>
      </w:r>
      <w:r>
        <w:rPr>
          <w:lang w:val="fr-FR"/>
        </w:rPr>
        <w:t>, lire</w:t>
      </w:r>
      <w:r w:rsidR="00AA0D45">
        <w:rPr>
          <w:lang w:val="fr-FR"/>
        </w:rPr>
        <w:t> </w:t>
      </w:r>
      <w:r>
        <w:rPr>
          <w:lang w:val="fr-FR"/>
        </w:rPr>
        <w:t>:</w:t>
      </w:r>
    </w:p>
    <w:p w14:paraId="64F9BBF9" w14:textId="7DCF1703" w:rsidR="002776F0" w:rsidRPr="00B77635" w:rsidRDefault="00AA0D45" w:rsidP="00AA0D45">
      <w:pPr>
        <w:pStyle w:val="SingleTxtG"/>
        <w:keepNext/>
        <w:ind w:left="2268" w:hanging="1134"/>
        <w:rPr>
          <w:i/>
          <w:iCs/>
        </w:rPr>
      </w:pPr>
      <w:r>
        <w:rPr>
          <w:lang w:val="fr-FR"/>
        </w:rPr>
        <w:t>« </w:t>
      </w:r>
      <w:r w:rsidR="002776F0">
        <w:rPr>
          <w:lang w:val="fr-FR"/>
        </w:rPr>
        <w:t>7.3.5</w:t>
      </w:r>
      <w:r w:rsidR="002776F0">
        <w:rPr>
          <w:lang w:val="fr-FR"/>
        </w:rPr>
        <w:tab/>
        <w:t>La pression du système d’alimentation en carburant doit descendre à une pression inférieure à 2,5 kPa au-dessus de la pression ambiante en 1 min.</w:t>
      </w:r>
      <w:r>
        <w:rPr>
          <w:lang w:val="fr-FR"/>
        </w:rPr>
        <w:t> »</w:t>
      </w:r>
      <w:r w:rsidR="002776F0">
        <w:rPr>
          <w:lang w:val="fr-FR"/>
        </w:rPr>
        <w:t>.</w:t>
      </w:r>
    </w:p>
    <w:p w14:paraId="5BAD2A61" w14:textId="41FA2C7E" w:rsidR="002776F0" w:rsidRPr="00B77635" w:rsidRDefault="002776F0" w:rsidP="002776F0">
      <w:pPr>
        <w:spacing w:after="120"/>
        <w:ind w:left="1134" w:right="1134"/>
        <w:jc w:val="both"/>
      </w:pPr>
      <w:r>
        <w:rPr>
          <w:i/>
          <w:iCs/>
          <w:lang w:val="fr-FR"/>
        </w:rPr>
        <w:lastRenderedPageBreak/>
        <w:t>Paragraphe 7.3.6</w:t>
      </w:r>
      <w:r>
        <w:rPr>
          <w:lang w:val="fr-FR"/>
        </w:rPr>
        <w:t>, lire</w:t>
      </w:r>
      <w:r w:rsidR="00AA0D45">
        <w:rPr>
          <w:lang w:val="fr-FR"/>
        </w:rPr>
        <w:t> </w:t>
      </w:r>
      <w:r>
        <w:rPr>
          <w:lang w:val="fr-FR"/>
        </w:rPr>
        <w:t>:</w:t>
      </w:r>
    </w:p>
    <w:p w14:paraId="1D3FACCC" w14:textId="2201EE7C" w:rsidR="002776F0" w:rsidRPr="00B77635" w:rsidRDefault="00AA0D45" w:rsidP="00AA0D45">
      <w:pPr>
        <w:pStyle w:val="SingleTxtG"/>
        <w:keepNext/>
        <w:ind w:left="2268" w:hanging="1134"/>
      </w:pPr>
      <w:r>
        <w:rPr>
          <w:lang w:val="fr-FR"/>
        </w:rPr>
        <w:t>« </w:t>
      </w:r>
      <w:r w:rsidR="002776F0">
        <w:rPr>
          <w:lang w:val="fr-FR"/>
        </w:rPr>
        <w:t>7.3.6</w:t>
      </w:r>
      <w:r w:rsidR="002776F0">
        <w:rPr>
          <w:lang w:val="fr-FR"/>
        </w:rPr>
        <w:tab/>
        <w:t>À la demande du constructeur et en accord avec l’autorité compétente, il est possible d’utiliser une procédure équivalente pour démontrer la capacité fonctionnelle des mises à l’air libre.</w:t>
      </w:r>
      <w:r>
        <w:rPr>
          <w:lang w:val="fr-FR"/>
        </w:rPr>
        <w:t> »</w:t>
      </w:r>
      <w:r w:rsidR="002776F0">
        <w:rPr>
          <w:lang w:val="fr-FR"/>
        </w:rPr>
        <w:t>.</w:t>
      </w:r>
    </w:p>
    <w:p w14:paraId="2ED4D49E" w14:textId="4C7EEB51" w:rsidR="002776F0" w:rsidRPr="00B77635" w:rsidRDefault="002776F0" w:rsidP="002776F0">
      <w:pPr>
        <w:spacing w:after="120"/>
        <w:ind w:left="1134" w:right="1134"/>
        <w:jc w:val="both"/>
      </w:pPr>
      <w:r>
        <w:rPr>
          <w:i/>
          <w:iCs/>
          <w:lang w:val="fr-FR"/>
        </w:rPr>
        <w:t>Paragraphe 7.4.4.3</w:t>
      </w:r>
      <w:r>
        <w:rPr>
          <w:lang w:val="fr-FR"/>
        </w:rPr>
        <w:t>, lire</w:t>
      </w:r>
      <w:r w:rsidR="00AA0D45">
        <w:rPr>
          <w:lang w:val="fr-FR"/>
        </w:rPr>
        <w:t> </w:t>
      </w:r>
      <w:r>
        <w:rPr>
          <w:lang w:val="fr-FR"/>
        </w:rPr>
        <w:t>:</w:t>
      </w:r>
    </w:p>
    <w:p w14:paraId="35ED8851" w14:textId="2D8B69D9" w:rsidR="002776F0" w:rsidRPr="00B77635" w:rsidRDefault="00AA0D45" w:rsidP="00AA0D45">
      <w:pPr>
        <w:pStyle w:val="SingleTxtG"/>
        <w:keepNext/>
        <w:ind w:left="2268" w:hanging="1134"/>
      </w:pPr>
      <w:r>
        <w:rPr>
          <w:lang w:val="fr-FR"/>
        </w:rPr>
        <w:t>« </w:t>
      </w:r>
      <w:r w:rsidR="002776F0">
        <w:rPr>
          <w:lang w:val="fr-FR"/>
        </w:rPr>
        <w:t>7.4.4.3</w:t>
      </w:r>
      <w:r w:rsidR="002776F0">
        <w:rPr>
          <w:lang w:val="fr-FR"/>
        </w:rPr>
        <w:tab/>
        <w:t>À la demande du constructeur et en accord avec l’autorité compétente, il est possible d’utiliser une autre procédure pour l’essai de purge.</w:t>
      </w:r>
      <w:r>
        <w:rPr>
          <w:lang w:val="fr-FR"/>
        </w:rPr>
        <w:t> »</w:t>
      </w:r>
      <w:r w:rsidR="002776F0">
        <w:rPr>
          <w:lang w:val="fr-FR"/>
        </w:rPr>
        <w:t>.</w:t>
      </w:r>
    </w:p>
    <w:p w14:paraId="749359DF" w14:textId="77777777" w:rsidR="002776F0" w:rsidRDefault="002776F0" w:rsidP="002776F0">
      <w:pPr>
        <w:spacing w:after="120"/>
        <w:ind w:left="1134" w:right="1134"/>
        <w:jc w:val="both"/>
      </w:pPr>
      <w:r>
        <w:rPr>
          <w:i/>
          <w:iCs/>
          <w:lang w:val="fr-FR"/>
        </w:rPr>
        <w:t>Supprimer les paragraphes 7.5, 7.5.1, 7.5.2</w:t>
      </w:r>
      <w:r>
        <w:rPr>
          <w:lang w:val="fr-FR"/>
        </w:rPr>
        <w:t xml:space="preserve"> </w:t>
      </w:r>
      <w:r>
        <w:rPr>
          <w:i/>
          <w:iCs/>
          <w:lang w:val="fr-FR"/>
        </w:rPr>
        <w:t>et 7.6.</w:t>
      </w:r>
    </w:p>
    <w:p w14:paraId="173F6409" w14:textId="77777777" w:rsidR="002776F0" w:rsidRPr="00CB157F" w:rsidRDefault="002776F0" w:rsidP="002776F0">
      <w:pPr>
        <w:pStyle w:val="SingleTxtG"/>
        <w:spacing w:before="240" w:after="0"/>
        <w:jc w:val="center"/>
        <w:rPr>
          <w:u w:val="single"/>
          <w:lang w:val="fr-SN"/>
        </w:rPr>
      </w:pPr>
      <w:r>
        <w:rPr>
          <w:u w:val="single"/>
          <w:lang w:val="fr-SN"/>
        </w:rPr>
        <w:tab/>
      </w:r>
      <w:r>
        <w:rPr>
          <w:u w:val="single"/>
          <w:lang w:val="fr-SN"/>
        </w:rPr>
        <w:tab/>
      </w:r>
      <w:r>
        <w:rPr>
          <w:u w:val="single"/>
          <w:lang w:val="fr-SN"/>
        </w:rPr>
        <w:tab/>
      </w:r>
      <w:r>
        <w:rPr>
          <w:u w:val="single"/>
          <w:lang w:val="fr-SN"/>
        </w:rPr>
        <w:tab/>
      </w:r>
    </w:p>
    <w:sectPr w:rsidR="002776F0" w:rsidRPr="00CB157F" w:rsidSect="002776F0">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B797" w14:textId="77777777" w:rsidR="00300627" w:rsidRDefault="00300627" w:rsidP="00F95C08">
      <w:pPr>
        <w:spacing w:line="240" w:lineRule="auto"/>
      </w:pPr>
    </w:p>
  </w:endnote>
  <w:endnote w:type="continuationSeparator" w:id="0">
    <w:p w14:paraId="452DA4C0" w14:textId="77777777" w:rsidR="00300627" w:rsidRPr="00AC3823" w:rsidRDefault="00300627" w:rsidP="00AC3823">
      <w:pPr>
        <w:pStyle w:val="Pieddepage"/>
      </w:pPr>
    </w:p>
  </w:endnote>
  <w:endnote w:type="continuationNotice" w:id="1">
    <w:p w14:paraId="07A8E3CE" w14:textId="77777777" w:rsidR="00300627" w:rsidRDefault="003006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03C9" w14:textId="0C5D0E9F" w:rsidR="002776F0" w:rsidRPr="002776F0" w:rsidRDefault="002776F0" w:rsidP="002776F0">
    <w:pPr>
      <w:pStyle w:val="Pieddepage"/>
      <w:tabs>
        <w:tab w:val="right" w:pos="9638"/>
      </w:tabs>
    </w:pPr>
    <w:r w:rsidRPr="002776F0">
      <w:rPr>
        <w:b/>
        <w:sz w:val="18"/>
      </w:rPr>
      <w:fldChar w:fldCharType="begin"/>
    </w:r>
    <w:r w:rsidRPr="002776F0">
      <w:rPr>
        <w:b/>
        <w:sz w:val="18"/>
      </w:rPr>
      <w:instrText xml:space="preserve"> PAGE  \* MERGEFORMAT </w:instrText>
    </w:r>
    <w:r w:rsidRPr="002776F0">
      <w:rPr>
        <w:b/>
        <w:sz w:val="18"/>
      </w:rPr>
      <w:fldChar w:fldCharType="separate"/>
    </w:r>
    <w:r w:rsidRPr="002776F0">
      <w:rPr>
        <w:b/>
        <w:noProof/>
        <w:sz w:val="18"/>
      </w:rPr>
      <w:t>2</w:t>
    </w:r>
    <w:r w:rsidRPr="002776F0">
      <w:rPr>
        <w:b/>
        <w:sz w:val="18"/>
      </w:rPr>
      <w:fldChar w:fldCharType="end"/>
    </w:r>
    <w:r>
      <w:rPr>
        <w:b/>
        <w:sz w:val="18"/>
      </w:rPr>
      <w:tab/>
    </w:r>
    <w:r>
      <w:t>GE.24-06550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D2E3" w14:textId="22606C91" w:rsidR="002776F0" w:rsidRPr="002776F0" w:rsidRDefault="002776F0" w:rsidP="002776F0">
    <w:pPr>
      <w:pStyle w:val="Pieddepage"/>
      <w:tabs>
        <w:tab w:val="right" w:pos="9638"/>
      </w:tabs>
      <w:rPr>
        <w:b/>
        <w:sz w:val="18"/>
      </w:rPr>
    </w:pPr>
    <w:r>
      <w:t>GE.24-06550</w:t>
    </w:r>
    <w:r>
      <w:tab/>
    </w:r>
    <w:r w:rsidRPr="002776F0">
      <w:rPr>
        <w:b/>
        <w:sz w:val="18"/>
      </w:rPr>
      <w:fldChar w:fldCharType="begin"/>
    </w:r>
    <w:r w:rsidRPr="002776F0">
      <w:rPr>
        <w:b/>
        <w:sz w:val="18"/>
      </w:rPr>
      <w:instrText xml:space="preserve"> PAGE  \* MERGEFORMAT </w:instrText>
    </w:r>
    <w:r w:rsidRPr="002776F0">
      <w:rPr>
        <w:b/>
        <w:sz w:val="18"/>
      </w:rPr>
      <w:fldChar w:fldCharType="separate"/>
    </w:r>
    <w:r w:rsidRPr="002776F0">
      <w:rPr>
        <w:b/>
        <w:noProof/>
        <w:sz w:val="18"/>
      </w:rPr>
      <w:t>3</w:t>
    </w:r>
    <w:r w:rsidRPr="002776F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EE9D" w14:textId="7C4E8D25" w:rsidR="007F20FA" w:rsidRPr="002776F0" w:rsidRDefault="002776F0" w:rsidP="002776F0">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53008DCF" wp14:editId="76DD8487">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24-06550  (F)</w:t>
    </w:r>
    <w:r>
      <w:rPr>
        <w:noProof/>
        <w:sz w:val="20"/>
      </w:rPr>
      <w:drawing>
        <wp:anchor distT="0" distB="0" distL="114300" distR="114300" simplePos="0" relativeHeight="251660288" behindDoc="0" locked="0" layoutInCell="1" allowOverlap="1" wp14:anchorId="36EAF916" wp14:editId="5B8F94BF">
          <wp:simplePos x="0" y="0"/>
          <wp:positionH relativeFrom="margin">
            <wp:posOffset>5489575</wp:posOffset>
          </wp:positionH>
          <wp:positionV relativeFrom="margin">
            <wp:posOffset>8891905</wp:posOffset>
          </wp:positionV>
          <wp:extent cx="628650" cy="6286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020524    060524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1C89" w14:textId="77777777" w:rsidR="00300627" w:rsidRPr="00AC3823" w:rsidRDefault="00300627" w:rsidP="00AC3823">
      <w:pPr>
        <w:pStyle w:val="Pieddepage"/>
        <w:tabs>
          <w:tab w:val="right" w:pos="2155"/>
        </w:tabs>
        <w:spacing w:after="80" w:line="240" w:lineRule="atLeast"/>
        <w:ind w:left="680"/>
        <w:rPr>
          <w:u w:val="single"/>
        </w:rPr>
      </w:pPr>
      <w:r>
        <w:rPr>
          <w:u w:val="single"/>
        </w:rPr>
        <w:tab/>
      </w:r>
    </w:p>
  </w:footnote>
  <w:footnote w:type="continuationSeparator" w:id="0">
    <w:p w14:paraId="4B5559D0" w14:textId="77777777" w:rsidR="00300627" w:rsidRPr="00AC3823" w:rsidRDefault="00300627" w:rsidP="00AC3823">
      <w:pPr>
        <w:pStyle w:val="Pieddepage"/>
        <w:tabs>
          <w:tab w:val="right" w:pos="2155"/>
        </w:tabs>
        <w:spacing w:after="80" w:line="240" w:lineRule="atLeast"/>
        <w:ind w:left="680"/>
        <w:rPr>
          <w:u w:val="single"/>
        </w:rPr>
      </w:pPr>
      <w:r>
        <w:rPr>
          <w:u w:val="single"/>
        </w:rPr>
        <w:tab/>
      </w:r>
    </w:p>
  </w:footnote>
  <w:footnote w:type="continuationNotice" w:id="1">
    <w:p w14:paraId="11ACDD4F" w14:textId="77777777" w:rsidR="00300627" w:rsidRPr="00AC3823" w:rsidRDefault="00300627">
      <w:pPr>
        <w:spacing w:line="240" w:lineRule="auto"/>
        <w:rPr>
          <w:sz w:val="2"/>
          <w:szCs w:val="2"/>
        </w:rPr>
      </w:pPr>
    </w:p>
  </w:footnote>
  <w:footnote w:id="2">
    <w:p w14:paraId="75ED76D9" w14:textId="742C9AE4" w:rsidR="002776F0" w:rsidRPr="002428E3" w:rsidRDefault="002776F0" w:rsidP="002776F0">
      <w:pPr>
        <w:pStyle w:val="Notedebasdepage"/>
        <w:rPr>
          <w:lang w:val="fr-SN"/>
        </w:rPr>
      </w:pPr>
      <w:r>
        <w:rPr>
          <w:lang w:val="fr-FR"/>
        </w:rPr>
        <w:tab/>
      </w:r>
      <w:r w:rsidRPr="00F04A8F">
        <w:rPr>
          <w:sz w:val="20"/>
          <w:lang w:val="fr-FR"/>
        </w:rPr>
        <w:t>*</w:t>
      </w:r>
      <w:r>
        <w:rPr>
          <w:lang w:val="fr-FR"/>
        </w:rPr>
        <w:tab/>
        <w:t>Conformément au programme de travail du Comité des transports intérieurs pour 2024 tel qu’il figure dans le projet de budget-programme pour 2024 (A/78/6 (Sect.</w:t>
      </w:r>
      <w:r>
        <w:rPr>
          <w:lang w:val="fr-FR"/>
        </w:rPr>
        <w:t> </w:t>
      </w:r>
      <w:r>
        <w:rPr>
          <w:lang w:val="fr-FR"/>
        </w:rPr>
        <w:t>20), tableau</w:t>
      </w:r>
      <w:r>
        <w:rPr>
          <w:lang w:val="fr-FR"/>
        </w:rPr>
        <w:t> </w:t>
      </w:r>
      <w:r>
        <w:rPr>
          <w:lang w:val="fr-FR"/>
        </w:rPr>
        <w:t>20.5), le Forum mondial a pour mission d’élaborer, d’harmoniser et de mettre à jour les Règlements ONU en vue d’améliorer les caractéristiques fonctionnelles des véhicules. Le présent document est soumis en vertu de ce mandat.</w:t>
      </w:r>
    </w:p>
  </w:footnote>
  <w:footnote w:id="3">
    <w:p w14:paraId="31F54AE9" w14:textId="065ACCE2" w:rsidR="002776F0" w:rsidRPr="00F3052F" w:rsidRDefault="002776F0" w:rsidP="002776F0">
      <w:pPr>
        <w:pStyle w:val="Notedebasdepage"/>
        <w:rPr>
          <w:lang w:val="fr-SN"/>
        </w:rPr>
      </w:pPr>
      <w:r>
        <w:rPr>
          <w:b/>
          <w:bCs/>
          <w:lang w:val="fr-FR"/>
        </w:rPr>
        <w:tab/>
      </w:r>
      <w:r w:rsidRPr="002776F0">
        <w:rPr>
          <w:rStyle w:val="Appelnotedebasdep"/>
        </w:rPr>
        <w:footnoteRef/>
      </w:r>
      <w:r w:rsidRPr="00154A63">
        <w:rPr>
          <w:lang w:val="fr-FR"/>
        </w:rPr>
        <w:tab/>
      </w:r>
      <w:r w:rsidRPr="00F3052F">
        <w:rPr>
          <w:lang w:val="fr-FR"/>
        </w:rPr>
        <w:t>Selon la définition figurant dans le RTM ONU n</w:t>
      </w:r>
      <w:r w:rsidRPr="00F3052F">
        <w:rPr>
          <w:vertAlign w:val="superscript"/>
          <w:lang w:val="fr-FR"/>
        </w:rPr>
        <w:t>o</w:t>
      </w:r>
      <w:r>
        <w:rPr>
          <w:lang w:val="fr-FR"/>
        </w:rPr>
        <w:t> </w:t>
      </w:r>
      <w:r w:rsidRPr="00F3052F">
        <w:rPr>
          <w:lang w:val="fr-FR"/>
        </w:rPr>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838F" w14:textId="178DA0CB" w:rsidR="002776F0" w:rsidRPr="002776F0" w:rsidRDefault="002776F0">
    <w:pPr>
      <w:pStyle w:val="En-tte"/>
    </w:pPr>
    <w:fldSimple w:instr=" TITLE  \* MERGEFORMAT ">
      <w:r>
        <w:t>ECE/TRANS/WP.29/2024/47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CD46" w14:textId="423EA706" w:rsidR="002776F0" w:rsidRPr="002776F0" w:rsidRDefault="002776F0" w:rsidP="002776F0">
    <w:pPr>
      <w:pStyle w:val="En-tte"/>
      <w:jc w:val="right"/>
    </w:pPr>
    <w:fldSimple w:instr=" TITLE  \* MERGEFORMAT ">
      <w:r>
        <w:t>ECE/TRANS/WP.29/2024/47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068917932">
    <w:abstractNumId w:val="12"/>
  </w:num>
  <w:num w:numId="2" w16cid:durableId="1397624365">
    <w:abstractNumId w:val="11"/>
  </w:num>
  <w:num w:numId="3" w16cid:durableId="1954245460">
    <w:abstractNumId w:val="10"/>
  </w:num>
  <w:num w:numId="4" w16cid:durableId="312371689">
    <w:abstractNumId w:val="8"/>
  </w:num>
  <w:num w:numId="5" w16cid:durableId="921374790">
    <w:abstractNumId w:val="3"/>
  </w:num>
  <w:num w:numId="6" w16cid:durableId="1470707861">
    <w:abstractNumId w:val="2"/>
  </w:num>
  <w:num w:numId="7" w16cid:durableId="168982541">
    <w:abstractNumId w:val="1"/>
  </w:num>
  <w:num w:numId="8" w16cid:durableId="564878238">
    <w:abstractNumId w:val="0"/>
  </w:num>
  <w:num w:numId="9" w16cid:durableId="1716007444">
    <w:abstractNumId w:val="9"/>
  </w:num>
  <w:num w:numId="10" w16cid:durableId="122776964">
    <w:abstractNumId w:val="7"/>
  </w:num>
  <w:num w:numId="11" w16cid:durableId="817843101">
    <w:abstractNumId w:val="6"/>
  </w:num>
  <w:num w:numId="12" w16cid:durableId="490876593">
    <w:abstractNumId w:val="5"/>
  </w:num>
  <w:num w:numId="13" w16cid:durableId="1507013568">
    <w:abstractNumId w:val="4"/>
  </w:num>
  <w:num w:numId="14" w16cid:durableId="1412895306">
    <w:abstractNumId w:val="12"/>
  </w:num>
  <w:num w:numId="15" w16cid:durableId="1150558265">
    <w:abstractNumId w:val="11"/>
  </w:num>
  <w:num w:numId="16" w16cid:durableId="421491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revisionView w:inkAnnotation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27"/>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776F0"/>
    <w:rsid w:val="002832AC"/>
    <w:rsid w:val="002D7C93"/>
    <w:rsid w:val="00300627"/>
    <w:rsid w:val="00305801"/>
    <w:rsid w:val="003916DE"/>
    <w:rsid w:val="00421996"/>
    <w:rsid w:val="00441C3B"/>
    <w:rsid w:val="00446FE5"/>
    <w:rsid w:val="00452396"/>
    <w:rsid w:val="00477EB2"/>
    <w:rsid w:val="004837D8"/>
    <w:rsid w:val="004E2EED"/>
    <w:rsid w:val="004E468C"/>
    <w:rsid w:val="005505B7"/>
    <w:rsid w:val="00573BE5"/>
    <w:rsid w:val="00586ED3"/>
    <w:rsid w:val="00596AA9"/>
    <w:rsid w:val="006A204D"/>
    <w:rsid w:val="0071601D"/>
    <w:rsid w:val="007A62E6"/>
    <w:rsid w:val="007F20FA"/>
    <w:rsid w:val="0080684C"/>
    <w:rsid w:val="00871C75"/>
    <w:rsid w:val="008776DC"/>
    <w:rsid w:val="008D5EF9"/>
    <w:rsid w:val="009446C0"/>
    <w:rsid w:val="009705C8"/>
    <w:rsid w:val="009C1CF4"/>
    <w:rsid w:val="009F6B74"/>
    <w:rsid w:val="00A3029F"/>
    <w:rsid w:val="00A30353"/>
    <w:rsid w:val="00AA0D45"/>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32D51"/>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E0D83"/>
  <w15:docId w15:val="{83453E9D-A46C-4F37-9FC5-8AF5E282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2776F0"/>
    <w:rPr>
      <w:rFonts w:ascii="Times New Roman" w:eastAsiaTheme="minorHAnsi" w:hAnsi="Times New Roman" w:cs="Times New Roman"/>
      <w:sz w:val="20"/>
      <w:szCs w:val="20"/>
      <w:lang w:eastAsia="en-US"/>
    </w:rPr>
  </w:style>
  <w:style w:type="character" w:customStyle="1" w:styleId="HChGChar">
    <w:name w:val="_ H _Ch_G Char"/>
    <w:link w:val="HChG"/>
    <w:rsid w:val="002776F0"/>
    <w:rPr>
      <w:rFonts w:ascii="Times New Roman" w:eastAsiaTheme="minorHAnsi" w:hAnsi="Times New Roman" w:cs="Times New Roman"/>
      <w:b/>
      <w:sz w:val="28"/>
      <w:szCs w:val="20"/>
      <w:lang w:eastAsia="en-US"/>
    </w:rPr>
  </w:style>
  <w:style w:type="character" w:customStyle="1" w:styleId="H1GChar">
    <w:name w:val="_ H_1_G Char"/>
    <w:link w:val="H1G"/>
    <w:rsid w:val="002776F0"/>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7DE4C-6C35-4E6E-A6B1-76802844F64A}"/>
</file>

<file path=customXml/itemProps2.xml><?xml version="1.0" encoding="utf-8"?>
<ds:datastoreItem xmlns:ds="http://schemas.openxmlformats.org/officeDocument/2006/customXml" ds:itemID="{CE24BA6A-9BE2-482C-BD0F-7BF71A3F2CE1}"/>
</file>

<file path=docProps/app.xml><?xml version="1.0" encoding="utf-8"?>
<Properties xmlns="http://schemas.openxmlformats.org/officeDocument/2006/extended-properties" xmlns:vt="http://schemas.openxmlformats.org/officeDocument/2006/docPropsVTypes">
  <Template>ECE_TRANS.dotm</Template>
  <TotalTime>1</TotalTime>
  <Pages>5</Pages>
  <Words>1109</Words>
  <Characters>7766</Characters>
  <Application>Microsoft Office Word</Application>
  <DocSecurity>0</DocSecurity>
  <Lines>647</Lines>
  <Paragraphs>354</Paragraphs>
  <ScaleCrop>false</ScaleCrop>
  <HeadingPairs>
    <vt:vector size="2" baseType="variant">
      <vt:variant>
        <vt:lpstr>Titre</vt:lpstr>
      </vt:variant>
      <vt:variant>
        <vt:i4>1</vt:i4>
      </vt:variant>
    </vt:vector>
  </HeadingPairs>
  <TitlesOfParts>
    <vt:vector size="1" baseType="lpstr">
      <vt:lpstr>ECE/TRANS/WP.29/2024/47</vt:lpstr>
    </vt:vector>
  </TitlesOfParts>
  <Company>DCM</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ECE/TRANS/WP.29/2024/47</dc:title>
  <dc:subject/>
  <dc:creator>Sandrine CLERE</dc:creator>
  <cp:keywords/>
  <cp:lastModifiedBy>Sandrine Clere</cp:lastModifiedBy>
  <cp:revision>2</cp:revision>
  <cp:lastPrinted>2014-05-14T10:59:00Z</cp:lastPrinted>
  <dcterms:created xsi:type="dcterms:W3CDTF">2024-05-06T08:54:00Z</dcterms:created>
  <dcterms:modified xsi:type="dcterms:W3CDTF">2024-05-06T08:54:00Z</dcterms:modified>
</cp:coreProperties>
</file>