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E8809A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68E0795" w14:textId="77777777" w:rsidR="002D5AAC" w:rsidRDefault="002D5AAC" w:rsidP="004931F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1C58BB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28DA1E0" w14:textId="6E0546F6" w:rsidR="002D5AAC" w:rsidRDefault="004931F2" w:rsidP="004931F2">
            <w:pPr>
              <w:jc w:val="right"/>
            </w:pPr>
            <w:r w:rsidRPr="004931F2">
              <w:rPr>
                <w:sz w:val="40"/>
              </w:rPr>
              <w:t>ECE</w:t>
            </w:r>
            <w:r>
              <w:t>/TRANS/WP.29/GRPE/2024/11</w:t>
            </w:r>
          </w:p>
        </w:tc>
      </w:tr>
      <w:tr w:rsidR="002D5AAC" w14:paraId="62511B0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3E65DF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22F4DFE" wp14:editId="3BCFD3C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AFF64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DD9C2C6" w14:textId="77777777" w:rsidR="002D5AAC" w:rsidRDefault="004931F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B412CB9" w14:textId="77777777" w:rsidR="004931F2" w:rsidRDefault="004931F2" w:rsidP="004931F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31 October 2023</w:t>
            </w:r>
          </w:p>
          <w:p w14:paraId="28EF8E45" w14:textId="77777777" w:rsidR="004931F2" w:rsidRDefault="004931F2" w:rsidP="004931F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488772E" w14:textId="544CB39A" w:rsidR="004931F2" w:rsidRPr="008D53B6" w:rsidRDefault="004931F2" w:rsidP="004931F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C874E1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827595E" w14:textId="77777777" w:rsidR="004931F2" w:rsidRPr="005A74A6" w:rsidRDefault="004931F2" w:rsidP="004931F2">
      <w:pPr>
        <w:spacing w:before="120"/>
        <w:rPr>
          <w:sz w:val="28"/>
          <w:szCs w:val="28"/>
        </w:rPr>
      </w:pPr>
      <w:r w:rsidRPr="005A74A6">
        <w:rPr>
          <w:sz w:val="28"/>
          <w:szCs w:val="28"/>
        </w:rPr>
        <w:t>Комитет по внутреннему транспорту</w:t>
      </w:r>
    </w:p>
    <w:p w14:paraId="789C522C" w14:textId="77777777" w:rsidR="004931F2" w:rsidRPr="005A74A6" w:rsidRDefault="004931F2" w:rsidP="004931F2">
      <w:pPr>
        <w:spacing w:before="120"/>
        <w:rPr>
          <w:b/>
          <w:sz w:val="24"/>
          <w:szCs w:val="24"/>
        </w:rPr>
      </w:pPr>
      <w:r w:rsidRPr="005A74A6">
        <w:rPr>
          <w:b/>
          <w:bCs/>
          <w:sz w:val="24"/>
          <w:szCs w:val="24"/>
        </w:rPr>
        <w:t>Всемирный форум для согласования правил</w:t>
      </w:r>
      <w:r w:rsidRPr="005A74A6">
        <w:rPr>
          <w:b/>
          <w:bCs/>
          <w:sz w:val="24"/>
          <w:szCs w:val="24"/>
        </w:rPr>
        <w:br/>
        <w:t>в области транспортных средств</w:t>
      </w:r>
    </w:p>
    <w:p w14:paraId="200958D3" w14:textId="77777777" w:rsidR="004931F2" w:rsidRPr="005A74A6" w:rsidRDefault="004931F2" w:rsidP="004931F2">
      <w:pPr>
        <w:tabs>
          <w:tab w:val="left" w:pos="567"/>
          <w:tab w:val="left" w:pos="1134"/>
        </w:tabs>
        <w:spacing w:before="120" w:after="120"/>
        <w:rPr>
          <w:b/>
          <w:bCs/>
        </w:rPr>
      </w:pPr>
      <w:r w:rsidRPr="005A74A6">
        <w:rPr>
          <w:b/>
          <w:bCs/>
        </w:rPr>
        <w:t xml:space="preserve">Рабочая группа по проблемам энергии </w:t>
      </w:r>
      <w:r w:rsidRPr="005A74A6">
        <w:rPr>
          <w:b/>
          <w:bCs/>
        </w:rPr>
        <w:br/>
        <w:t>и загрязнения окружающей среды</w:t>
      </w:r>
    </w:p>
    <w:p w14:paraId="21A14D6D" w14:textId="77777777" w:rsidR="004931F2" w:rsidRPr="00A868B6" w:rsidRDefault="004931F2" w:rsidP="004931F2">
      <w:pPr>
        <w:rPr>
          <w:b/>
          <w:color w:val="000000" w:themeColor="text1"/>
        </w:rPr>
      </w:pPr>
      <w:r>
        <w:rPr>
          <w:b/>
          <w:bCs/>
        </w:rPr>
        <w:t>Девяностая сессия</w:t>
      </w:r>
    </w:p>
    <w:p w14:paraId="44241FF8" w14:textId="77777777" w:rsidR="004931F2" w:rsidRPr="00A868B6" w:rsidRDefault="004931F2" w:rsidP="004931F2">
      <w:pPr>
        <w:rPr>
          <w:color w:val="000000" w:themeColor="text1"/>
        </w:rPr>
      </w:pPr>
      <w:r>
        <w:t>Женева, 9–12 января 2024 года</w:t>
      </w:r>
    </w:p>
    <w:p w14:paraId="38EB50F9" w14:textId="77777777" w:rsidR="004931F2" w:rsidRPr="00094785" w:rsidRDefault="004931F2" w:rsidP="004931F2">
      <w:r>
        <w:t>Пункт 3 а) предварительной повестки дня</w:t>
      </w:r>
    </w:p>
    <w:p w14:paraId="368E3F2B" w14:textId="77777777" w:rsidR="004931F2" w:rsidRDefault="004931F2" w:rsidP="004931F2">
      <w:pPr>
        <w:rPr>
          <w:b/>
          <w:bCs/>
        </w:rPr>
      </w:pPr>
      <w:r>
        <w:rPr>
          <w:b/>
          <w:bCs/>
        </w:rPr>
        <w:t xml:space="preserve">Транспортные средства малой грузоподъемности: </w:t>
      </w:r>
    </w:p>
    <w:p w14:paraId="0A1A1EE1" w14:textId="015A815B" w:rsidR="004931F2" w:rsidRDefault="004931F2" w:rsidP="004931F2">
      <w:pPr>
        <w:rPr>
          <w:b/>
          <w:bCs/>
        </w:rPr>
      </w:pPr>
      <w:r>
        <w:rPr>
          <w:b/>
          <w:bCs/>
        </w:rPr>
        <w:t xml:space="preserve">Правила ООН № 68 (измерение максимальной скорости, </w:t>
      </w:r>
      <w:r w:rsidR="0069197D">
        <w:rPr>
          <w:b/>
          <w:bCs/>
        </w:rPr>
        <w:br/>
      </w:r>
      <w:r>
        <w:rPr>
          <w:b/>
          <w:bCs/>
        </w:rPr>
        <w:t xml:space="preserve">включая электромобили), </w:t>
      </w:r>
    </w:p>
    <w:p w14:paraId="271F5171" w14:textId="08214359" w:rsidR="004931F2" w:rsidRDefault="004931F2" w:rsidP="004931F2">
      <w:pPr>
        <w:rPr>
          <w:b/>
          <w:bCs/>
        </w:rPr>
      </w:pPr>
      <w:r>
        <w:rPr>
          <w:b/>
          <w:bCs/>
        </w:rPr>
        <w:t xml:space="preserve">№ 83 (выбросы загрязняющих веществ транспортными </w:t>
      </w:r>
      <w:r w:rsidR="0069197D">
        <w:rPr>
          <w:b/>
          <w:bCs/>
        </w:rPr>
        <w:br/>
      </w:r>
      <w:r>
        <w:rPr>
          <w:b/>
          <w:bCs/>
        </w:rPr>
        <w:t>средствами категорий M</w:t>
      </w:r>
      <w:r w:rsidRPr="00807623">
        <w:rPr>
          <w:b/>
          <w:bCs/>
          <w:vertAlign w:val="subscript"/>
        </w:rPr>
        <w:t>1</w:t>
      </w:r>
      <w:r>
        <w:rPr>
          <w:b/>
          <w:bCs/>
        </w:rPr>
        <w:t xml:space="preserve"> и N</w:t>
      </w:r>
      <w:r w:rsidRPr="00807623">
        <w:rPr>
          <w:b/>
          <w:bCs/>
          <w:vertAlign w:val="subscript"/>
        </w:rPr>
        <w:t>1</w:t>
      </w:r>
      <w:r>
        <w:rPr>
          <w:b/>
          <w:bCs/>
        </w:rPr>
        <w:t xml:space="preserve">), </w:t>
      </w:r>
    </w:p>
    <w:p w14:paraId="77841C43" w14:textId="77777777" w:rsidR="004931F2" w:rsidRDefault="004931F2" w:rsidP="004931F2">
      <w:pPr>
        <w:rPr>
          <w:b/>
          <w:bCs/>
        </w:rPr>
      </w:pPr>
      <w:r>
        <w:rPr>
          <w:b/>
          <w:bCs/>
        </w:rPr>
        <w:t>№ 101 (выбросы СО</w:t>
      </w:r>
      <w:r w:rsidRPr="00807623">
        <w:rPr>
          <w:b/>
          <w:bCs/>
          <w:vertAlign w:val="subscript"/>
        </w:rPr>
        <w:t>2</w:t>
      </w:r>
      <w:r>
        <w:rPr>
          <w:b/>
          <w:bCs/>
        </w:rPr>
        <w:t xml:space="preserve">/расход топлива), </w:t>
      </w:r>
    </w:p>
    <w:p w14:paraId="1F76BA49" w14:textId="0EA09C40" w:rsidR="004931F2" w:rsidRPr="00487B3D" w:rsidRDefault="004931F2" w:rsidP="004931F2">
      <w:pPr>
        <w:rPr>
          <w:b/>
          <w:bCs/>
        </w:rPr>
      </w:pPr>
      <w:r>
        <w:rPr>
          <w:b/>
          <w:bCs/>
        </w:rPr>
        <w:t xml:space="preserve">№ 103 (сменные устройства для предотвращения загрязнения) </w:t>
      </w:r>
      <w:r w:rsidR="0069197D">
        <w:rPr>
          <w:b/>
          <w:bCs/>
        </w:rPr>
        <w:br/>
      </w:r>
      <w:r>
        <w:rPr>
          <w:b/>
          <w:bCs/>
        </w:rPr>
        <w:t xml:space="preserve">и № 154 (всемирные согласованные процедуры испытания </w:t>
      </w:r>
      <w:r w:rsidR="0069197D">
        <w:rPr>
          <w:b/>
          <w:bCs/>
        </w:rPr>
        <w:br/>
      </w:r>
      <w:r>
        <w:rPr>
          <w:b/>
          <w:bCs/>
        </w:rPr>
        <w:t>транспортных средств малой грузоподъемности (ВПИМ))</w:t>
      </w:r>
    </w:p>
    <w:p w14:paraId="28D543B5" w14:textId="33BDB82B" w:rsidR="004931F2" w:rsidRPr="00843ACE" w:rsidRDefault="004931F2" w:rsidP="004931F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tab/>
      </w:r>
      <w:r w:rsidRPr="004931F2">
        <w:rPr>
          <w:b/>
          <w:sz w:val="28"/>
        </w:rPr>
        <w:tab/>
        <w:t>Предложение по дополнению 2 к поправкам серии 0</w:t>
      </w:r>
      <w:r>
        <w:rPr>
          <w:b/>
          <w:sz w:val="28"/>
        </w:rPr>
        <w:t>3</w:t>
      </w:r>
      <w:r w:rsidRPr="004931F2">
        <w:rPr>
          <w:b/>
          <w:sz w:val="28"/>
        </w:rPr>
        <w:t xml:space="preserve"> к</w:t>
      </w:r>
      <w:r w:rsidR="0069197D">
        <w:rPr>
          <w:b/>
          <w:sz w:val="28"/>
          <w:lang w:val="en-US"/>
        </w:rPr>
        <w:t> </w:t>
      </w:r>
      <w:r w:rsidRPr="004931F2">
        <w:rPr>
          <w:b/>
          <w:sz w:val="28"/>
        </w:rPr>
        <w:t>Правилам № 154 ООН (всемирные согласованные процедуры испытания транспортных средств малой грузоподъемности (ВПИМ))</w:t>
      </w:r>
    </w:p>
    <w:p w14:paraId="189351A5" w14:textId="1F1ECEA9" w:rsidR="004931F2" w:rsidRPr="00843ACE" w:rsidRDefault="00983505" w:rsidP="00983505">
      <w:pPr>
        <w:pStyle w:val="H1G"/>
        <w:rPr>
          <w:szCs w:val="24"/>
        </w:rPr>
      </w:pPr>
      <w:r>
        <w:tab/>
      </w:r>
      <w:r>
        <w:tab/>
      </w:r>
      <w:r w:rsidR="004931F2">
        <w:t>Представлено экспертами от Японии</w:t>
      </w:r>
      <w:r w:rsidR="004931F2" w:rsidRPr="00983505">
        <w:rPr>
          <w:b w:val="0"/>
          <w:bCs/>
          <w:sz w:val="20"/>
        </w:rPr>
        <w:footnoteReference w:customMarkFollows="1" w:id="1"/>
        <w:t xml:space="preserve">* </w:t>
      </w:r>
    </w:p>
    <w:p w14:paraId="66AFE714" w14:textId="358245D4" w:rsidR="004931F2" w:rsidRDefault="004931F2" w:rsidP="0069197D">
      <w:pPr>
        <w:pStyle w:val="SingleTxtG"/>
        <w:rPr>
          <w:b/>
          <w:color w:val="000000"/>
        </w:rPr>
      </w:pPr>
      <w:r>
        <w:tab/>
      </w:r>
      <w:r w:rsidRPr="004931F2">
        <w:t>Приведенный ниже текст представляет собой предложение по дополнению 2 к поправкам серии 0</w:t>
      </w:r>
      <w:r>
        <w:t>3</w:t>
      </w:r>
      <w:r w:rsidRPr="004931F2">
        <w:t xml:space="preserve"> к Правилам № 154 ООН о единообразных предписаниях, касающихся официального утверждения пассажирских и коммерческих транспортных средств малой грузоподъемности в отношении коэффициентов ухудшения в случае использования дизельного топлива. Данное дополнение необходимо для приведения Правил в соответствие с </w:t>
      </w:r>
      <w:r>
        <w:t>последними</w:t>
      </w:r>
      <w:r w:rsidRPr="004931F2">
        <w:t xml:space="preserve"> региональными требованиями. Изменения к действующему тексту Правил выделены жирным шрифтом.</w:t>
      </w:r>
    </w:p>
    <w:p w14:paraId="0540D6B1" w14:textId="77777777" w:rsidR="004931F2" w:rsidRDefault="004931F2" w:rsidP="004931F2">
      <w:pPr>
        <w:pStyle w:val="HChG"/>
        <w:tabs>
          <w:tab w:val="left" w:pos="8505"/>
        </w:tabs>
        <w:spacing w:before="320" w:after="200" w:line="240" w:lineRule="atLeast"/>
        <w:ind w:left="0" w:right="-40" w:firstLine="0"/>
        <w:rPr>
          <w:bCs/>
          <w:color w:val="000000" w:themeColor="text1"/>
          <w:szCs w:val="28"/>
        </w:rPr>
      </w:pPr>
      <w:r w:rsidRPr="00A868B6">
        <w:rPr>
          <w:bCs/>
          <w:color w:val="000000" w:themeColor="text1"/>
          <w:szCs w:val="28"/>
        </w:rPr>
        <w:br w:type="page"/>
      </w:r>
    </w:p>
    <w:p w14:paraId="2378F169" w14:textId="77777777" w:rsidR="004931F2" w:rsidRPr="00387F0F" w:rsidRDefault="004931F2" w:rsidP="004931F2">
      <w:pPr>
        <w:pStyle w:val="HChG"/>
        <w:tabs>
          <w:tab w:val="clear" w:pos="851"/>
        </w:tabs>
        <w:spacing w:before="320" w:after="200" w:line="240" w:lineRule="atLeast"/>
        <w:ind w:left="567" w:right="-40" w:firstLine="3"/>
      </w:pPr>
      <w:r>
        <w:rPr>
          <w:bCs/>
        </w:rPr>
        <w:lastRenderedPageBreak/>
        <w:t>I.</w:t>
      </w:r>
      <w:r>
        <w:tab/>
      </w:r>
      <w:r>
        <w:rPr>
          <w:bCs/>
        </w:rPr>
        <w:t>Предложение</w:t>
      </w:r>
    </w:p>
    <w:p w14:paraId="71D209F4" w14:textId="77777777" w:rsidR="004931F2" w:rsidRPr="00011C67" w:rsidRDefault="004931F2" w:rsidP="004931F2">
      <w:pPr>
        <w:keepNext/>
        <w:spacing w:after="120"/>
        <w:ind w:left="1134" w:right="522"/>
        <w:jc w:val="both"/>
        <w:rPr>
          <w:b/>
          <w:bCs/>
          <w:color w:val="000000"/>
        </w:rPr>
      </w:pPr>
      <w:bookmarkStart w:id="0" w:name="_Hlk147247119"/>
      <w:r w:rsidRPr="00614B86">
        <w:rPr>
          <w:i/>
          <w:iCs/>
        </w:rPr>
        <w:t>Пункт 6.7.2</w:t>
      </w:r>
      <w:r>
        <w:t xml:space="preserve">, </w:t>
      </w:r>
      <w:r w:rsidRPr="00614B86">
        <w:rPr>
          <w:b/>
          <w:bCs/>
        </w:rPr>
        <w:t>таблицу 3b</w:t>
      </w:r>
      <w:r>
        <w:t xml:space="preserve"> изменить следующим образом:</w:t>
      </w:r>
      <w:bookmarkEnd w:id="0"/>
    </w:p>
    <w:p w14:paraId="21D4DA6A" w14:textId="77777777" w:rsidR="004931F2" w:rsidRPr="00764C0F" w:rsidRDefault="004931F2" w:rsidP="004931F2">
      <w:pPr>
        <w:spacing w:after="120"/>
        <w:ind w:left="2268" w:right="1134" w:hanging="1134"/>
        <w:jc w:val="both"/>
        <w:rPr>
          <w:color w:val="000000"/>
        </w:rPr>
      </w:pPr>
      <w:r>
        <w:t>6.7.2.</w:t>
      </w:r>
      <w:r>
        <w:tab/>
        <w:t>Независимо от предписаний пункта 6.7.1, изготовитель — в качестве альтернативы испытанию по пункту 6.7.1 — может выбрать коэффициенты ухудшения, которые указаны в таблице 3a или 3b.</w:t>
      </w:r>
    </w:p>
    <w:p w14:paraId="7DCBE940" w14:textId="77777777" w:rsidR="004931F2" w:rsidRPr="005F0415" w:rsidRDefault="004931F2" w:rsidP="004931F2">
      <w:pPr>
        <w:keepNext/>
        <w:spacing w:before="240"/>
        <w:ind w:left="1134" w:right="522"/>
        <w:rPr>
          <w:color w:val="000000"/>
        </w:rPr>
      </w:pPr>
      <w:r w:rsidRPr="005F0415">
        <w:t>Таблица 3b</w:t>
      </w:r>
    </w:p>
    <w:p w14:paraId="12C026CD" w14:textId="77777777" w:rsidR="004931F2" w:rsidRPr="005F0415" w:rsidRDefault="004931F2" w:rsidP="0069197D">
      <w:pPr>
        <w:keepNext/>
        <w:spacing w:line="240" w:lineRule="auto"/>
        <w:ind w:left="1134" w:right="522"/>
        <w:rPr>
          <w:b/>
          <w:bCs/>
          <w:color w:val="000000"/>
        </w:rPr>
      </w:pPr>
      <w:r w:rsidRPr="005F0415">
        <w:rPr>
          <w:b/>
          <w:bCs/>
          <w:color w:val="000000"/>
        </w:rPr>
        <w:t>Аддитивные коэффициенты ухудшения (для сопоставления результатов измерения уровня выбросов с предельными значениями по таблице 1B)</w:t>
      </w:r>
    </w:p>
    <w:tbl>
      <w:tblPr>
        <w:tblpPr w:leftFromText="142" w:rightFromText="142" w:vertAnchor="text" w:horzAnchor="margin" w:tblpXSpec="center" w:tblpY="358"/>
        <w:tblW w:w="104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24"/>
        <w:gridCol w:w="1707"/>
        <w:gridCol w:w="523"/>
        <w:gridCol w:w="523"/>
        <w:gridCol w:w="394"/>
        <w:gridCol w:w="523"/>
        <w:gridCol w:w="523"/>
        <w:gridCol w:w="393"/>
        <w:gridCol w:w="523"/>
        <w:gridCol w:w="523"/>
        <w:gridCol w:w="393"/>
        <w:gridCol w:w="653"/>
        <w:gridCol w:w="523"/>
        <w:gridCol w:w="393"/>
        <w:gridCol w:w="523"/>
        <w:gridCol w:w="526"/>
        <w:gridCol w:w="141"/>
        <w:gridCol w:w="284"/>
      </w:tblGrid>
      <w:tr w:rsidR="004931F2" w:rsidRPr="00614B86" w14:paraId="1EEE16F5" w14:textId="77777777" w:rsidTr="0069197D">
        <w:trPr>
          <w:trHeight w:val="363"/>
        </w:trPr>
        <w:tc>
          <w:tcPr>
            <w:tcW w:w="1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09D4556" w14:textId="77777777" w:rsidR="004931F2" w:rsidRPr="00614B86" w:rsidRDefault="004931F2" w:rsidP="007A2BCC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2B5332" w14:textId="1758CCE0" w:rsidR="004931F2" w:rsidRPr="00614B86" w:rsidRDefault="004931F2" w:rsidP="0069197D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Технически допустимая максимальная масса в груженом состоянии</w:t>
            </w:r>
            <w:r w:rsidR="0069197D">
              <w:rPr>
                <w:i/>
                <w:iCs/>
                <w:sz w:val="16"/>
                <w:szCs w:val="16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(GVW) (кг)</w:t>
            </w:r>
          </w:p>
        </w:tc>
        <w:tc>
          <w:tcPr>
            <w:tcW w:w="73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2393E8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Присвоенные аддитивные коэффициенты ухудшения</w:t>
            </w:r>
          </w:p>
        </w:tc>
      </w:tr>
      <w:tr w:rsidR="004931F2" w:rsidRPr="00614B86" w14:paraId="2E90CE1B" w14:textId="77777777" w:rsidTr="0069197D">
        <w:trPr>
          <w:trHeight w:val="717"/>
        </w:trPr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693B" w14:textId="77777777" w:rsidR="004931F2" w:rsidRPr="00614B86" w:rsidRDefault="004931F2" w:rsidP="007A2BCC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8C710" w14:textId="77777777" w:rsidR="004931F2" w:rsidRPr="00614B86" w:rsidRDefault="004931F2" w:rsidP="007A2BCC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875C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моноксида углерода (СО)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81CD" w14:textId="78101158" w:rsidR="004931F2" w:rsidRPr="00614B86" w:rsidRDefault="004931F2" w:rsidP="0069197D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неметановых углеводородов</w:t>
            </w:r>
            <w:r w:rsidR="0069197D">
              <w:rPr>
                <w:i/>
                <w:iCs/>
                <w:sz w:val="16"/>
                <w:szCs w:val="16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(NMHC)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21358DC0" w14:textId="286B00F1" w:rsidR="004931F2" w:rsidRPr="00614B86" w:rsidRDefault="004931F2" w:rsidP="0069197D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оксидов азота</w:t>
            </w:r>
            <w:r w:rsidR="0069197D">
              <w:rPr>
                <w:i/>
                <w:iCs/>
                <w:sz w:val="16"/>
                <w:szCs w:val="16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(NO</w:t>
            </w:r>
            <w:r w:rsidRPr="005F0415">
              <w:rPr>
                <w:i/>
                <w:iCs/>
                <w:sz w:val="16"/>
                <w:szCs w:val="16"/>
                <w:vertAlign w:val="subscript"/>
              </w:rPr>
              <w:t>x</w:t>
            </w:r>
            <w:r w:rsidRPr="00614B86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F5D9" w14:textId="7762593C" w:rsidR="004931F2" w:rsidRPr="00614B86" w:rsidRDefault="004931F2" w:rsidP="0069197D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взвешенных частиц</w:t>
            </w:r>
            <w:r w:rsidR="0069197D">
              <w:rPr>
                <w:i/>
                <w:iCs/>
                <w:sz w:val="16"/>
                <w:szCs w:val="16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(ВЧ)</w:t>
            </w: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7AC5" w14:textId="3A83887A" w:rsidR="004931F2" w:rsidRPr="00614B86" w:rsidRDefault="004931F2" w:rsidP="0069197D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 xml:space="preserve">Количество </w:t>
            </w:r>
            <w:r w:rsidR="0069197D">
              <w:rPr>
                <w:i/>
                <w:iCs/>
                <w:sz w:val="16"/>
                <w:szCs w:val="16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частиц</w:t>
            </w:r>
            <w:r w:rsidR="0069197D">
              <w:rPr>
                <w:i/>
                <w:iCs/>
                <w:sz w:val="16"/>
                <w:szCs w:val="16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(КЧ)</w:t>
            </w:r>
          </w:p>
        </w:tc>
      </w:tr>
      <w:tr w:rsidR="004931F2" w:rsidRPr="00614B86" w14:paraId="465D547B" w14:textId="77777777" w:rsidTr="0069197D">
        <w:trPr>
          <w:trHeight w:val="464"/>
        </w:trPr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A313" w14:textId="77777777" w:rsidR="004931F2" w:rsidRPr="00614B86" w:rsidRDefault="004931F2" w:rsidP="007A2BCC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CB66" w14:textId="77777777" w:rsidR="004931F2" w:rsidRPr="00614B86" w:rsidRDefault="004931F2" w:rsidP="007A2BCC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D355" w14:textId="28F1E5E1" w:rsidR="004931F2" w:rsidRPr="00614B86" w:rsidRDefault="004931F2" w:rsidP="0069197D">
            <w:pPr>
              <w:spacing w:before="80" w:after="80" w:line="200" w:lineRule="exact"/>
              <w:ind w:left="284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1</w:t>
            </w:r>
            <w:r w:rsidR="0069197D">
              <w:rPr>
                <w:i/>
                <w:iCs/>
                <w:sz w:val="16"/>
                <w:szCs w:val="16"/>
                <w:vertAlign w:val="subscript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DC73" w14:textId="7B97392D" w:rsidR="004931F2" w:rsidRPr="00614B86" w:rsidRDefault="004931F2" w:rsidP="0069197D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="0069197D">
              <w:rPr>
                <w:i/>
                <w:iCs/>
                <w:sz w:val="16"/>
                <w:szCs w:val="16"/>
                <w:vertAlign w:val="subscript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0943A724" w14:textId="140548F9" w:rsidR="004931F2" w:rsidRPr="00614B86" w:rsidRDefault="004931F2" w:rsidP="0069197D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4</w:t>
            </w:r>
            <w:r w:rsidR="0069197D">
              <w:rPr>
                <w:i/>
                <w:iCs/>
                <w:sz w:val="16"/>
                <w:szCs w:val="16"/>
                <w:vertAlign w:val="subscript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4008" w14:textId="42BE9798" w:rsidR="004931F2" w:rsidRPr="00614B86" w:rsidRDefault="004931F2" w:rsidP="0069197D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5</w:t>
            </w:r>
            <w:r w:rsidR="0069197D">
              <w:rPr>
                <w:i/>
                <w:iCs/>
                <w:sz w:val="16"/>
                <w:szCs w:val="16"/>
                <w:vertAlign w:val="subscript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C4B5" w14:textId="081450F8" w:rsidR="004931F2" w:rsidRPr="00614B86" w:rsidRDefault="004931F2" w:rsidP="0069197D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6</w:t>
            </w:r>
            <w:r w:rsidR="0069197D">
              <w:rPr>
                <w:i/>
                <w:iCs/>
                <w:sz w:val="16"/>
                <w:szCs w:val="16"/>
                <w:vertAlign w:val="subscript"/>
              </w:rPr>
              <w:br/>
            </w:r>
            <w:r w:rsidRPr="00614B86">
              <w:rPr>
                <w:i/>
                <w:iCs/>
                <w:sz w:val="16"/>
                <w:szCs w:val="16"/>
              </w:rPr>
              <w:t>(число/км)</w:t>
            </w:r>
          </w:p>
        </w:tc>
      </w:tr>
      <w:tr w:rsidR="004931F2" w:rsidRPr="00614B86" w14:paraId="14A919DB" w14:textId="77777777" w:rsidTr="0069197D">
        <w:trPr>
          <w:trHeight w:val="36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057ECEED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Категория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6CD4FE36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Класс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 w14:paraId="42294C96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456BF0C8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00FDC6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16147BF5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2AE4367A" w14:textId="77777777" w:rsidR="004931F2" w:rsidRPr="00614B86" w:rsidRDefault="004931F2" w:rsidP="007A2BCC">
            <w:pPr>
              <w:spacing w:before="80" w:after="80" w:line="200" w:lineRule="exact"/>
              <w:ind w:left="113" w:firstLineChars="50" w:firstLine="80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0AC34F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07F37123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2148117A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64D32CEA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6F04AC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0212F109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G*1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B5A2BD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7230F68A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 w14:paraId="5B6F00B8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G*1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B84F6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 w14:paraId="39A89D58" w14:textId="77777777" w:rsidR="004931F2" w:rsidRPr="00614B86" w:rsidRDefault="004931F2" w:rsidP="007A2BCC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</w:tr>
      <w:tr w:rsidR="004931F2" w:rsidRPr="00614B86" w14:paraId="097A386E" w14:textId="77777777" w:rsidTr="0069197D">
        <w:trPr>
          <w:trHeight w:val="288"/>
        </w:trPr>
        <w:tc>
          <w:tcPr>
            <w:tcW w:w="7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5194B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M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2C3061F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CEC4B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Все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5D078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127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F6B39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[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a]</w:t>
            </w:r>
          </w:p>
        </w:tc>
        <w:tc>
          <w:tcPr>
            <w:tcW w:w="39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575470C2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*4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76B89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93505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0489"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,</w:t>
            </w:r>
            <w:r w:rsidRPr="00B60489"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647E064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*4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1C2ADA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348BADF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3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9CAFB8" w14:textId="77777777" w:rsidR="004931F2" w:rsidRPr="00764C0F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*4</w:t>
            </w:r>
          </w:p>
          <w:p w14:paraId="2F0E1663" w14:textId="77777777" w:rsidR="004931F2" w:rsidRPr="00764C0F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4A7DA736" w14:textId="77777777" w:rsidR="004931F2" w:rsidRPr="00764C0F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518494E3" w14:textId="77777777" w:rsidR="004931F2" w:rsidRPr="00764C0F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6650B33C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F8FEC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530D6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2C3624F3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*4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343453C6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7E9012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5069E4C5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*4</w:t>
            </w:r>
          </w:p>
        </w:tc>
      </w:tr>
      <w:tr w:rsidR="004931F2" w:rsidRPr="00614B86" w14:paraId="7E93517B" w14:textId="77777777" w:rsidTr="0069197D">
        <w:trPr>
          <w:trHeight w:val="313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0D385CA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N</w:t>
            </w:r>
            <w:r w:rsidRPr="00A07486">
              <w:rPr>
                <w:sz w:val="18"/>
                <w:szCs w:val="18"/>
                <w:vertAlign w:val="subscript"/>
              </w:rPr>
              <w:t>1</w:t>
            </w:r>
            <w:r w:rsidRPr="00614B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C0683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—*2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6A7A3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GVW ≤ 1700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4DF7C5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16F05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[a]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FCD7C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EDBEC9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CFD49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0489"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,</w:t>
            </w:r>
            <w:r w:rsidRPr="00B60489"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4DB25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BE63E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0B81A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79398F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A1F9A5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2E87C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CDCA11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CDD30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5A01D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7C59F1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31F2" w:rsidRPr="00614B86" w14:paraId="59478D02" w14:textId="77777777" w:rsidTr="0069197D">
        <w:trPr>
          <w:trHeight w:val="326"/>
        </w:trPr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4A9E134" w14:textId="77777777" w:rsidR="004931F2" w:rsidRPr="00614B86" w:rsidRDefault="004931F2" w:rsidP="007A2BCC">
            <w:pPr>
              <w:spacing w:before="40" w:after="4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317C1B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72E72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1700 &lt; GVW ≤ 3500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1AD11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3ED85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[a]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4BC78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32796E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66AD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0489"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,</w:t>
            </w:r>
            <w:r w:rsidRPr="00B60489"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94BC1C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01600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CDCEED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88208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54D15B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62A1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049AC5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B26111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2996D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04B2AF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31F2" w:rsidRPr="00614B86" w14:paraId="4BA130D0" w14:textId="77777777" w:rsidTr="0069197D">
        <w:trPr>
          <w:trHeight w:val="326"/>
        </w:trPr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8F970BA" w14:textId="77777777" w:rsidR="004931F2" w:rsidRPr="00614B86" w:rsidRDefault="004931F2" w:rsidP="007A2BCC">
            <w:pPr>
              <w:spacing w:before="40" w:after="4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6651BC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—*3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5A5BAE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Все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7C1FDD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DF529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76FC3D1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B810C8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6872D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0A861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C5D321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415F1F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EB02B4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D37015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7FB469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3917BA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5036E0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561667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A63DE3" w14:textId="77777777" w:rsidR="004931F2" w:rsidRPr="00614B86" w:rsidRDefault="004931F2" w:rsidP="007A2BCC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4931F2" w:rsidRPr="00614B86" w14:paraId="4F936BAE" w14:textId="77777777" w:rsidTr="007A2BCC">
        <w:trPr>
          <w:gridAfter w:val="1"/>
          <w:wAfter w:w="284" w:type="dxa"/>
          <w:trHeight w:val="326"/>
        </w:trPr>
        <w:tc>
          <w:tcPr>
            <w:tcW w:w="10198" w:type="dxa"/>
            <w:gridSpan w:val="18"/>
            <w:tcBorders>
              <w:top w:val="single" w:sz="6" w:space="0" w:color="000000"/>
            </w:tcBorders>
            <w:vAlign w:val="center"/>
          </w:tcPr>
          <w:p w14:paraId="01DA8571" w14:textId="77777777" w:rsidR="004931F2" w:rsidRPr="00614B86" w:rsidRDefault="004931F2" w:rsidP="0069197D">
            <w:pPr>
              <w:spacing w:before="120" w:after="60" w:line="220" w:lineRule="exact"/>
              <w:ind w:left="567" w:hanging="567"/>
              <w:jc w:val="both"/>
              <w:rPr>
                <w:color w:val="000000"/>
                <w:sz w:val="18"/>
                <w:szCs w:val="18"/>
              </w:rPr>
            </w:pPr>
            <w:r w:rsidRPr="00614B86">
              <w:rPr>
                <w:i/>
                <w:iCs/>
                <w:sz w:val="18"/>
                <w:szCs w:val="18"/>
              </w:rPr>
              <w:t>G</w:t>
            </w:r>
            <w:r w:rsidRPr="00614B86">
              <w:rPr>
                <w:sz w:val="18"/>
                <w:szCs w:val="18"/>
              </w:rPr>
              <w:tab/>
              <w:t>Бензин, СНГ</w:t>
            </w:r>
          </w:p>
          <w:p w14:paraId="373DE66A" w14:textId="77777777" w:rsidR="004931F2" w:rsidRPr="00614B86" w:rsidRDefault="004931F2" w:rsidP="0069197D">
            <w:pPr>
              <w:spacing w:after="60" w:line="220" w:lineRule="exact"/>
              <w:ind w:left="567" w:hanging="567"/>
              <w:jc w:val="both"/>
              <w:rPr>
                <w:color w:val="000000"/>
                <w:sz w:val="18"/>
                <w:szCs w:val="18"/>
              </w:rPr>
            </w:pPr>
            <w:r w:rsidRPr="005F0415">
              <w:rPr>
                <w:sz w:val="18"/>
                <w:szCs w:val="18"/>
              </w:rPr>
              <w:t>D</w:t>
            </w:r>
            <w:r w:rsidRPr="00614B86">
              <w:rPr>
                <w:sz w:val="18"/>
                <w:szCs w:val="18"/>
              </w:rPr>
              <w:tab/>
              <w:t>Дизельное топливо</w:t>
            </w:r>
          </w:p>
          <w:p w14:paraId="5CBD4A59" w14:textId="77777777" w:rsidR="004931F2" w:rsidRPr="00614B86" w:rsidRDefault="004931F2" w:rsidP="0069197D">
            <w:pPr>
              <w:spacing w:after="60" w:line="220" w:lineRule="exact"/>
              <w:ind w:left="567" w:hanging="567"/>
              <w:jc w:val="both"/>
              <w:rPr>
                <w:color w:val="000000"/>
                <w:sz w:val="18"/>
                <w:szCs w:val="18"/>
              </w:rPr>
            </w:pPr>
            <w:r w:rsidRPr="00614B86">
              <w:rPr>
                <w:i/>
                <w:iCs/>
                <w:sz w:val="18"/>
                <w:szCs w:val="18"/>
              </w:rPr>
              <w:t>O</w:t>
            </w:r>
            <w:r w:rsidRPr="00614B86">
              <w:rPr>
                <w:sz w:val="18"/>
                <w:szCs w:val="18"/>
              </w:rPr>
              <w:tab/>
              <w:t>Иное топливо</w:t>
            </w:r>
          </w:p>
          <w:p w14:paraId="64DA2101" w14:textId="77777777" w:rsidR="004931F2" w:rsidRPr="00614B86" w:rsidRDefault="004931F2" w:rsidP="0069197D">
            <w:pPr>
              <w:spacing w:after="60" w:line="220" w:lineRule="exact"/>
              <w:ind w:left="567" w:hanging="567"/>
              <w:jc w:val="both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*1</w:t>
            </w:r>
            <w:r w:rsidRPr="00614B86">
              <w:rPr>
                <w:sz w:val="18"/>
                <w:szCs w:val="18"/>
              </w:rPr>
              <w:tab/>
              <w:t>В случае бензина или СНГ предельные значения массы и количества взвешенных частиц применяют только к транспортным средствам, оснащенным двигателями с прямым впрыском.</w:t>
            </w:r>
          </w:p>
          <w:p w14:paraId="1F311A0D" w14:textId="77777777" w:rsidR="004931F2" w:rsidRPr="00614B86" w:rsidRDefault="004931F2" w:rsidP="0069197D">
            <w:pPr>
              <w:spacing w:after="60" w:line="220" w:lineRule="exact"/>
              <w:ind w:left="567" w:hanging="567"/>
              <w:jc w:val="both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*2</w:t>
            </w:r>
            <w:r w:rsidRPr="00614B86">
              <w:rPr>
                <w:sz w:val="18"/>
                <w:szCs w:val="18"/>
              </w:rPr>
              <w:tab/>
              <w:t>За исключением транспортных средств с рабочим объемом двигателя не более 0,660 л, транспортных средств длиной не свыше 3,40 м, транспортных средств шириной до 1,48 м и транспортных средств высотой не более 2,00 м, число сидячих мест в которых (помимо сиденья водителя) не превышает 3, а полезная нагрузка составляет до 350 кг.</w:t>
            </w:r>
          </w:p>
          <w:p w14:paraId="39C133C6" w14:textId="77777777" w:rsidR="004931F2" w:rsidRPr="00614B86" w:rsidRDefault="004931F2" w:rsidP="0069197D">
            <w:pPr>
              <w:spacing w:after="60" w:line="220" w:lineRule="exact"/>
              <w:ind w:left="542" w:hangingChars="301" w:hanging="542"/>
              <w:jc w:val="both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*3</w:t>
            </w:r>
            <w:r w:rsidRPr="00614B86">
              <w:rPr>
                <w:sz w:val="18"/>
                <w:szCs w:val="18"/>
              </w:rPr>
              <w:tab/>
              <w:t>Транспортные средства с рабочим объемом двигателя не более 0,660 л, транспортные средства длиной не свыше 3,40 м, транспортные средства шириной до 1,48 м и транспортные средства высотой не более 2,00 м, число сидячих мест в которых (помимо сиденья водителя) не превышает 3, а полезная нагрузка составляет до 350 кг.</w:t>
            </w:r>
          </w:p>
          <w:p w14:paraId="43EBFE9B" w14:textId="77777777" w:rsidR="004931F2" w:rsidRPr="00614B86" w:rsidRDefault="004931F2" w:rsidP="0069197D">
            <w:pPr>
              <w:spacing w:after="60" w:line="220" w:lineRule="exact"/>
              <w:ind w:left="542" w:hangingChars="301" w:hanging="542"/>
              <w:jc w:val="both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*4</w:t>
            </w:r>
            <w:r w:rsidRPr="00614B86">
              <w:rPr>
                <w:sz w:val="18"/>
                <w:szCs w:val="18"/>
              </w:rPr>
              <w:tab/>
              <w:t>В отсутствие присвоенных коэффициентов ухудшения для транспортных средств, оснащенных двигателями с воспламенением от сжатия</w:t>
            </w:r>
            <w:r w:rsidRPr="00614B86">
              <w:rPr>
                <w:b/>
                <w:bCs/>
                <w:sz w:val="18"/>
                <w:szCs w:val="18"/>
              </w:rPr>
              <w:t>, в которых используются другие виды топлива,</w:t>
            </w:r>
            <w:r w:rsidRPr="00614B86">
              <w:rPr>
                <w:sz w:val="18"/>
                <w:szCs w:val="18"/>
              </w:rPr>
              <w:t xml:space="preserve"> для установления таких коэффициентов изготовители проводят ресурсное испытание комплектного транспортного средства на долговечность.</w:t>
            </w:r>
          </w:p>
        </w:tc>
      </w:tr>
    </w:tbl>
    <w:p w14:paraId="6596D736" w14:textId="77777777" w:rsidR="004931F2" w:rsidRPr="0069197D" w:rsidRDefault="004931F2" w:rsidP="0069197D">
      <w:pPr>
        <w:spacing w:line="240" w:lineRule="auto"/>
      </w:pPr>
    </w:p>
    <w:p w14:paraId="66CB2D1F" w14:textId="77777777" w:rsidR="004931F2" w:rsidRDefault="004931F2" w:rsidP="004931F2">
      <w:pPr>
        <w:pStyle w:val="SingleTxtG"/>
      </w:pPr>
      <w:r>
        <w:t>»</w:t>
      </w:r>
      <w:r>
        <w:br w:type="page"/>
      </w:r>
    </w:p>
    <w:p w14:paraId="1B8EFDCB" w14:textId="77777777" w:rsidR="004931F2" w:rsidRPr="00D96AA7" w:rsidRDefault="004931F2" w:rsidP="004931F2">
      <w:pPr>
        <w:pStyle w:val="HChG"/>
        <w:spacing w:before="120"/>
      </w:pPr>
      <w:r>
        <w:rPr>
          <w:bCs/>
        </w:rPr>
        <w:lastRenderedPageBreak/>
        <w:tab/>
        <w:t>II.</w:t>
      </w:r>
      <w:r>
        <w:tab/>
      </w:r>
      <w:r>
        <w:rPr>
          <w:bCs/>
        </w:rPr>
        <w:t>Обоснование</w:t>
      </w:r>
    </w:p>
    <w:p w14:paraId="57AB0E11" w14:textId="77777777" w:rsidR="004931F2" w:rsidRDefault="004931F2" w:rsidP="004931F2">
      <w:pPr>
        <w:pStyle w:val="SingleTxtG"/>
        <w:numPr>
          <w:ilvl w:val="0"/>
          <w:numId w:val="23"/>
        </w:numPr>
        <w:tabs>
          <w:tab w:val="clear" w:pos="1701"/>
          <w:tab w:val="clear" w:pos="2268"/>
          <w:tab w:val="clear" w:pos="2835"/>
        </w:tabs>
        <w:ind w:left="1134" w:firstLine="0"/>
      </w:pPr>
      <w:r>
        <w:t>Начиная с октября 2024 года в рамках регулирования на региональном уровне в Японии планируется ввести аддитивные коэффициенты ухудшения в случае использования дизельного топлива.</w:t>
      </w:r>
    </w:p>
    <w:p w14:paraId="58477A4A" w14:textId="77777777" w:rsidR="004931F2" w:rsidRDefault="004931F2" w:rsidP="004931F2">
      <w:pPr>
        <w:pStyle w:val="SingleTxtG"/>
        <w:numPr>
          <w:ilvl w:val="0"/>
          <w:numId w:val="23"/>
        </w:numPr>
        <w:tabs>
          <w:tab w:val="clear" w:pos="1701"/>
          <w:tab w:val="clear" w:pos="2268"/>
          <w:tab w:val="clear" w:pos="2835"/>
        </w:tabs>
        <w:ind w:left="1134" w:firstLine="0"/>
      </w:pPr>
      <w:r>
        <w:t xml:space="preserve">Потребность в принятии данной поправки обусловлена необходимостью устранить возможные манипуляции, наблюдаемые в последнее время в нашем регионе, причем данная проблема требует безотлагательного решения. </w:t>
      </w:r>
    </w:p>
    <w:p w14:paraId="492B5A19" w14:textId="77777777" w:rsidR="004931F2" w:rsidRDefault="004931F2" w:rsidP="004931F2">
      <w:pPr>
        <w:pStyle w:val="SingleTxtG"/>
        <w:numPr>
          <w:ilvl w:val="0"/>
          <w:numId w:val="23"/>
        </w:numPr>
        <w:tabs>
          <w:tab w:val="clear" w:pos="1701"/>
          <w:tab w:val="clear" w:pos="2268"/>
          <w:tab w:val="clear" w:pos="2835"/>
        </w:tabs>
        <w:ind w:left="1134" w:firstLine="0"/>
      </w:pPr>
      <w:r>
        <w:t>Для целей национальной правовой процедуры данную поправку желательно также отразить в Правилах № 154 ООН.</w:t>
      </w:r>
    </w:p>
    <w:p w14:paraId="1F2C5C88" w14:textId="77777777" w:rsidR="004931F2" w:rsidRDefault="004931F2" w:rsidP="004931F2">
      <w:pPr>
        <w:pStyle w:val="SingleTxtG"/>
        <w:numPr>
          <w:ilvl w:val="0"/>
          <w:numId w:val="23"/>
        </w:numPr>
        <w:tabs>
          <w:tab w:val="clear" w:pos="1701"/>
          <w:tab w:val="clear" w:pos="2268"/>
          <w:tab w:val="clear" w:pos="2835"/>
        </w:tabs>
        <w:ind w:left="1134" w:firstLine="0"/>
      </w:pPr>
      <w:r>
        <w:t>С учетом временны́х ограничений Япония просит GRPE утвердить это решение в ходе своей девяностой сессии в январе 2024 года.</w:t>
      </w:r>
    </w:p>
    <w:p w14:paraId="03E69305" w14:textId="77777777" w:rsidR="004931F2" w:rsidRPr="0002312D" w:rsidRDefault="004931F2" w:rsidP="004931F2">
      <w:pPr>
        <w:pStyle w:val="SingleTxtG"/>
        <w:numPr>
          <w:ilvl w:val="0"/>
          <w:numId w:val="23"/>
        </w:numPr>
        <w:tabs>
          <w:tab w:val="clear" w:pos="1701"/>
          <w:tab w:val="clear" w:pos="2268"/>
          <w:tab w:val="clear" w:pos="2835"/>
        </w:tabs>
        <w:ind w:left="1134" w:firstLine="0"/>
      </w:pPr>
      <w:r>
        <w:t>В то же время Япония понимает, что с учетом действующей в ЕЭК ООН процедуры внесения изменений, а также процесса омологации во всех регионах частое внесение изменений в данные Правила представляется нецелесообразным. Поэтому Япония поддержит GRPE, если будет решено вынести данную поправку на голосование в WP.29 в рамках консолидированного документа, включающего другие поправки, которые появятся в ближайшее время.</w:t>
      </w:r>
    </w:p>
    <w:p w14:paraId="3FA2D07A" w14:textId="77777777" w:rsidR="004931F2" w:rsidRPr="00455FE0" w:rsidRDefault="004931F2" w:rsidP="004931F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A661CA" w14:textId="77777777" w:rsidR="00E12C5F" w:rsidRPr="008D53B6" w:rsidRDefault="00E12C5F" w:rsidP="00D9145B"/>
    <w:sectPr w:rsidR="00E12C5F" w:rsidRPr="008D53B6" w:rsidSect="004931F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CEE8" w14:textId="77777777" w:rsidR="002244D9" w:rsidRPr="00A312BC" w:rsidRDefault="002244D9" w:rsidP="00A312BC"/>
  </w:endnote>
  <w:endnote w:type="continuationSeparator" w:id="0">
    <w:p w14:paraId="0458587F" w14:textId="77777777" w:rsidR="002244D9" w:rsidRPr="00A312BC" w:rsidRDefault="002244D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1CA" w14:textId="774721A3" w:rsidR="004931F2" w:rsidRPr="004931F2" w:rsidRDefault="004931F2">
    <w:pPr>
      <w:pStyle w:val="a8"/>
    </w:pPr>
    <w:r w:rsidRPr="004931F2">
      <w:rPr>
        <w:b/>
        <w:sz w:val="18"/>
      </w:rPr>
      <w:fldChar w:fldCharType="begin"/>
    </w:r>
    <w:r w:rsidRPr="004931F2">
      <w:rPr>
        <w:b/>
        <w:sz w:val="18"/>
      </w:rPr>
      <w:instrText xml:space="preserve"> PAGE  \* MERGEFORMAT </w:instrText>
    </w:r>
    <w:r w:rsidRPr="004931F2">
      <w:rPr>
        <w:b/>
        <w:sz w:val="18"/>
      </w:rPr>
      <w:fldChar w:fldCharType="separate"/>
    </w:r>
    <w:r w:rsidRPr="004931F2">
      <w:rPr>
        <w:b/>
        <w:noProof/>
        <w:sz w:val="18"/>
      </w:rPr>
      <w:t>2</w:t>
    </w:r>
    <w:r w:rsidRPr="004931F2">
      <w:rPr>
        <w:b/>
        <w:sz w:val="18"/>
      </w:rPr>
      <w:fldChar w:fldCharType="end"/>
    </w:r>
    <w:r>
      <w:rPr>
        <w:b/>
        <w:sz w:val="18"/>
      </w:rPr>
      <w:tab/>
    </w:r>
    <w:r>
      <w:t>GE.23-21096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BB19" w14:textId="024129C5" w:rsidR="004931F2" w:rsidRPr="004931F2" w:rsidRDefault="004931F2" w:rsidP="004931F2">
    <w:pPr>
      <w:pStyle w:val="a8"/>
      <w:tabs>
        <w:tab w:val="clear" w:pos="9639"/>
        <w:tab w:val="right" w:pos="9638"/>
      </w:tabs>
      <w:rPr>
        <w:b/>
        <w:sz w:val="18"/>
      </w:rPr>
    </w:pPr>
    <w:r>
      <w:t>GE.23-21096</w:t>
    </w:r>
    <w:r>
      <w:tab/>
    </w:r>
    <w:r w:rsidRPr="004931F2">
      <w:rPr>
        <w:b/>
        <w:sz w:val="18"/>
      </w:rPr>
      <w:fldChar w:fldCharType="begin"/>
    </w:r>
    <w:r w:rsidRPr="004931F2">
      <w:rPr>
        <w:b/>
        <w:sz w:val="18"/>
      </w:rPr>
      <w:instrText xml:space="preserve"> PAGE  \* MERGEFORMAT </w:instrText>
    </w:r>
    <w:r w:rsidRPr="004931F2">
      <w:rPr>
        <w:b/>
        <w:sz w:val="18"/>
      </w:rPr>
      <w:fldChar w:fldCharType="separate"/>
    </w:r>
    <w:r w:rsidRPr="004931F2">
      <w:rPr>
        <w:b/>
        <w:noProof/>
        <w:sz w:val="18"/>
      </w:rPr>
      <w:t>3</w:t>
    </w:r>
    <w:r w:rsidRPr="004931F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97B0" w14:textId="5F026ADA" w:rsidR="00042B72" w:rsidRPr="004931F2" w:rsidRDefault="004931F2" w:rsidP="004931F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53925B2" wp14:editId="231E6D1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23-21096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2BB56A6" wp14:editId="50E3F09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021123  141123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5BB8" w14:textId="77777777" w:rsidR="002244D9" w:rsidRPr="001075E9" w:rsidRDefault="002244D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3761999" w14:textId="77777777" w:rsidR="002244D9" w:rsidRDefault="002244D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424B1DC" w14:textId="77777777" w:rsidR="004931F2" w:rsidRDefault="004931F2" w:rsidP="004931F2">
      <w:pPr>
        <w:pStyle w:val="ad"/>
      </w:pPr>
      <w:r>
        <w:tab/>
      </w:r>
      <w:r w:rsidRPr="0069197D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32D8" w14:textId="124C3884" w:rsidR="004931F2" w:rsidRPr="004931F2" w:rsidRDefault="004931F2">
    <w:pPr>
      <w:pStyle w:val="a5"/>
    </w:pPr>
    <w:fldSimple w:instr=" TITLE  \* MERGEFORMAT ">
      <w:r w:rsidR="00A40C02">
        <w:t>ECE/TRANS/WP.29/GRPE/2024/11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A957" w14:textId="33FA0D85" w:rsidR="004931F2" w:rsidRPr="004931F2" w:rsidRDefault="004931F2" w:rsidP="004931F2">
    <w:pPr>
      <w:pStyle w:val="a5"/>
      <w:jc w:val="right"/>
    </w:pPr>
    <w:fldSimple w:instr=" TITLE  \* MERGEFORMAT ">
      <w:r w:rsidR="00A40C02">
        <w:t>ECE/TRANS/WP.29/GRPE/2024/11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2705593"/>
    <w:multiLevelType w:val="hybridMultilevel"/>
    <w:tmpl w:val="214CCA82"/>
    <w:lvl w:ilvl="0" w:tplc="216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36F84"/>
    <w:multiLevelType w:val="hybridMultilevel"/>
    <w:tmpl w:val="D8E8F72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0"/>
  </w:num>
  <w:num w:numId="4" w16cid:durableId="1492480875">
    <w:abstractNumId w:val="19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7"/>
  </w:num>
  <w:num w:numId="20" w16cid:durableId="807743971">
    <w:abstractNumId w:val="13"/>
  </w:num>
  <w:num w:numId="21" w16cid:durableId="1591162185">
    <w:abstractNumId w:val="15"/>
  </w:num>
  <w:num w:numId="22" w16cid:durableId="1016156924">
    <w:abstractNumId w:val="16"/>
  </w:num>
  <w:num w:numId="23" w16cid:durableId="162608603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D9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244D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931F2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9197D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3505"/>
    <w:rsid w:val="009A24AC"/>
    <w:rsid w:val="009C59D7"/>
    <w:rsid w:val="009C6FE6"/>
    <w:rsid w:val="009D7E7D"/>
    <w:rsid w:val="00A14DA8"/>
    <w:rsid w:val="00A312BC"/>
    <w:rsid w:val="00A40C02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86516"/>
  <w15:docId w15:val="{9BFF5C99-4339-4E08-B856-F84793A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,-E Fußnotentext,footnote text,Fußnotentext Ursprung,Footnote Text Char Char Char Char,Footnote Text1,Footnote Text Char Char Char,Fußnotentext Char1,Fußnotentext Char Char,Fußnotentext Char2,Fußn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4931F2"/>
    <w:rPr>
      <w:lang w:val="ru-RU" w:eastAsia="en-US"/>
    </w:rPr>
  </w:style>
  <w:style w:type="character" w:customStyle="1" w:styleId="HChGChar">
    <w:name w:val="_ H _Ch_G Char"/>
    <w:link w:val="HChG"/>
    <w:rsid w:val="004931F2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258F7-D1D7-47B9-B8D8-339ACD6F6541}"/>
</file>

<file path=customXml/itemProps2.xml><?xml version="1.0" encoding="utf-8"?>
<ds:datastoreItem xmlns:ds="http://schemas.openxmlformats.org/officeDocument/2006/customXml" ds:itemID="{F64BA5B7-30F3-4CA0-A8D0-EC52997A3DB2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666</Words>
  <Characters>4131</Characters>
  <Application>Microsoft Office Word</Application>
  <DocSecurity>0</DocSecurity>
  <Lines>375</Lines>
  <Paragraphs>159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ECE/TRANS/WP.29/GRPE/2024/11</dc:title>
  <dc:subject/>
  <dc:creator>No author</dc:creator>
  <cp:keywords/>
  <cp:lastModifiedBy>No author</cp:lastModifiedBy>
  <cp:revision>3</cp:revision>
  <cp:lastPrinted>2023-11-14T08:32:00Z</cp:lastPrinted>
  <dcterms:created xsi:type="dcterms:W3CDTF">2023-11-14T08:32:00Z</dcterms:created>
  <dcterms:modified xsi:type="dcterms:W3CDTF">2023-11-14T08:33:00Z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