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5A76D3" w14:paraId="4BFC7780" w14:textId="77777777" w:rsidTr="005316B0">
        <w:trPr>
          <w:trHeight w:hRule="exact" w:val="851"/>
        </w:trPr>
        <w:tc>
          <w:tcPr>
            <w:tcW w:w="1276" w:type="dxa"/>
            <w:tcBorders>
              <w:bottom w:val="single" w:sz="4" w:space="0" w:color="auto"/>
            </w:tcBorders>
          </w:tcPr>
          <w:p w14:paraId="30C58ABD" w14:textId="77777777" w:rsidR="001433FD" w:rsidRPr="00DB58B5" w:rsidRDefault="001433FD" w:rsidP="0001207F"/>
        </w:tc>
        <w:tc>
          <w:tcPr>
            <w:tcW w:w="2268" w:type="dxa"/>
            <w:tcBorders>
              <w:bottom w:val="single" w:sz="4" w:space="0" w:color="auto"/>
            </w:tcBorders>
            <w:vAlign w:val="bottom"/>
          </w:tcPr>
          <w:p w14:paraId="256853E5" w14:textId="77777777" w:rsidR="001433FD" w:rsidRPr="005A76D3" w:rsidRDefault="001433FD" w:rsidP="007D3236">
            <w:pPr>
              <w:spacing w:after="80" w:line="300" w:lineRule="exact"/>
              <w:rPr>
                <w:sz w:val="28"/>
              </w:rPr>
            </w:pPr>
            <w:r w:rsidRPr="005A76D3">
              <w:rPr>
                <w:sz w:val="28"/>
              </w:rPr>
              <w:t>Nations Unies</w:t>
            </w:r>
          </w:p>
        </w:tc>
        <w:tc>
          <w:tcPr>
            <w:tcW w:w="6095" w:type="dxa"/>
            <w:gridSpan w:val="2"/>
            <w:tcBorders>
              <w:bottom w:val="single" w:sz="4" w:space="0" w:color="auto"/>
            </w:tcBorders>
            <w:vAlign w:val="bottom"/>
          </w:tcPr>
          <w:p w14:paraId="2E674CDD" w14:textId="15DB7740" w:rsidR="001433FD" w:rsidRPr="003F488C" w:rsidRDefault="003F488C" w:rsidP="003F488C">
            <w:pPr>
              <w:jc w:val="right"/>
            </w:pPr>
            <w:r w:rsidRPr="003F488C">
              <w:rPr>
                <w:sz w:val="40"/>
              </w:rPr>
              <w:t>ECE</w:t>
            </w:r>
            <w:r>
              <w:t>/TRANS/WP.15/267</w:t>
            </w:r>
          </w:p>
        </w:tc>
      </w:tr>
      <w:tr w:rsidR="001433FD" w:rsidRPr="005A76D3" w14:paraId="35FA2B7B" w14:textId="77777777" w:rsidTr="007D3236">
        <w:trPr>
          <w:trHeight w:hRule="exact" w:val="2835"/>
        </w:trPr>
        <w:tc>
          <w:tcPr>
            <w:tcW w:w="1276" w:type="dxa"/>
            <w:tcBorders>
              <w:top w:val="single" w:sz="4" w:space="0" w:color="auto"/>
              <w:bottom w:val="single" w:sz="12" w:space="0" w:color="auto"/>
            </w:tcBorders>
          </w:tcPr>
          <w:p w14:paraId="2F8152B3" w14:textId="77777777" w:rsidR="001433FD" w:rsidRPr="005A76D3" w:rsidRDefault="001433FD" w:rsidP="007D3236">
            <w:pPr>
              <w:spacing w:before="120"/>
              <w:jc w:val="center"/>
            </w:pPr>
            <w:r w:rsidRPr="005A76D3">
              <w:rPr>
                <w:noProof/>
                <w:lang w:eastAsia="fr-CH"/>
              </w:rPr>
              <w:drawing>
                <wp:inline distT="0" distB="0" distL="0" distR="0" wp14:anchorId="4210F496" wp14:editId="1F83EBD2">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F4E77C5" w14:textId="77777777" w:rsidR="001433FD" w:rsidRPr="005A76D3" w:rsidRDefault="001433FD" w:rsidP="007D3236">
            <w:pPr>
              <w:spacing w:before="120" w:line="420" w:lineRule="exact"/>
              <w:rPr>
                <w:b/>
                <w:sz w:val="40"/>
                <w:szCs w:val="40"/>
              </w:rPr>
            </w:pPr>
            <w:r w:rsidRPr="005A76D3">
              <w:rPr>
                <w:b/>
                <w:sz w:val="40"/>
                <w:szCs w:val="40"/>
              </w:rPr>
              <w:t>Conseil économique et social</w:t>
            </w:r>
          </w:p>
        </w:tc>
        <w:tc>
          <w:tcPr>
            <w:tcW w:w="2835" w:type="dxa"/>
            <w:tcBorders>
              <w:top w:val="single" w:sz="4" w:space="0" w:color="auto"/>
              <w:bottom w:val="single" w:sz="12" w:space="0" w:color="auto"/>
            </w:tcBorders>
          </w:tcPr>
          <w:p w14:paraId="505572C5" w14:textId="77777777" w:rsidR="0001207F" w:rsidRPr="005A76D3" w:rsidRDefault="00A72344" w:rsidP="00A72344">
            <w:pPr>
              <w:spacing w:before="240" w:line="240" w:lineRule="exact"/>
            </w:pPr>
            <w:r w:rsidRPr="005A76D3">
              <w:t>Distr. générale</w:t>
            </w:r>
          </w:p>
          <w:p w14:paraId="7920BDDD" w14:textId="2745B1C3" w:rsidR="00A72344" w:rsidRPr="005A76D3" w:rsidRDefault="00A72344" w:rsidP="00A72344">
            <w:pPr>
              <w:spacing w:line="240" w:lineRule="exact"/>
            </w:pPr>
            <w:r w:rsidRPr="005A76D3">
              <w:t>1</w:t>
            </w:r>
            <w:r w:rsidR="001419B0" w:rsidRPr="005A76D3">
              <w:t>7</w:t>
            </w:r>
            <w:r w:rsidRPr="005A76D3">
              <w:t xml:space="preserve"> avril 2024</w:t>
            </w:r>
          </w:p>
          <w:p w14:paraId="7820C05E" w14:textId="3D657369" w:rsidR="00A72344" w:rsidRPr="005A76D3" w:rsidRDefault="00495128" w:rsidP="00A72344">
            <w:pPr>
              <w:spacing w:line="240" w:lineRule="exact"/>
            </w:pPr>
            <w:r w:rsidRPr="005A76D3">
              <w:t>Français</w:t>
            </w:r>
          </w:p>
          <w:p w14:paraId="1B80C45F" w14:textId="5802F3BF" w:rsidR="00A72344" w:rsidRPr="005A76D3" w:rsidRDefault="00A72344" w:rsidP="00A72344">
            <w:pPr>
              <w:spacing w:line="240" w:lineRule="exact"/>
            </w:pPr>
            <w:r w:rsidRPr="005A76D3">
              <w:t xml:space="preserve">Original : </w:t>
            </w:r>
            <w:r w:rsidR="00495128" w:rsidRPr="005A76D3">
              <w:t xml:space="preserve">anglais et </w:t>
            </w:r>
            <w:r w:rsidRPr="005A76D3">
              <w:t>français</w:t>
            </w:r>
          </w:p>
        </w:tc>
      </w:tr>
    </w:tbl>
    <w:p w14:paraId="651557DD" w14:textId="77777777" w:rsidR="00A72344" w:rsidRPr="005A76D3" w:rsidRDefault="00A72344" w:rsidP="00FD1581">
      <w:pPr>
        <w:spacing w:before="120"/>
        <w:rPr>
          <w:b/>
          <w:sz w:val="28"/>
          <w:szCs w:val="28"/>
        </w:rPr>
      </w:pPr>
      <w:r w:rsidRPr="005A76D3">
        <w:rPr>
          <w:b/>
          <w:sz w:val="28"/>
          <w:szCs w:val="28"/>
        </w:rPr>
        <w:t>Commission économique pour l’Europe</w:t>
      </w:r>
    </w:p>
    <w:p w14:paraId="7ED8966B" w14:textId="77777777" w:rsidR="00A72344" w:rsidRPr="005A76D3" w:rsidRDefault="00A72344" w:rsidP="00FD1581">
      <w:pPr>
        <w:spacing w:before="120"/>
        <w:rPr>
          <w:sz w:val="28"/>
          <w:szCs w:val="28"/>
        </w:rPr>
      </w:pPr>
      <w:r w:rsidRPr="005A76D3">
        <w:rPr>
          <w:sz w:val="28"/>
          <w:szCs w:val="28"/>
        </w:rPr>
        <w:t>Comité des transports intérieurs</w:t>
      </w:r>
    </w:p>
    <w:p w14:paraId="560F7E9B" w14:textId="77777777" w:rsidR="00A72344" w:rsidRPr="005A76D3" w:rsidRDefault="00A72344" w:rsidP="00FD1581">
      <w:pPr>
        <w:spacing w:before="120"/>
        <w:rPr>
          <w:b/>
          <w:sz w:val="24"/>
          <w:szCs w:val="24"/>
        </w:rPr>
      </w:pPr>
      <w:r w:rsidRPr="005A76D3">
        <w:rPr>
          <w:b/>
          <w:sz w:val="24"/>
          <w:szCs w:val="24"/>
        </w:rPr>
        <w:t xml:space="preserve">Groupe de travail des transports </w:t>
      </w:r>
      <w:r w:rsidRPr="005A76D3">
        <w:rPr>
          <w:b/>
          <w:sz w:val="24"/>
          <w:szCs w:val="24"/>
        </w:rPr>
        <w:br/>
        <w:t>de marchandises dangereuses</w:t>
      </w:r>
    </w:p>
    <w:p w14:paraId="3B29EAEE" w14:textId="77777777" w:rsidR="00AA28D8" w:rsidRPr="005A76D3" w:rsidRDefault="00AA28D8" w:rsidP="00AA28D8">
      <w:pPr>
        <w:spacing w:before="120"/>
        <w:rPr>
          <w:rFonts w:eastAsia="SimSun"/>
          <w:b/>
        </w:rPr>
      </w:pPr>
      <w:r w:rsidRPr="005A76D3">
        <w:rPr>
          <w:b/>
          <w:bCs/>
          <w:lang w:val="fr-FR"/>
        </w:rPr>
        <w:t>115</w:t>
      </w:r>
      <w:r w:rsidRPr="005A76D3">
        <w:rPr>
          <w:b/>
          <w:bCs/>
          <w:vertAlign w:val="superscript"/>
          <w:lang w:val="fr-FR"/>
        </w:rPr>
        <w:t>e</w:t>
      </w:r>
      <w:r w:rsidRPr="005A76D3">
        <w:rPr>
          <w:b/>
          <w:bCs/>
          <w:lang w:val="fr-FR"/>
        </w:rPr>
        <w:t xml:space="preserve"> session</w:t>
      </w:r>
      <w:r w:rsidRPr="005A76D3">
        <w:rPr>
          <w:lang w:val="fr-FR"/>
        </w:rPr>
        <w:t xml:space="preserve"> </w:t>
      </w:r>
    </w:p>
    <w:p w14:paraId="522690B7" w14:textId="77777777" w:rsidR="00AA28D8" w:rsidRPr="005A76D3" w:rsidRDefault="00AA28D8" w:rsidP="00AA28D8">
      <w:pPr>
        <w:rPr>
          <w:rFonts w:eastAsia="SimSun"/>
        </w:rPr>
      </w:pPr>
      <w:r w:rsidRPr="005A76D3">
        <w:rPr>
          <w:lang w:val="fr-FR"/>
        </w:rPr>
        <w:t>Genève, 2-5 avril 2024</w:t>
      </w:r>
    </w:p>
    <w:p w14:paraId="1CE9B8F2" w14:textId="4DEF1694" w:rsidR="00076A76" w:rsidRPr="005A76D3" w:rsidRDefault="00076A76" w:rsidP="00076A76">
      <w:pPr>
        <w:pStyle w:val="HChG"/>
        <w:rPr>
          <w:lang w:val="fr-FR"/>
        </w:rPr>
      </w:pPr>
      <w:r w:rsidRPr="005A76D3">
        <w:tab/>
      </w:r>
      <w:r w:rsidRPr="005A76D3">
        <w:tab/>
      </w:r>
      <w:r w:rsidRPr="005A76D3">
        <w:rPr>
          <w:lang w:val="fr-FR"/>
        </w:rPr>
        <w:t>Rapport du Groupe de travail sur sa 115</w:t>
      </w:r>
      <w:r w:rsidRPr="005A76D3">
        <w:rPr>
          <w:vertAlign w:val="superscript"/>
          <w:lang w:val="fr-FR"/>
        </w:rPr>
        <w:t>e</w:t>
      </w:r>
      <w:r w:rsidRPr="005A76D3">
        <w:rPr>
          <w:lang w:val="fr-FR"/>
        </w:rPr>
        <w:t xml:space="preserve"> session</w:t>
      </w:r>
    </w:p>
    <w:p w14:paraId="4D68E113" w14:textId="70AE4CF7" w:rsidR="00076A76" w:rsidRPr="005A76D3" w:rsidRDefault="00076A76" w:rsidP="00076A76">
      <w:pPr>
        <w:pStyle w:val="SingleTxtG"/>
        <w:rPr>
          <w:lang w:val="fr-FR"/>
        </w:rPr>
      </w:pPr>
      <w:r w:rsidRPr="005A76D3">
        <w:rPr>
          <w:lang w:val="fr-FR"/>
        </w:rPr>
        <w:t>tenue à Genève du 2 au 5 avril 2024</w:t>
      </w:r>
    </w:p>
    <w:p w14:paraId="198713E9" w14:textId="77777777" w:rsidR="00A70381" w:rsidRPr="005A76D3" w:rsidRDefault="00A70381" w:rsidP="00A70381">
      <w:pPr>
        <w:rPr>
          <w:sz w:val="28"/>
          <w:szCs w:val="28"/>
          <w:lang w:val="fr-FR"/>
        </w:rPr>
      </w:pPr>
      <w:r w:rsidRPr="005A76D3">
        <w:rPr>
          <w:sz w:val="28"/>
        </w:rPr>
        <w:t>Table des matières</w:t>
      </w:r>
    </w:p>
    <w:p w14:paraId="6E138F62" w14:textId="77777777" w:rsidR="00A70381" w:rsidRPr="005A76D3" w:rsidRDefault="00A70381" w:rsidP="00A70381">
      <w:pPr>
        <w:tabs>
          <w:tab w:val="right" w:pos="8929"/>
          <w:tab w:val="right" w:pos="9638"/>
        </w:tabs>
        <w:spacing w:after="120"/>
        <w:ind w:left="283"/>
      </w:pPr>
      <w:r w:rsidRPr="005A76D3">
        <w:rPr>
          <w:i/>
          <w:sz w:val="18"/>
        </w:rPr>
        <w:tab/>
        <w:t>Paragraphes</w:t>
      </w:r>
      <w:r w:rsidRPr="005A76D3">
        <w:rPr>
          <w:i/>
          <w:sz w:val="18"/>
        </w:rPr>
        <w:tab/>
        <w:t>Page</w:t>
      </w:r>
    </w:p>
    <w:p w14:paraId="7F709636" w14:textId="77777777" w:rsidR="00A70381" w:rsidRPr="005A76D3" w:rsidRDefault="00A70381" w:rsidP="00A70381">
      <w:pPr>
        <w:tabs>
          <w:tab w:val="right" w:pos="850"/>
          <w:tab w:val="left" w:pos="1134"/>
          <w:tab w:val="left" w:pos="1559"/>
          <w:tab w:val="left" w:pos="1984"/>
          <w:tab w:val="left" w:leader="dot" w:pos="7654"/>
          <w:tab w:val="right" w:pos="8929"/>
          <w:tab w:val="right" w:pos="9638"/>
        </w:tabs>
        <w:spacing w:after="120"/>
        <w:rPr>
          <w:b/>
          <w:bCs/>
        </w:rPr>
      </w:pPr>
      <w:r w:rsidRPr="005A76D3">
        <w:tab/>
        <w:t>I.</w:t>
      </w:r>
      <w:r w:rsidRPr="005A76D3">
        <w:tab/>
        <w:t>Participation</w:t>
      </w:r>
      <w:r w:rsidRPr="005A76D3">
        <w:tab/>
      </w:r>
      <w:r w:rsidRPr="005A76D3">
        <w:tab/>
        <w:t>1-5</w:t>
      </w:r>
      <w:r w:rsidRPr="005A76D3">
        <w:tab/>
        <w:t>3</w:t>
      </w:r>
    </w:p>
    <w:p w14:paraId="1D3FA050" w14:textId="77777777" w:rsidR="00A70381" w:rsidRPr="005A76D3" w:rsidRDefault="00A70381" w:rsidP="00A70381">
      <w:pPr>
        <w:tabs>
          <w:tab w:val="right" w:pos="850"/>
          <w:tab w:val="left" w:pos="1134"/>
          <w:tab w:val="left" w:pos="1559"/>
          <w:tab w:val="left" w:pos="1984"/>
          <w:tab w:val="left" w:leader="dot" w:pos="7654"/>
          <w:tab w:val="right" w:pos="8929"/>
          <w:tab w:val="right" w:pos="9638"/>
        </w:tabs>
        <w:spacing w:after="120"/>
      </w:pPr>
      <w:r w:rsidRPr="005A76D3">
        <w:tab/>
        <w:t>II.</w:t>
      </w:r>
      <w:r w:rsidRPr="005A76D3">
        <w:tab/>
      </w:r>
      <w:r w:rsidRPr="005A76D3">
        <w:rPr>
          <w:lang w:val="fr-FR"/>
        </w:rPr>
        <w:t>Adoption de l’ordre du jour (point 1 de l’ordre du jour)</w:t>
      </w:r>
      <w:r w:rsidRPr="005A76D3">
        <w:tab/>
      </w:r>
      <w:r w:rsidRPr="005A76D3">
        <w:tab/>
        <w:t>6</w:t>
      </w:r>
      <w:r w:rsidRPr="005A76D3">
        <w:tab/>
        <w:t>3</w:t>
      </w:r>
    </w:p>
    <w:p w14:paraId="2CF5D8EF" w14:textId="77777777" w:rsidR="00A70381" w:rsidRPr="005A76D3" w:rsidRDefault="00A70381" w:rsidP="00A70381">
      <w:pPr>
        <w:tabs>
          <w:tab w:val="right" w:pos="850"/>
          <w:tab w:val="left" w:pos="1134"/>
          <w:tab w:val="left" w:pos="1559"/>
          <w:tab w:val="left" w:pos="1984"/>
          <w:tab w:val="left" w:leader="dot" w:pos="7654"/>
          <w:tab w:val="right" w:pos="8929"/>
          <w:tab w:val="right" w:pos="9638"/>
        </w:tabs>
        <w:spacing w:after="120"/>
      </w:pPr>
      <w:r w:rsidRPr="005A76D3">
        <w:tab/>
        <w:t>III.</w:t>
      </w:r>
      <w:r w:rsidRPr="005A76D3">
        <w:tab/>
      </w:r>
      <w:r w:rsidRPr="005A76D3">
        <w:rPr>
          <w:bCs/>
          <w:lang w:eastAsia="en-US"/>
        </w:rPr>
        <w:t xml:space="preserve">Quatre-vingt-sixième session du Comité des transports intérieurs </w:t>
      </w:r>
      <w:r w:rsidRPr="005A76D3">
        <w:rPr>
          <w:lang w:eastAsia="en-US"/>
        </w:rPr>
        <w:br/>
      </w:r>
      <w:r w:rsidRPr="005A76D3">
        <w:rPr>
          <w:lang w:eastAsia="en-US"/>
        </w:rPr>
        <w:tab/>
      </w:r>
      <w:r w:rsidRPr="005A76D3">
        <w:rPr>
          <w:lang w:eastAsia="en-US"/>
        </w:rPr>
        <w:tab/>
        <w:t>(point 2 de l’ordre du jour)</w:t>
      </w:r>
      <w:r w:rsidRPr="005A76D3">
        <w:rPr>
          <w:lang w:eastAsia="en-US"/>
        </w:rPr>
        <w:tab/>
      </w:r>
      <w:r w:rsidRPr="005A76D3">
        <w:rPr>
          <w:lang w:eastAsia="en-US"/>
        </w:rPr>
        <w:tab/>
        <w:t>7-11</w:t>
      </w:r>
      <w:r w:rsidRPr="005A76D3">
        <w:rPr>
          <w:lang w:eastAsia="en-US"/>
        </w:rPr>
        <w:tab/>
        <w:t>3</w:t>
      </w:r>
    </w:p>
    <w:p w14:paraId="6E900151"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34" w:hanging="1134"/>
        <w:rPr>
          <w:bCs/>
          <w:lang w:eastAsia="en-US"/>
        </w:rPr>
      </w:pPr>
      <w:r w:rsidRPr="005A76D3">
        <w:rPr>
          <w:bCs/>
        </w:rPr>
        <w:tab/>
      </w:r>
      <w:r w:rsidRPr="005A76D3">
        <w:rPr>
          <w:bCs/>
          <w:lang w:eastAsia="en-US"/>
        </w:rPr>
        <w:t>IV.</w:t>
      </w:r>
      <w:r w:rsidRPr="005A76D3">
        <w:rPr>
          <w:bCs/>
          <w:lang w:eastAsia="en-US"/>
        </w:rPr>
        <w:tab/>
        <w:t xml:space="preserve">État de l’Accord relatif au transport international des marchandises dangereuses </w:t>
      </w:r>
      <w:r w:rsidRPr="005A76D3">
        <w:rPr>
          <w:bCs/>
          <w:lang w:eastAsia="en-US"/>
        </w:rPr>
        <w:br/>
        <w:t>par route (ADR) et questions connexes (point 3 de l’ordre du jour)</w:t>
      </w:r>
      <w:r w:rsidRPr="005A76D3">
        <w:rPr>
          <w:bCs/>
          <w:lang w:eastAsia="en-US"/>
        </w:rPr>
        <w:tab/>
      </w:r>
      <w:r w:rsidRPr="005A76D3">
        <w:rPr>
          <w:bCs/>
          <w:lang w:eastAsia="en-US"/>
        </w:rPr>
        <w:tab/>
        <w:t>12-15</w:t>
      </w:r>
      <w:r w:rsidRPr="005A76D3">
        <w:rPr>
          <w:bCs/>
          <w:lang w:eastAsia="en-US"/>
        </w:rPr>
        <w:tab/>
        <w:t>4</w:t>
      </w:r>
    </w:p>
    <w:p w14:paraId="258F7EFB"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0"/>
        <w:rPr>
          <w:bCs/>
          <w:lang w:eastAsia="en-US"/>
        </w:rPr>
      </w:pPr>
      <w:r w:rsidRPr="005A76D3">
        <w:rPr>
          <w:rFonts w:eastAsia="Calibri"/>
          <w:bCs/>
          <w:lang w:val="fr-FR" w:eastAsia="en-US"/>
        </w:rPr>
        <w:t>A.</w:t>
      </w:r>
      <w:r w:rsidRPr="005A76D3">
        <w:rPr>
          <w:rFonts w:eastAsia="Calibri"/>
          <w:bCs/>
          <w:lang w:val="fr-FR" w:eastAsia="en-US"/>
        </w:rPr>
        <w:tab/>
        <w:t>État de l’Accord</w:t>
      </w:r>
      <w:r w:rsidRPr="005A76D3">
        <w:rPr>
          <w:rFonts w:eastAsia="Calibri"/>
          <w:bCs/>
          <w:lang w:val="fr-FR" w:eastAsia="en-US"/>
        </w:rPr>
        <w:tab/>
      </w:r>
      <w:r w:rsidRPr="005A76D3">
        <w:rPr>
          <w:rFonts w:eastAsia="Calibri"/>
          <w:bCs/>
          <w:lang w:val="fr-FR" w:eastAsia="en-US"/>
        </w:rPr>
        <w:tab/>
        <w:t>12</w:t>
      </w:r>
      <w:r w:rsidRPr="005A76D3">
        <w:rPr>
          <w:rFonts w:eastAsia="Calibri"/>
          <w:bCs/>
          <w:lang w:val="fr-FR" w:eastAsia="en-US"/>
        </w:rPr>
        <w:tab/>
        <w:t>4</w:t>
      </w:r>
    </w:p>
    <w:p w14:paraId="0D073515"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0"/>
      </w:pPr>
      <w:r w:rsidRPr="005A76D3">
        <w:t>B.</w:t>
      </w:r>
      <w:r w:rsidRPr="005A76D3">
        <w:tab/>
        <w:t>Protocole d’amendement de 1993</w:t>
      </w:r>
      <w:r w:rsidRPr="005A76D3">
        <w:tab/>
      </w:r>
      <w:r w:rsidRPr="005A76D3">
        <w:tab/>
        <w:t>13</w:t>
      </w:r>
      <w:r w:rsidRPr="005A76D3">
        <w:tab/>
        <w:t>4</w:t>
      </w:r>
    </w:p>
    <w:p w14:paraId="688C2E8F"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0"/>
      </w:pPr>
      <w:r w:rsidRPr="005A76D3">
        <w:t>C.</w:t>
      </w:r>
      <w:r w:rsidRPr="005A76D3">
        <w:tab/>
      </w:r>
      <w:r w:rsidRPr="005A76D3">
        <w:rPr>
          <w:lang w:val="fr-FR"/>
        </w:rPr>
        <w:t>Traduction de l’ADR en langue arabe</w:t>
      </w:r>
      <w:r w:rsidRPr="005A76D3">
        <w:tab/>
      </w:r>
      <w:r w:rsidRPr="005A76D3">
        <w:tab/>
        <w:t>14-15</w:t>
      </w:r>
      <w:r w:rsidRPr="005A76D3">
        <w:tab/>
        <w:t>4</w:t>
      </w:r>
    </w:p>
    <w:p w14:paraId="64E30C2C" w14:textId="1976FFBC"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firstLine="709"/>
      </w:pPr>
      <w:r w:rsidRPr="005A76D3">
        <w:t>V.</w:t>
      </w:r>
      <w:r w:rsidRPr="005A76D3">
        <w:tab/>
        <w:t>Travaux de la réunion commune RID/ADR/ADN (point 4 de l’ordre du jour)</w:t>
      </w:r>
      <w:r w:rsidRPr="005A76D3">
        <w:tab/>
      </w:r>
      <w:r w:rsidRPr="005A76D3">
        <w:tab/>
        <w:t>16-2</w:t>
      </w:r>
      <w:r w:rsidR="002833BC" w:rsidRPr="005A76D3">
        <w:t>9</w:t>
      </w:r>
      <w:r w:rsidRPr="005A76D3">
        <w:tab/>
        <w:t>4</w:t>
      </w:r>
    </w:p>
    <w:p w14:paraId="7556E739"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pPr>
      <w:r w:rsidRPr="005A76D3">
        <w:t>A.</w:t>
      </w:r>
      <w:r w:rsidRPr="005A76D3">
        <w:tab/>
        <w:t>Points en suspens</w:t>
      </w:r>
      <w:r w:rsidRPr="005A76D3">
        <w:tab/>
      </w:r>
      <w:r w:rsidRPr="005A76D3">
        <w:tab/>
        <w:t>16</w:t>
      </w:r>
      <w:r w:rsidRPr="005A76D3">
        <w:tab/>
        <w:t>4</w:t>
      </w:r>
    </w:p>
    <w:p w14:paraId="21F15D7C" w14:textId="77777777" w:rsidR="00A70381" w:rsidRPr="005A76D3" w:rsidRDefault="00A70381" w:rsidP="00A70381">
      <w:pPr>
        <w:tabs>
          <w:tab w:val="right" w:pos="851"/>
          <w:tab w:val="left" w:pos="1560"/>
          <w:tab w:val="left" w:pos="1984"/>
          <w:tab w:val="left" w:leader="dot" w:pos="7654"/>
          <w:tab w:val="right" w:pos="8929"/>
          <w:tab w:val="right" w:pos="9638"/>
        </w:tabs>
        <w:spacing w:after="120"/>
        <w:ind w:left="1560" w:hanging="416"/>
      </w:pPr>
      <w:r w:rsidRPr="005A76D3">
        <w:t>B.</w:t>
      </w:r>
      <w:r w:rsidRPr="005A76D3">
        <w:tab/>
        <w:t>Amendements proposés par la Réunion commune à sa session</w:t>
      </w:r>
      <w:r w:rsidRPr="005A76D3">
        <w:br/>
        <w:t>de printemps 2024 pour entrée en vigueur le 1er</w:t>
      </w:r>
      <w:r w:rsidRPr="005A76D3">
        <w:rPr>
          <w:vertAlign w:val="superscript"/>
        </w:rPr>
        <w:t xml:space="preserve"> </w:t>
      </w:r>
      <w:r w:rsidRPr="005A76D3">
        <w:t>janvier 2025</w:t>
      </w:r>
      <w:r w:rsidRPr="005A76D3">
        <w:tab/>
      </w:r>
      <w:r w:rsidRPr="005A76D3">
        <w:tab/>
        <w:t>17-21</w:t>
      </w:r>
      <w:r w:rsidRPr="005A76D3">
        <w:tab/>
        <w:t>5</w:t>
      </w:r>
    </w:p>
    <w:p w14:paraId="439C278D"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984" w:hanging="840"/>
      </w:pPr>
      <w:r w:rsidRPr="005A76D3">
        <w:t>C.</w:t>
      </w:r>
      <w:r w:rsidRPr="005A76D3">
        <w:tab/>
        <w:t>Corrections des amendements déjà adoptés</w:t>
      </w:r>
      <w:r w:rsidRPr="005A76D3">
        <w:tab/>
      </w:r>
      <w:r w:rsidRPr="005A76D3">
        <w:tab/>
        <w:t>22</w:t>
      </w:r>
      <w:r w:rsidRPr="005A76D3">
        <w:tab/>
        <w:t>5</w:t>
      </w:r>
    </w:p>
    <w:p w14:paraId="58A62D54" w14:textId="77777777" w:rsidR="00A70381" w:rsidRPr="005A76D3" w:rsidRDefault="00A70381" w:rsidP="00A70381">
      <w:pPr>
        <w:tabs>
          <w:tab w:val="right" w:pos="851"/>
          <w:tab w:val="left" w:pos="1134"/>
          <w:tab w:val="left" w:pos="1560"/>
          <w:tab w:val="left" w:pos="1701"/>
          <w:tab w:val="left" w:leader="dot" w:pos="7654"/>
          <w:tab w:val="right" w:pos="8929"/>
          <w:tab w:val="right" w:pos="9638"/>
        </w:tabs>
        <w:spacing w:after="120"/>
        <w:ind w:left="1560" w:hanging="416"/>
      </w:pPr>
      <w:r w:rsidRPr="005A76D3">
        <w:t>D.</w:t>
      </w:r>
      <w:r w:rsidRPr="005A76D3">
        <w:tab/>
        <w:t>Amendements proposés par la Réunion commune à sa session</w:t>
      </w:r>
      <w:r w:rsidRPr="005A76D3">
        <w:br/>
        <w:t>de printemps 2024 pour entrée en vigueur le 1er</w:t>
      </w:r>
      <w:r w:rsidRPr="005A76D3">
        <w:rPr>
          <w:vertAlign w:val="superscript"/>
        </w:rPr>
        <w:t xml:space="preserve"> </w:t>
      </w:r>
      <w:r w:rsidRPr="005A76D3">
        <w:t>janvier 2027</w:t>
      </w:r>
      <w:r w:rsidRPr="005A76D3">
        <w:tab/>
      </w:r>
      <w:r w:rsidRPr="005A76D3">
        <w:tab/>
        <w:t>23-25</w:t>
      </w:r>
      <w:r w:rsidRPr="005A76D3">
        <w:tab/>
        <w:t>5</w:t>
      </w:r>
    </w:p>
    <w:p w14:paraId="7A25D8F0"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984" w:hanging="840"/>
      </w:pPr>
      <w:r w:rsidRPr="005A76D3">
        <w:t>E.</w:t>
      </w:r>
      <w:r w:rsidRPr="005A76D3">
        <w:tab/>
        <w:t>Définition des véhicules couverts</w:t>
      </w:r>
      <w:r w:rsidRPr="005A76D3">
        <w:tab/>
      </w:r>
      <w:r w:rsidRPr="005A76D3">
        <w:tab/>
        <w:t>26-28</w:t>
      </w:r>
      <w:r w:rsidRPr="005A76D3">
        <w:tab/>
        <w:t>6</w:t>
      </w:r>
    </w:p>
    <w:p w14:paraId="19005ED5"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984" w:hanging="840"/>
      </w:pPr>
      <w:r w:rsidRPr="005A76D3">
        <w:t>F.</w:t>
      </w:r>
      <w:r w:rsidRPr="005A76D3">
        <w:tab/>
      </w:r>
      <w:r w:rsidRPr="005A76D3">
        <w:rPr>
          <w:lang w:val="fr-FR"/>
        </w:rPr>
        <w:t>Groupe de travail informel de l’apprentissage en ligne</w:t>
      </w:r>
      <w:r w:rsidRPr="005A76D3">
        <w:tab/>
      </w:r>
      <w:r w:rsidRPr="005A76D3">
        <w:tab/>
        <w:t>29</w:t>
      </w:r>
      <w:r w:rsidRPr="005A76D3">
        <w:tab/>
        <w:t>6</w:t>
      </w:r>
    </w:p>
    <w:p w14:paraId="3E42DDBB"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29" w:hanging="420"/>
        <w:rPr>
          <w:lang w:eastAsia="en-US"/>
        </w:rPr>
      </w:pPr>
      <w:r w:rsidRPr="005A76D3">
        <w:tab/>
        <w:t>VI.</w:t>
      </w:r>
      <w:r w:rsidRPr="005A76D3">
        <w:tab/>
      </w:r>
      <w:r w:rsidRPr="005A76D3">
        <w:rPr>
          <w:lang w:eastAsia="en-US"/>
        </w:rPr>
        <w:t xml:space="preserve">Propositions d’amendements aux annexes A et B de l’ADR </w:t>
      </w:r>
      <w:r w:rsidRPr="005A76D3">
        <w:rPr>
          <w:lang w:eastAsia="en-US"/>
        </w:rPr>
        <w:br/>
        <w:t>(point 5 de l’ordre du jour)</w:t>
      </w:r>
      <w:r w:rsidRPr="005A76D3">
        <w:rPr>
          <w:lang w:eastAsia="en-US"/>
        </w:rPr>
        <w:tab/>
      </w:r>
      <w:r w:rsidRPr="005A76D3">
        <w:rPr>
          <w:lang w:eastAsia="en-US"/>
        </w:rPr>
        <w:tab/>
        <w:t>30-57</w:t>
      </w:r>
      <w:r w:rsidRPr="005A76D3">
        <w:rPr>
          <w:lang w:eastAsia="en-US"/>
        </w:rPr>
        <w:tab/>
        <w:t>6</w:t>
      </w:r>
    </w:p>
    <w:p w14:paraId="26412C4C"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pPr>
      <w:r w:rsidRPr="005A76D3">
        <w:lastRenderedPageBreak/>
        <w:t>A.</w:t>
      </w:r>
      <w:r w:rsidRPr="005A76D3">
        <w:tab/>
        <w:t>Construction et agrément des véhicules</w:t>
      </w:r>
      <w:r w:rsidRPr="005A76D3">
        <w:tab/>
      </w:r>
      <w:r w:rsidRPr="005A76D3">
        <w:tab/>
        <w:t>30-53</w:t>
      </w:r>
      <w:r w:rsidRPr="005A76D3">
        <w:tab/>
        <w:t>6</w:t>
      </w:r>
    </w:p>
    <w:p w14:paraId="2D4D1F86" w14:textId="77777777" w:rsidR="00A70381" w:rsidRPr="005A76D3" w:rsidRDefault="00A70381" w:rsidP="00A70381">
      <w:pPr>
        <w:tabs>
          <w:tab w:val="right" w:pos="851"/>
          <w:tab w:val="left" w:pos="1144"/>
          <w:tab w:val="left" w:pos="1560"/>
          <w:tab w:val="left" w:pos="1984"/>
          <w:tab w:val="left" w:leader="dot" w:pos="7654"/>
          <w:tab w:val="right" w:pos="8929"/>
          <w:tab w:val="right" w:pos="9638"/>
        </w:tabs>
        <w:spacing w:after="120"/>
        <w:ind w:left="1144"/>
      </w:pPr>
      <w:r w:rsidRPr="005A76D3">
        <w:rPr>
          <w:lang w:val="fr-FR"/>
        </w:rPr>
        <w:tab/>
        <w:t>1.</w:t>
      </w:r>
      <w:r w:rsidRPr="005A76D3">
        <w:rPr>
          <w:lang w:val="fr-FR"/>
        </w:rPr>
        <w:tab/>
        <w:t xml:space="preserve">Système d'extinction d'incendie pour les compartiments moteurs et </w:t>
      </w:r>
      <w:r w:rsidRPr="005A76D3">
        <w:rPr>
          <w:lang w:val="fr-FR"/>
        </w:rPr>
        <w:br/>
      </w:r>
      <w:r w:rsidRPr="005A76D3">
        <w:rPr>
          <w:lang w:val="fr-FR"/>
        </w:rPr>
        <w:tab/>
      </w:r>
      <w:r w:rsidRPr="005A76D3">
        <w:rPr>
          <w:lang w:val="fr-FR"/>
        </w:rPr>
        <w:tab/>
        <w:t>protection thermique des roues</w:t>
      </w:r>
      <w:r w:rsidRPr="005A76D3">
        <w:rPr>
          <w:lang w:val="fr-FR"/>
        </w:rPr>
        <w:tab/>
      </w:r>
      <w:r w:rsidRPr="005A76D3">
        <w:rPr>
          <w:lang w:val="fr-FR"/>
        </w:rPr>
        <w:tab/>
        <w:t>30-33</w:t>
      </w:r>
      <w:r w:rsidRPr="005A76D3">
        <w:rPr>
          <w:lang w:val="fr-FR"/>
        </w:rPr>
        <w:tab/>
        <w:t>6</w:t>
      </w:r>
    </w:p>
    <w:p w14:paraId="02BF2F33"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144"/>
      </w:pPr>
      <w:r w:rsidRPr="005A76D3">
        <w:tab/>
        <w:t>2.</w:t>
      </w:r>
      <w:r w:rsidRPr="005A76D3">
        <w:tab/>
      </w:r>
      <w:r w:rsidRPr="005A76D3">
        <w:rPr>
          <w:lang w:val="fr-FR"/>
        </w:rPr>
        <w:t>Véhicules électrifiés à batteries et véhicules alimentés à l’hydrogène</w:t>
      </w:r>
      <w:r w:rsidRPr="005A76D3">
        <w:tab/>
      </w:r>
      <w:r w:rsidRPr="005A76D3">
        <w:tab/>
        <w:t>34-43</w:t>
      </w:r>
      <w:r w:rsidRPr="005A76D3">
        <w:tab/>
        <w:t>7</w:t>
      </w:r>
    </w:p>
    <w:p w14:paraId="7B8270FE" w14:textId="6A2115AE"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984" w:hanging="840"/>
      </w:pPr>
      <w:r w:rsidRPr="005A76D3">
        <w:tab/>
        <w:t>3.</w:t>
      </w:r>
      <w:r w:rsidRPr="005A76D3">
        <w:tab/>
      </w:r>
      <w:r w:rsidRPr="005A76D3">
        <w:rPr>
          <w:lang w:val="fr-FR"/>
        </w:rPr>
        <w:tab/>
        <w:t>Tableau du 9.2.1.1</w:t>
      </w:r>
      <w:r w:rsidRPr="005A76D3">
        <w:rPr>
          <w:lang w:val="fr-FR"/>
        </w:rPr>
        <w:tab/>
      </w:r>
      <w:r w:rsidRPr="005A76D3">
        <w:rPr>
          <w:lang w:val="fr-FR"/>
        </w:rPr>
        <w:tab/>
        <w:t>44-45</w:t>
      </w:r>
      <w:r w:rsidRPr="005A76D3">
        <w:rPr>
          <w:lang w:val="fr-FR"/>
        </w:rPr>
        <w:tab/>
      </w:r>
      <w:r w:rsidR="001B528F">
        <w:rPr>
          <w:lang w:val="fr-FR"/>
        </w:rPr>
        <w:t>8</w:t>
      </w:r>
    </w:p>
    <w:p w14:paraId="5635CCB1"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984" w:hanging="840"/>
        <w:rPr>
          <w:lang w:eastAsia="fr-FR"/>
        </w:rPr>
      </w:pPr>
      <w:r w:rsidRPr="005A76D3">
        <w:tab/>
        <w:t>4.</w:t>
      </w:r>
      <w:r w:rsidRPr="005A76D3">
        <w:tab/>
      </w:r>
      <w:r w:rsidRPr="005A76D3">
        <w:rPr>
          <w:lang w:eastAsia="fr-FR"/>
        </w:rPr>
        <w:tab/>
      </w:r>
      <w:r w:rsidRPr="005A76D3">
        <w:rPr>
          <w:lang w:val="fr-FR"/>
        </w:rPr>
        <w:t xml:space="preserve">Circuits exemptés de la protection par fusible ou par disjoncteur </w:t>
      </w:r>
      <w:r w:rsidRPr="005A76D3">
        <w:rPr>
          <w:lang w:val="fr-FR"/>
        </w:rPr>
        <w:br/>
        <w:t>automatique</w:t>
      </w:r>
      <w:r w:rsidRPr="005A76D3">
        <w:rPr>
          <w:lang w:eastAsia="fr-FR"/>
        </w:rPr>
        <w:tab/>
      </w:r>
      <w:r w:rsidRPr="005A76D3">
        <w:rPr>
          <w:lang w:eastAsia="fr-FR"/>
        </w:rPr>
        <w:tab/>
        <w:t>46</w:t>
      </w:r>
      <w:r w:rsidRPr="005A76D3">
        <w:rPr>
          <w:lang w:eastAsia="fr-FR"/>
        </w:rPr>
        <w:tab/>
        <w:t>8</w:t>
      </w:r>
    </w:p>
    <w:p w14:paraId="68FA7BFD"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984" w:hanging="840"/>
      </w:pPr>
      <w:r w:rsidRPr="005A76D3">
        <w:tab/>
        <w:t>5.</w:t>
      </w:r>
      <w:r w:rsidRPr="005A76D3">
        <w:tab/>
      </w:r>
      <w:r w:rsidRPr="005A76D3">
        <w:tab/>
      </w:r>
      <w:r w:rsidRPr="005A76D3">
        <w:rPr>
          <w:lang w:val="fr-FR"/>
        </w:rPr>
        <w:t>Application du chapitre 9.7 aux équipements électriques</w:t>
      </w:r>
      <w:r w:rsidRPr="005A76D3">
        <w:rPr>
          <w:lang w:val="fr-FR"/>
        </w:rPr>
        <w:tab/>
      </w:r>
      <w:r w:rsidRPr="005A76D3">
        <w:tab/>
        <w:t>47-48</w:t>
      </w:r>
      <w:r w:rsidRPr="005A76D3">
        <w:tab/>
        <w:t>8</w:t>
      </w:r>
    </w:p>
    <w:p w14:paraId="6C738302"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984" w:hanging="840"/>
      </w:pPr>
      <w:r w:rsidRPr="005A76D3">
        <w:tab/>
        <w:t>6.</w:t>
      </w:r>
      <w:r w:rsidRPr="005A76D3">
        <w:tab/>
      </w:r>
      <w:r w:rsidRPr="005A76D3">
        <w:tab/>
      </w:r>
      <w:r w:rsidRPr="005A76D3">
        <w:rPr>
          <w:lang w:val="fr-FR"/>
        </w:rPr>
        <w:t>Protection arrière des véhicules</w:t>
      </w:r>
      <w:r w:rsidRPr="005A76D3">
        <w:tab/>
      </w:r>
      <w:r w:rsidRPr="005A76D3">
        <w:tab/>
        <w:t>49-51</w:t>
      </w:r>
      <w:r w:rsidRPr="005A76D3">
        <w:tab/>
        <w:t>8</w:t>
      </w:r>
    </w:p>
    <w:p w14:paraId="2675C55C"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984" w:hanging="840"/>
      </w:pPr>
      <w:r w:rsidRPr="005A76D3">
        <w:tab/>
        <w:t>7.</w:t>
      </w:r>
      <w:r w:rsidRPr="005A76D3">
        <w:tab/>
      </w:r>
      <w:r w:rsidRPr="005A76D3">
        <w:rPr>
          <w:lang w:val="fr-FR"/>
        </w:rPr>
        <w:t>Systèmes à caméra et moniteur installés sur les véhicules EX/III</w:t>
      </w:r>
      <w:r w:rsidRPr="005A76D3">
        <w:rPr>
          <w:lang w:val="fr-FR"/>
        </w:rPr>
        <w:br/>
        <w:t>et FL</w:t>
      </w:r>
      <w:r w:rsidRPr="005A76D3">
        <w:tab/>
      </w:r>
      <w:r w:rsidRPr="005A76D3">
        <w:tab/>
        <w:t>52-53</w:t>
      </w:r>
      <w:r w:rsidRPr="005A76D3">
        <w:tab/>
        <w:t>8</w:t>
      </w:r>
    </w:p>
    <w:p w14:paraId="0F2127FA"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pPr>
      <w:r w:rsidRPr="005A76D3">
        <w:t>B.</w:t>
      </w:r>
      <w:r w:rsidRPr="005A76D3">
        <w:tab/>
        <w:t>Propositions diverses</w:t>
      </w:r>
      <w:r w:rsidRPr="005A76D3">
        <w:tab/>
      </w:r>
      <w:r w:rsidRPr="005A76D3">
        <w:tab/>
        <w:t>54-57</w:t>
      </w:r>
      <w:r w:rsidRPr="005A76D3">
        <w:tab/>
        <w:t>9</w:t>
      </w:r>
    </w:p>
    <w:p w14:paraId="0607553A"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pPr>
      <w:r w:rsidRPr="005A76D3">
        <w:tab/>
        <w:t>1.</w:t>
      </w:r>
      <w:r w:rsidRPr="005A76D3">
        <w:tab/>
      </w:r>
      <w:r w:rsidRPr="005A76D3">
        <w:rPr>
          <w:lang w:val="fr-FR"/>
        </w:rPr>
        <w:t>Mise en page de l’instruction d’emballage P200</w:t>
      </w:r>
      <w:r w:rsidRPr="005A76D3">
        <w:tab/>
      </w:r>
      <w:r w:rsidRPr="005A76D3">
        <w:tab/>
        <w:t>54-55</w:t>
      </w:r>
      <w:r w:rsidRPr="005A76D3">
        <w:tab/>
        <w:t>9</w:t>
      </w:r>
    </w:p>
    <w:p w14:paraId="625D3669" w14:textId="77777777" w:rsidR="00A70381" w:rsidRPr="005A76D3" w:rsidRDefault="00A70381" w:rsidP="00A70381">
      <w:pPr>
        <w:tabs>
          <w:tab w:val="right" w:pos="851"/>
          <w:tab w:val="left" w:pos="1560"/>
          <w:tab w:val="left" w:pos="1985"/>
          <w:tab w:val="left" w:leader="dot" w:pos="7654"/>
          <w:tab w:val="right" w:pos="8929"/>
          <w:tab w:val="right" w:pos="9638"/>
        </w:tabs>
        <w:spacing w:after="120"/>
        <w:ind w:left="1985" w:hanging="841"/>
      </w:pPr>
      <w:r w:rsidRPr="005A76D3">
        <w:tab/>
        <w:t>2.</w:t>
      </w:r>
      <w:r w:rsidRPr="005A76D3">
        <w:tab/>
      </w:r>
      <w:r w:rsidRPr="005A76D3">
        <w:rPr>
          <w:lang w:val="fr-FR"/>
        </w:rPr>
        <w:t>Marquage d’un véhicule-citerne transportant les Nos ONU 1202, 1203</w:t>
      </w:r>
      <w:r w:rsidRPr="005A76D3">
        <w:rPr>
          <w:lang w:val="fr-FR"/>
        </w:rPr>
        <w:br/>
        <w:t xml:space="preserve">et 3475 </w:t>
      </w:r>
      <w:r w:rsidRPr="005A76D3">
        <w:tab/>
      </w:r>
      <w:r w:rsidRPr="005A76D3">
        <w:tab/>
        <w:t>56-57</w:t>
      </w:r>
      <w:r w:rsidRPr="005A76D3">
        <w:tab/>
        <w:t>9</w:t>
      </w:r>
    </w:p>
    <w:p w14:paraId="2CFD37A8"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hanging="435"/>
        <w:rPr>
          <w:lang w:eastAsia="en-US"/>
        </w:rPr>
      </w:pPr>
      <w:r w:rsidRPr="005A76D3">
        <w:tab/>
        <w:t>VII.</w:t>
      </w:r>
      <w:r w:rsidRPr="005A76D3">
        <w:tab/>
      </w:r>
      <w:r w:rsidRPr="005A76D3">
        <w:rPr>
          <w:lang w:eastAsia="en-US"/>
        </w:rPr>
        <w:t>Interprétation de l’ADR (point 6 de l’ordre du jour)</w:t>
      </w:r>
      <w:r w:rsidRPr="005A76D3">
        <w:rPr>
          <w:lang w:eastAsia="en-US"/>
        </w:rPr>
        <w:tab/>
      </w:r>
      <w:r w:rsidRPr="005A76D3">
        <w:rPr>
          <w:lang w:eastAsia="en-US"/>
        </w:rPr>
        <w:tab/>
        <w:t>58-62</w:t>
      </w:r>
      <w:r w:rsidRPr="005A76D3">
        <w:rPr>
          <w:lang w:eastAsia="en-US"/>
        </w:rPr>
        <w:tab/>
        <w:t>9</w:t>
      </w:r>
    </w:p>
    <w:p w14:paraId="094CF5E3"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144"/>
      </w:pPr>
      <w:r w:rsidRPr="005A76D3">
        <w:t>A.</w:t>
      </w:r>
      <w:r w:rsidRPr="005A76D3">
        <w:tab/>
      </w:r>
      <w:r w:rsidRPr="005A76D3">
        <w:rPr>
          <w:lang w:val="fr-FR"/>
        </w:rPr>
        <w:t>Application du 1.1.3.1 a)</w:t>
      </w:r>
      <w:r w:rsidRPr="005A76D3">
        <w:tab/>
      </w:r>
      <w:r w:rsidRPr="005A76D3">
        <w:tab/>
        <w:t>58-60</w:t>
      </w:r>
      <w:r w:rsidRPr="005A76D3">
        <w:tab/>
        <w:t>9</w:t>
      </w:r>
    </w:p>
    <w:p w14:paraId="6881AE60"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144"/>
      </w:pPr>
      <w:r w:rsidRPr="005A76D3">
        <w:t>B.</w:t>
      </w:r>
      <w:r w:rsidRPr="005A76D3">
        <w:tab/>
      </w:r>
      <w:r w:rsidRPr="005A76D3">
        <w:rPr>
          <w:lang w:val="fr-FR"/>
        </w:rPr>
        <w:t>Disposition V2 au 7.2.4</w:t>
      </w:r>
      <w:r w:rsidRPr="005A76D3">
        <w:tab/>
      </w:r>
      <w:r w:rsidRPr="005A76D3">
        <w:tab/>
        <w:t>61-62</w:t>
      </w:r>
      <w:r w:rsidRPr="005A76D3">
        <w:tab/>
        <w:t>9</w:t>
      </w:r>
    </w:p>
    <w:p w14:paraId="520B7975"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hanging="435"/>
        <w:rPr>
          <w:lang w:eastAsia="en-US"/>
        </w:rPr>
      </w:pPr>
      <w:r w:rsidRPr="005A76D3">
        <w:tab/>
      </w:r>
      <w:r w:rsidRPr="005A76D3">
        <w:rPr>
          <w:lang w:eastAsia="en-US"/>
        </w:rPr>
        <w:t>VIII.</w:t>
      </w:r>
      <w:r w:rsidRPr="005A76D3">
        <w:rPr>
          <w:lang w:eastAsia="en-US"/>
        </w:rPr>
        <w:tab/>
        <w:t xml:space="preserve">Économie circulaire, utilisation durable des ressources naturelles et objectifs </w:t>
      </w:r>
      <w:r w:rsidRPr="005A76D3">
        <w:rPr>
          <w:lang w:eastAsia="en-US"/>
        </w:rPr>
        <w:br/>
        <w:t>de développement durable (point 7 de l’ordre du jour)</w:t>
      </w:r>
      <w:r w:rsidRPr="005A76D3">
        <w:rPr>
          <w:lang w:eastAsia="en-US"/>
        </w:rPr>
        <w:tab/>
      </w:r>
      <w:r w:rsidRPr="005A76D3">
        <w:rPr>
          <w:lang w:eastAsia="en-US"/>
        </w:rPr>
        <w:tab/>
        <w:t>63-64</w:t>
      </w:r>
      <w:r w:rsidRPr="005A76D3">
        <w:rPr>
          <w:lang w:eastAsia="en-US"/>
        </w:rPr>
        <w:tab/>
        <w:t>10</w:t>
      </w:r>
    </w:p>
    <w:p w14:paraId="1D3F5C84" w14:textId="77777777" w:rsidR="00A70381" w:rsidRPr="005A76D3" w:rsidRDefault="00A70381" w:rsidP="00A70381">
      <w:pPr>
        <w:tabs>
          <w:tab w:val="right" w:pos="851"/>
          <w:tab w:val="left" w:pos="1134"/>
          <w:tab w:val="left" w:pos="1560"/>
          <w:tab w:val="left" w:pos="1985"/>
          <w:tab w:val="left" w:leader="dot" w:pos="7654"/>
          <w:tab w:val="right" w:pos="8929"/>
          <w:tab w:val="right" w:pos="9638"/>
        </w:tabs>
        <w:spacing w:after="120"/>
        <w:ind w:left="1144" w:hanging="435"/>
        <w:rPr>
          <w:lang w:eastAsia="en-US"/>
        </w:rPr>
      </w:pPr>
      <w:r w:rsidRPr="005A76D3">
        <w:rPr>
          <w:lang w:eastAsia="en-US"/>
        </w:rPr>
        <w:t>IX.</w:t>
      </w:r>
      <w:r w:rsidRPr="005A76D3">
        <w:rPr>
          <w:lang w:eastAsia="en-US"/>
        </w:rPr>
        <w:tab/>
        <w:t>Programme de travail (point 8 de l’ordre du jour)</w:t>
      </w:r>
      <w:r w:rsidRPr="005A76D3">
        <w:rPr>
          <w:lang w:eastAsia="en-US"/>
        </w:rPr>
        <w:tab/>
      </w:r>
      <w:r w:rsidRPr="005A76D3">
        <w:rPr>
          <w:lang w:eastAsia="en-US"/>
        </w:rPr>
        <w:tab/>
        <w:t>65-67</w:t>
      </w:r>
      <w:r w:rsidRPr="005A76D3">
        <w:rPr>
          <w:lang w:eastAsia="en-US"/>
        </w:rPr>
        <w:tab/>
        <w:t>10</w:t>
      </w:r>
    </w:p>
    <w:p w14:paraId="22CCF3B8"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hanging="435"/>
        <w:rPr>
          <w:lang w:eastAsia="en-US"/>
        </w:rPr>
      </w:pPr>
      <w:r w:rsidRPr="005A76D3">
        <w:rPr>
          <w:lang w:eastAsia="en-US"/>
        </w:rPr>
        <w:t>X.</w:t>
      </w:r>
      <w:r w:rsidRPr="005A76D3">
        <w:rPr>
          <w:lang w:eastAsia="en-US"/>
        </w:rPr>
        <w:tab/>
        <w:t>Questions diverses (point 9 de l’ordre du jour)</w:t>
      </w:r>
      <w:r w:rsidRPr="005A76D3">
        <w:rPr>
          <w:lang w:eastAsia="en-US"/>
        </w:rPr>
        <w:tab/>
      </w:r>
      <w:r w:rsidRPr="005A76D3">
        <w:rPr>
          <w:lang w:eastAsia="en-US"/>
        </w:rPr>
        <w:tab/>
        <w:t>68-74</w:t>
      </w:r>
      <w:r w:rsidRPr="005A76D3">
        <w:rPr>
          <w:lang w:eastAsia="en-US"/>
        </w:rPr>
        <w:tab/>
        <w:t>10</w:t>
      </w:r>
    </w:p>
    <w:p w14:paraId="2BAEA36D"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rPr>
          <w:lang w:val="fr-FR"/>
        </w:rPr>
      </w:pPr>
      <w:r w:rsidRPr="005A76D3">
        <w:rPr>
          <w:lang w:val="fr-FR"/>
        </w:rPr>
        <w:t>A.</w:t>
      </w:r>
      <w:r w:rsidRPr="005A76D3">
        <w:rPr>
          <w:lang w:val="fr-FR"/>
        </w:rPr>
        <w:tab/>
        <w:t>Uniformisation des examens de conduite ADR</w:t>
      </w:r>
      <w:r w:rsidRPr="005A76D3">
        <w:rPr>
          <w:lang w:val="fr-FR"/>
        </w:rPr>
        <w:tab/>
      </w:r>
      <w:r w:rsidRPr="005A76D3">
        <w:rPr>
          <w:lang w:val="fr-FR"/>
        </w:rPr>
        <w:tab/>
        <w:t>68-69</w:t>
      </w:r>
      <w:r w:rsidRPr="005A76D3">
        <w:rPr>
          <w:lang w:val="fr-FR"/>
        </w:rPr>
        <w:tab/>
        <w:t>10</w:t>
      </w:r>
    </w:p>
    <w:p w14:paraId="65C04E4F"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pPr>
      <w:r w:rsidRPr="005A76D3">
        <w:t>B.</w:t>
      </w:r>
      <w:r w:rsidRPr="005A76D3">
        <w:tab/>
      </w:r>
      <w:r w:rsidRPr="005A76D3">
        <w:rPr>
          <w:lang w:val="fr-FR"/>
        </w:rPr>
        <w:t>Mandat, règlement intérieur et méthodes de travail</w:t>
      </w:r>
      <w:r w:rsidRPr="005A76D3">
        <w:tab/>
      </w:r>
      <w:r w:rsidRPr="005A76D3">
        <w:tab/>
        <w:t>70</w:t>
      </w:r>
      <w:r w:rsidRPr="005A76D3">
        <w:tab/>
        <w:t>10</w:t>
      </w:r>
    </w:p>
    <w:p w14:paraId="1D891201"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pPr>
      <w:r w:rsidRPr="005A76D3">
        <w:t>C.</w:t>
      </w:r>
      <w:r w:rsidRPr="005A76D3">
        <w:tab/>
      </w:r>
      <w:r w:rsidRPr="005A76D3">
        <w:rPr>
          <w:lang w:val="fr-FR"/>
        </w:rPr>
        <w:t>Demande de statut consultatif</w:t>
      </w:r>
      <w:r w:rsidRPr="005A76D3">
        <w:tab/>
      </w:r>
      <w:r w:rsidRPr="005A76D3">
        <w:tab/>
        <w:t>71</w:t>
      </w:r>
      <w:r w:rsidRPr="005A76D3">
        <w:tab/>
        <w:t>11</w:t>
      </w:r>
    </w:p>
    <w:p w14:paraId="2E847A05"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pPr>
      <w:r w:rsidRPr="005A76D3">
        <w:t>D.</w:t>
      </w:r>
      <w:r w:rsidRPr="005A76D3">
        <w:tab/>
      </w:r>
      <w:r w:rsidRPr="005A76D3">
        <w:rPr>
          <w:lang w:val="fr-FR"/>
        </w:rPr>
        <w:t>Amendements pour l’édition 2025 de l’ADR</w:t>
      </w:r>
      <w:r w:rsidRPr="005A76D3">
        <w:tab/>
      </w:r>
      <w:r w:rsidRPr="005A76D3">
        <w:tab/>
        <w:t>72-73</w:t>
      </w:r>
      <w:r w:rsidRPr="005A76D3">
        <w:tab/>
        <w:t>11</w:t>
      </w:r>
    </w:p>
    <w:p w14:paraId="2B49DA80"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rPr>
          <w:lang w:eastAsia="en-US"/>
        </w:rPr>
      </w:pPr>
      <w:r w:rsidRPr="005A76D3">
        <w:t>E.</w:t>
      </w:r>
      <w:r w:rsidRPr="005A76D3">
        <w:tab/>
      </w:r>
      <w:r w:rsidRPr="005A76D3">
        <w:rPr>
          <w:lang w:val="fr-FR"/>
        </w:rPr>
        <w:t>Hommage</w:t>
      </w:r>
      <w:r w:rsidRPr="005A76D3">
        <w:tab/>
      </w:r>
      <w:r w:rsidRPr="005A76D3">
        <w:tab/>
        <w:t>74</w:t>
      </w:r>
      <w:r w:rsidRPr="005A76D3">
        <w:tab/>
        <w:t>11</w:t>
      </w:r>
    </w:p>
    <w:p w14:paraId="4B501B51" w14:textId="77777777" w:rsidR="00A70381" w:rsidRPr="005A76D3" w:rsidRDefault="00A70381" w:rsidP="00A70381">
      <w:pPr>
        <w:tabs>
          <w:tab w:val="right" w:pos="851"/>
          <w:tab w:val="left" w:pos="1134"/>
          <w:tab w:val="left" w:pos="1559"/>
          <w:tab w:val="left" w:pos="1984"/>
          <w:tab w:val="left" w:leader="dot" w:pos="7654"/>
          <w:tab w:val="right" w:pos="8929"/>
          <w:tab w:val="right" w:pos="9638"/>
        </w:tabs>
        <w:spacing w:after="120"/>
        <w:ind w:left="1144" w:hanging="435"/>
        <w:rPr>
          <w:lang w:eastAsia="en-US"/>
        </w:rPr>
      </w:pPr>
      <w:r w:rsidRPr="005A76D3">
        <w:rPr>
          <w:lang w:eastAsia="en-US"/>
        </w:rPr>
        <w:t>XI.</w:t>
      </w:r>
      <w:r w:rsidRPr="005A76D3">
        <w:rPr>
          <w:lang w:eastAsia="en-US"/>
        </w:rPr>
        <w:tab/>
      </w:r>
      <w:r w:rsidRPr="005A76D3">
        <w:rPr>
          <w:lang w:val="fr-FR"/>
        </w:rPr>
        <w:t>Adoption du rapport (point 10 de l’ordre du jour)</w:t>
      </w:r>
      <w:r w:rsidRPr="005A76D3">
        <w:rPr>
          <w:lang w:eastAsia="en-US"/>
        </w:rPr>
        <w:tab/>
      </w:r>
      <w:r w:rsidRPr="005A76D3">
        <w:rPr>
          <w:lang w:eastAsia="en-US"/>
        </w:rPr>
        <w:tab/>
        <w:t>75</w:t>
      </w:r>
      <w:r w:rsidRPr="005A76D3">
        <w:rPr>
          <w:lang w:eastAsia="en-US"/>
        </w:rPr>
        <w:tab/>
        <w:t>11</w:t>
      </w:r>
    </w:p>
    <w:p w14:paraId="5B34E2D1" w14:textId="77777777" w:rsidR="00A70381" w:rsidRPr="005A76D3" w:rsidRDefault="00A70381" w:rsidP="00A70381">
      <w:pPr>
        <w:tabs>
          <w:tab w:val="right" w:pos="850"/>
          <w:tab w:val="left" w:leader="dot" w:pos="7654"/>
          <w:tab w:val="right" w:pos="8929"/>
          <w:tab w:val="right" w:pos="9638"/>
        </w:tabs>
        <w:suppressAutoHyphens/>
        <w:spacing w:after="120"/>
        <w:rPr>
          <w:lang w:val="fr-FR" w:eastAsia="en-US"/>
        </w:rPr>
      </w:pPr>
      <w:r w:rsidRPr="005A76D3">
        <w:rPr>
          <w:lang w:val="fr-FR" w:eastAsia="en-US"/>
        </w:rPr>
        <w:t>Annexes</w:t>
      </w:r>
    </w:p>
    <w:p w14:paraId="16EE5773" w14:textId="77777777" w:rsidR="00A70381" w:rsidRPr="005A76D3" w:rsidRDefault="00A70381" w:rsidP="00A70381">
      <w:pPr>
        <w:tabs>
          <w:tab w:val="right" w:pos="850"/>
          <w:tab w:val="left" w:pos="1134"/>
          <w:tab w:val="left" w:pos="1559"/>
          <w:tab w:val="left" w:pos="1984"/>
          <w:tab w:val="left" w:leader="dot" w:pos="7654"/>
          <w:tab w:val="right" w:pos="8929"/>
          <w:tab w:val="right" w:pos="9638"/>
        </w:tabs>
        <w:suppressAutoHyphens/>
        <w:spacing w:after="120"/>
        <w:rPr>
          <w:lang w:val="fr-FR" w:eastAsia="en-US"/>
        </w:rPr>
      </w:pPr>
      <w:r w:rsidRPr="005A76D3">
        <w:rPr>
          <w:lang w:val="fr-FR" w:eastAsia="en-US"/>
        </w:rPr>
        <w:tab/>
        <w:t>I.</w:t>
      </w:r>
      <w:r w:rsidRPr="005A76D3">
        <w:rPr>
          <w:lang w:val="fr-FR" w:eastAsia="en-US"/>
        </w:rPr>
        <w:tab/>
      </w:r>
      <w:r w:rsidRPr="005A76D3">
        <w:rPr>
          <w:bCs/>
          <w:lang w:val="fr-FR"/>
        </w:rPr>
        <w:t>Projet d’amendements aux annexes A et B de l’ADR pour entrée en vigueur le 1er janvier 2025</w:t>
      </w:r>
      <w:r w:rsidRPr="005A76D3">
        <w:rPr>
          <w:webHidden/>
          <w:lang w:val="fr-FR" w:eastAsia="en-US"/>
        </w:rPr>
        <w:tab/>
      </w:r>
      <w:r w:rsidRPr="005A76D3">
        <w:rPr>
          <w:webHidden/>
          <w:lang w:val="fr-FR" w:eastAsia="en-US"/>
        </w:rPr>
        <w:tab/>
        <w:t>12</w:t>
      </w:r>
    </w:p>
    <w:p w14:paraId="509DA35A" w14:textId="77777777" w:rsidR="00A70381" w:rsidRPr="005A76D3" w:rsidRDefault="00A70381" w:rsidP="00A70381">
      <w:pPr>
        <w:tabs>
          <w:tab w:val="right" w:pos="850"/>
          <w:tab w:val="left" w:pos="1134"/>
          <w:tab w:val="left" w:pos="1559"/>
          <w:tab w:val="left" w:pos="1984"/>
          <w:tab w:val="left" w:leader="dot" w:pos="7654"/>
          <w:tab w:val="right" w:pos="8929"/>
          <w:tab w:val="right" w:pos="9638"/>
        </w:tabs>
        <w:suppressAutoHyphens/>
        <w:spacing w:after="120"/>
        <w:rPr>
          <w:lang w:val="fr-FR" w:eastAsia="en-US"/>
        </w:rPr>
      </w:pPr>
      <w:r w:rsidRPr="005A76D3">
        <w:rPr>
          <w:lang w:val="fr-FR" w:eastAsia="en-US"/>
        </w:rPr>
        <w:tab/>
        <w:t>II.</w:t>
      </w:r>
      <w:r w:rsidRPr="005A76D3">
        <w:rPr>
          <w:webHidden/>
          <w:lang w:val="fr-FR" w:eastAsia="en-US"/>
        </w:rPr>
        <w:tab/>
      </w:r>
      <w:r w:rsidRPr="005A76D3">
        <w:rPr>
          <w:lang w:val="fr-FR"/>
        </w:rPr>
        <w:t>Projet d’amendements aux annexes A et B de l’ADR pour entrée en vigueur le 1er janvier 2027</w:t>
      </w:r>
      <w:r w:rsidRPr="005A76D3">
        <w:rPr>
          <w:webHidden/>
          <w:lang w:val="fr-FR" w:eastAsia="en-US"/>
        </w:rPr>
        <w:tab/>
      </w:r>
      <w:r w:rsidRPr="005A76D3">
        <w:rPr>
          <w:webHidden/>
          <w:lang w:val="fr-FR" w:eastAsia="en-US"/>
        </w:rPr>
        <w:tab/>
        <w:t>16</w:t>
      </w:r>
    </w:p>
    <w:p w14:paraId="38D03F1A" w14:textId="4A90A5F6" w:rsidR="00C553A0" w:rsidRPr="005A76D3" w:rsidRDefault="00A70381" w:rsidP="00A70381">
      <w:pPr>
        <w:tabs>
          <w:tab w:val="right" w:pos="850"/>
          <w:tab w:val="left" w:pos="1134"/>
          <w:tab w:val="left" w:pos="1559"/>
          <w:tab w:val="left" w:pos="1984"/>
          <w:tab w:val="left" w:leader="dot" w:pos="7654"/>
          <w:tab w:val="right" w:pos="8929"/>
          <w:tab w:val="right" w:pos="9638"/>
        </w:tabs>
        <w:suppressAutoHyphens/>
        <w:spacing w:after="120"/>
        <w:ind w:left="1134" w:hanging="1134"/>
        <w:rPr>
          <w:webHidden/>
          <w:lang w:val="fr-FR" w:eastAsia="en-US"/>
        </w:rPr>
      </w:pPr>
      <w:r w:rsidRPr="005A76D3">
        <w:rPr>
          <w:lang w:val="fr-FR" w:eastAsia="en-US"/>
        </w:rPr>
        <w:tab/>
        <w:t>III.</w:t>
      </w:r>
      <w:r w:rsidRPr="005A76D3">
        <w:rPr>
          <w:webHidden/>
          <w:lang w:val="fr-FR" w:eastAsia="en-US"/>
        </w:rPr>
        <w:tab/>
      </w:r>
      <w:r w:rsidRPr="005A76D3">
        <w:rPr>
          <w:lang w:val="fr-FR"/>
        </w:rPr>
        <w:t>Corrections</w:t>
      </w:r>
      <w:r w:rsidRPr="005A76D3">
        <w:t xml:space="preserve"> </w:t>
      </w:r>
      <w:r w:rsidRPr="005A76D3">
        <w:rPr>
          <w:rStyle w:val="ui-provider"/>
        </w:rPr>
        <w:t>au document ECE/TRANS/WP.15/265</w:t>
      </w:r>
      <w:r w:rsidRPr="005A76D3">
        <w:rPr>
          <w:webHidden/>
          <w:lang w:val="fr-FR" w:eastAsia="en-US"/>
        </w:rPr>
        <w:tab/>
      </w:r>
      <w:r w:rsidRPr="005A76D3">
        <w:rPr>
          <w:webHidden/>
          <w:lang w:val="fr-FR" w:eastAsia="en-US"/>
        </w:rPr>
        <w:tab/>
      </w:r>
      <w:r w:rsidRPr="005A76D3">
        <w:rPr>
          <w:webHidden/>
          <w:lang w:val="fr-FR" w:eastAsia="en-US"/>
        </w:rPr>
        <w:tab/>
        <w:t>17</w:t>
      </w:r>
    </w:p>
    <w:p w14:paraId="42DD6FEB" w14:textId="54F1A01D" w:rsidR="00076A76" w:rsidRPr="005A76D3" w:rsidRDefault="00076A76">
      <w:pPr>
        <w:rPr>
          <w:sz w:val="28"/>
        </w:rPr>
      </w:pPr>
      <w:r w:rsidRPr="005A76D3">
        <w:rPr>
          <w:sz w:val="28"/>
        </w:rPr>
        <w:br w:type="page"/>
      </w:r>
    </w:p>
    <w:p w14:paraId="49292142" w14:textId="77777777" w:rsidR="00207260" w:rsidRPr="005A76D3" w:rsidRDefault="00207260" w:rsidP="00207260">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lastRenderedPageBreak/>
        <w:tab/>
        <w:t>I.</w:t>
      </w:r>
      <w:r w:rsidRPr="005A76D3">
        <w:rPr>
          <w:b/>
          <w:sz w:val="28"/>
          <w:lang w:eastAsia="en-US"/>
        </w:rPr>
        <w:tab/>
        <w:t>Participation</w:t>
      </w:r>
    </w:p>
    <w:p w14:paraId="49EDBF9C" w14:textId="77777777" w:rsidR="00207260" w:rsidRPr="005A76D3" w:rsidRDefault="00207260" w:rsidP="00207260">
      <w:pPr>
        <w:suppressAutoHyphens/>
        <w:kinsoku w:val="0"/>
        <w:overflowPunct w:val="0"/>
        <w:autoSpaceDE w:val="0"/>
        <w:autoSpaceDN w:val="0"/>
        <w:adjustRightInd w:val="0"/>
        <w:snapToGrid w:val="0"/>
        <w:spacing w:after="120"/>
        <w:ind w:left="1134" w:right="1134"/>
        <w:jc w:val="both"/>
        <w:rPr>
          <w:b/>
          <w:bCs/>
          <w:lang w:val="fr-FR"/>
        </w:rPr>
      </w:pPr>
      <w:r w:rsidRPr="005A76D3">
        <w:rPr>
          <w:lang w:val="fr-FR"/>
        </w:rPr>
        <w:t>1.</w:t>
      </w:r>
      <w:r w:rsidRPr="005A76D3">
        <w:rPr>
          <w:lang w:val="fr-FR"/>
        </w:rPr>
        <w:tab/>
        <w:t>Le Groupe de travail des transports de marchandises dangereuses a tenu sa 115</w:t>
      </w:r>
      <w:r w:rsidRPr="005A76D3">
        <w:rPr>
          <w:vertAlign w:val="superscript"/>
          <w:lang w:val="fr-FR"/>
        </w:rPr>
        <w:t>e</w:t>
      </w:r>
      <w:r w:rsidRPr="005A76D3">
        <w:rPr>
          <w:lang w:val="fr-FR"/>
        </w:rPr>
        <w:t xml:space="preserve"> session du 2 au 5 avril 2024 sous la présidence de M</w:t>
      </w:r>
      <w:r w:rsidRPr="005A76D3">
        <w:rPr>
          <w:vertAlign w:val="superscript"/>
          <w:lang w:val="fr-FR"/>
        </w:rPr>
        <w:t>me</w:t>
      </w:r>
      <w:r w:rsidRPr="005A76D3">
        <w:rPr>
          <w:lang w:val="fr-FR"/>
        </w:rPr>
        <w:t> A. Roumier (France) et la vice-présidence de M. A. Simoni (Italie).</w:t>
      </w:r>
    </w:p>
    <w:p w14:paraId="40DCAD52" w14:textId="354DF167" w:rsidR="00207260" w:rsidRPr="005A76D3" w:rsidRDefault="00207260" w:rsidP="00207260">
      <w:pPr>
        <w:suppressAutoHyphens/>
        <w:kinsoku w:val="0"/>
        <w:overflowPunct w:val="0"/>
        <w:autoSpaceDE w:val="0"/>
        <w:autoSpaceDN w:val="0"/>
        <w:adjustRightInd w:val="0"/>
        <w:snapToGrid w:val="0"/>
        <w:spacing w:after="120"/>
        <w:ind w:left="1134" w:right="1134"/>
        <w:jc w:val="both"/>
      </w:pPr>
      <w:r w:rsidRPr="005A76D3">
        <w:t>2.</w:t>
      </w:r>
      <w:r w:rsidRPr="005A76D3">
        <w:tab/>
        <w:t>Ont pris part à la session des représentants des pays suivants : Allemagne, Autriche, Belgique, Danemark, Espagne, Fédération de Russie, Finlande, France, Géorgie, Hongrie, Italie, Lettonie, Luxembourg, Norvège, Pays-Bas, Pologne, Portugal, Royaume-Uni, Slovaquie, Suède, Suisse, Tchéquie et Türkiye.</w:t>
      </w:r>
    </w:p>
    <w:p w14:paraId="6CF200F9" w14:textId="0A32CA32" w:rsidR="00207260" w:rsidRPr="005A76D3" w:rsidRDefault="00207260" w:rsidP="00207260">
      <w:pPr>
        <w:suppressAutoHyphens/>
        <w:kinsoku w:val="0"/>
        <w:overflowPunct w:val="0"/>
        <w:autoSpaceDE w:val="0"/>
        <w:autoSpaceDN w:val="0"/>
        <w:adjustRightInd w:val="0"/>
        <w:snapToGrid w:val="0"/>
        <w:spacing w:after="120"/>
        <w:ind w:left="1134" w:right="1134"/>
        <w:jc w:val="both"/>
        <w:rPr>
          <w:lang w:val="fr-FR"/>
        </w:rPr>
      </w:pPr>
      <w:r w:rsidRPr="005A76D3">
        <w:rPr>
          <w:lang w:val="fr-FR"/>
        </w:rPr>
        <w:t>3.</w:t>
      </w:r>
      <w:r w:rsidRPr="005A76D3">
        <w:rPr>
          <w:lang w:val="fr-FR"/>
        </w:rPr>
        <w:tab/>
        <w:t xml:space="preserve">Des représentants du Zimbabwe ont participé à la session conformément aux dispositions du paragraphe 11 du mandat de la Commission économique pour l’Europe. </w:t>
      </w:r>
    </w:p>
    <w:p w14:paraId="1B1C36A9" w14:textId="77777777" w:rsidR="00207260" w:rsidRPr="005A76D3" w:rsidRDefault="00207260" w:rsidP="00207260">
      <w:pPr>
        <w:suppressAutoHyphens/>
        <w:kinsoku w:val="0"/>
        <w:overflowPunct w:val="0"/>
        <w:autoSpaceDE w:val="0"/>
        <w:autoSpaceDN w:val="0"/>
        <w:adjustRightInd w:val="0"/>
        <w:snapToGrid w:val="0"/>
        <w:spacing w:after="120"/>
        <w:ind w:left="1134" w:right="1134"/>
        <w:jc w:val="both"/>
        <w:rPr>
          <w:lang w:val="fr-FR"/>
        </w:rPr>
      </w:pPr>
      <w:r w:rsidRPr="005A76D3">
        <w:rPr>
          <w:lang w:val="fr-FR"/>
        </w:rPr>
        <w:t>4.</w:t>
      </w:r>
      <w:r w:rsidRPr="005A76D3">
        <w:rPr>
          <w:lang w:val="fr-FR"/>
        </w:rPr>
        <w:tab/>
        <w:t>L’organisation intergouvernementale suivante était représentée : Organisation intergouvernementale pour les transports internationaux ferroviaires (OTIF).</w:t>
      </w:r>
    </w:p>
    <w:p w14:paraId="2469C1F2" w14:textId="1D7E6A20" w:rsidR="00207260" w:rsidRPr="005A76D3" w:rsidRDefault="00207260" w:rsidP="00207260">
      <w:pPr>
        <w:suppressAutoHyphens/>
        <w:kinsoku w:val="0"/>
        <w:overflowPunct w:val="0"/>
        <w:autoSpaceDE w:val="0"/>
        <w:autoSpaceDN w:val="0"/>
        <w:adjustRightInd w:val="0"/>
        <w:snapToGrid w:val="0"/>
        <w:spacing w:after="120"/>
        <w:ind w:left="1134" w:right="1134"/>
        <w:jc w:val="both"/>
        <w:rPr>
          <w:lang w:val="fr-FR"/>
        </w:rPr>
      </w:pPr>
      <w:r w:rsidRPr="005A76D3">
        <w:rPr>
          <w:lang w:val="fr-FR"/>
        </w:rPr>
        <w:t>5.</w:t>
      </w:r>
      <w:r w:rsidRPr="005A76D3">
        <w:rPr>
          <w:lang w:val="fr-FR"/>
        </w:rPr>
        <w:tab/>
        <w:t xml:space="preserve">Les organisations non gouvernementales suivantes étaient représentées : la Confédération européenne des distributeurs de carburant (European </w:t>
      </w:r>
      <w:proofErr w:type="spellStart"/>
      <w:r w:rsidRPr="005A76D3">
        <w:rPr>
          <w:lang w:val="fr-FR"/>
        </w:rPr>
        <w:t>Confederation</w:t>
      </w:r>
      <w:proofErr w:type="spellEnd"/>
      <w:r w:rsidRPr="005A76D3">
        <w:rPr>
          <w:lang w:val="fr-FR"/>
        </w:rPr>
        <w:t xml:space="preserve"> of Fuel </w:t>
      </w:r>
      <w:proofErr w:type="spellStart"/>
      <w:r w:rsidRPr="005A76D3">
        <w:rPr>
          <w:lang w:val="fr-FR"/>
        </w:rPr>
        <w:t>Distributors</w:t>
      </w:r>
      <w:proofErr w:type="spellEnd"/>
      <w:r w:rsidRPr="005A76D3">
        <w:rPr>
          <w:lang w:val="fr-FR"/>
        </w:rPr>
        <w:t xml:space="preserve">) (ECFD), </w:t>
      </w:r>
      <w:r w:rsidRPr="005A76D3">
        <w:t xml:space="preserve">Fuels Europe, </w:t>
      </w:r>
      <w:r w:rsidRPr="005A76D3">
        <w:rPr>
          <w:lang w:val="fr-FR"/>
        </w:rPr>
        <w:t xml:space="preserve">International Association of Dangerous </w:t>
      </w:r>
      <w:proofErr w:type="spellStart"/>
      <w:r w:rsidRPr="005A76D3">
        <w:rPr>
          <w:lang w:val="fr-FR"/>
        </w:rPr>
        <w:t>Goods</w:t>
      </w:r>
      <w:proofErr w:type="spellEnd"/>
      <w:r w:rsidRPr="005A76D3">
        <w:rPr>
          <w:lang w:val="fr-FR"/>
        </w:rPr>
        <w:t xml:space="preserve"> </w:t>
      </w:r>
      <w:proofErr w:type="spellStart"/>
      <w:r w:rsidRPr="005A76D3">
        <w:rPr>
          <w:lang w:val="fr-FR"/>
        </w:rPr>
        <w:t>Safety</w:t>
      </w:r>
      <w:proofErr w:type="spellEnd"/>
      <w:r w:rsidRPr="005A76D3">
        <w:rPr>
          <w:lang w:val="fr-FR"/>
        </w:rPr>
        <w:t xml:space="preserve"> </w:t>
      </w:r>
      <w:proofErr w:type="spellStart"/>
      <w:r w:rsidRPr="005A76D3">
        <w:rPr>
          <w:lang w:val="fr-FR"/>
        </w:rPr>
        <w:t>Advisers</w:t>
      </w:r>
      <w:proofErr w:type="spellEnd"/>
      <w:r w:rsidRPr="005A76D3">
        <w:rPr>
          <w:lang w:val="fr-FR"/>
        </w:rPr>
        <w:t xml:space="preserve"> (IASA), l’Organisation internationale des constructeurs automobiles (OICA) et l’Union internationale des transports routiers (IRU) et World Bike </w:t>
      </w:r>
      <w:proofErr w:type="spellStart"/>
      <w:r w:rsidRPr="005A76D3">
        <w:rPr>
          <w:lang w:val="fr-FR"/>
        </w:rPr>
        <w:t>Industry</w:t>
      </w:r>
      <w:proofErr w:type="spellEnd"/>
      <w:r w:rsidRPr="005A76D3">
        <w:rPr>
          <w:lang w:val="fr-FR"/>
        </w:rPr>
        <w:t xml:space="preserve"> Association (WBIA).</w:t>
      </w:r>
    </w:p>
    <w:p w14:paraId="08421E82" w14:textId="77777777" w:rsidR="00207260" w:rsidRPr="005A76D3" w:rsidRDefault="00207260" w:rsidP="00207260">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tab/>
        <w:t>II.</w:t>
      </w:r>
      <w:r w:rsidRPr="005A76D3">
        <w:rPr>
          <w:b/>
          <w:sz w:val="28"/>
          <w:lang w:eastAsia="en-US"/>
        </w:rPr>
        <w:tab/>
      </w:r>
      <w:bookmarkStart w:id="0" w:name="_Hlk6316889"/>
      <w:r w:rsidRPr="005A76D3">
        <w:rPr>
          <w:b/>
          <w:sz w:val="28"/>
          <w:lang w:eastAsia="en-US"/>
        </w:rPr>
        <w:t>Adoption de l’ordre du jour (point 1 de l’ordre du jour)</w:t>
      </w:r>
      <w:bookmarkStart w:id="1" w:name="_Toc499903630"/>
      <w:bookmarkEnd w:id="0"/>
      <w:bookmarkEnd w:id="1"/>
    </w:p>
    <w:p w14:paraId="6B99208A" w14:textId="77777777" w:rsidR="00207260" w:rsidRPr="005A76D3" w:rsidRDefault="00207260" w:rsidP="004A7CA7">
      <w:pPr>
        <w:keepNext/>
        <w:keepLines/>
        <w:tabs>
          <w:tab w:val="left" w:pos="2410"/>
        </w:tabs>
        <w:suppressAutoHyphens/>
        <w:kinsoku w:val="0"/>
        <w:overflowPunct w:val="0"/>
        <w:autoSpaceDE w:val="0"/>
        <w:autoSpaceDN w:val="0"/>
        <w:adjustRightInd w:val="0"/>
        <w:snapToGrid w:val="0"/>
        <w:spacing w:after="120"/>
        <w:ind w:left="2552" w:right="1134" w:hanging="1418"/>
        <w:rPr>
          <w:lang w:val="fr-FR"/>
        </w:rPr>
      </w:pPr>
      <w:r w:rsidRPr="005A76D3">
        <w:rPr>
          <w:i/>
          <w:iCs/>
          <w:lang w:val="fr-FR"/>
        </w:rPr>
        <w:t>Documents </w:t>
      </w:r>
      <w:r w:rsidRPr="005A76D3">
        <w:rPr>
          <w:iCs/>
          <w:lang w:val="fr-FR"/>
        </w:rPr>
        <w:t>:</w:t>
      </w:r>
      <w:r w:rsidRPr="005A76D3">
        <w:rPr>
          <w:lang w:val="fr-FR"/>
        </w:rPr>
        <w:tab/>
        <w:t>ECE/TRANS/WP.15/266 et Add.1 (Secrétariat)</w:t>
      </w:r>
    </w:p>
    <w:p w14:paraId="6C823AA0" w14:textId="77777777" w:rsidR="00207260" w:rsidRPr="005A76D3" w:rsidRDefault="00207260" w:rsidP="00207260">
      <w:pPr>
        <w:suppressAutoHyphens/>
        <w:kinsoku w:val="0"/>
        <w:overflowPunct w:val="0"/>
        <w:autoSpaceDE w:val="0"/>
        <w:autoSpaceDN w:val="0"/>
        <w:adjustRightInd w:val="0"/>
        <w:snapToGrid w:val="0"/>
        <w:spacing w:after="120"/>
        <w:ind w:left="3402" w:right="1134" w:hanging="2268"/>
        <w:jc w:val="both"/>
        <w:rPr>
          <w:lang w:val="fr-FR"/>
        </w:rPr>
      </w:pPr>
      <w:r w:rsidRPr="005A76D3">
        <w:rPr>
          <w:i/>
          <w:iCs/>
          <w:lang w:val="fr-FR"/>
        </w:rPr>
        <w:t>Documents informels </w:t>
      </w:r>
      <w:r w:rsidRPr="005A76D3">
        <w:rPr>
          <w:lang w:val="fr-FR"/>
        </w:rPr>
        <w:t>:</w:t>
      </w:r>
      <w:r w:rsidRPr="005A76D3">
        <w:rPr>
          <w:lang w:val="fr-FR"/>
        </w:rPr>
        <w:tab/>
        <w:t>INF.1, INF.2 et INF.5 (Secrétariat)</w:t>
      </w:r>
    </w:p>
    <w:p w14:paraId="5B100CED" w14:textId="5125C4D7" w:rsidR="00207260" w:rsidRPr="005A76D3" w:rsidRDefault="00207260" w:rsidP="00207260">
      <w:pPr>
        <w:suppressAutoHyphens/>
        <w:kinsoku w:val="0"/>
        <w:overflowPunct w:val="0"/>
        <w:autoSpaceDE w:val="0"/>
        <w:autoSpaceDN w:val="0"/>
        <w:adjustRightInd w:val="0"/>
        <w:snapToGrid w:val="0"/>
        <w:spacing w:after="120"/>
        <w:ind w:left="1134" w:right="1134"/>
        <w:jc w:val="both"/>
        <w:rPr>
          <w:lang w:val="fr-FR"/>
        </w:rPr>
      </w:pPr>
      <w:r w:rsidRPr="005A76D3">
        <w:rPr>
          <w:lang w:val="fr-FR"/>
        </w:rPr>
        <w:t>6.</w:t>
      </w:r>
      <w:r w:rsidRPr="005A76D3">
        <w:rPr>
          <w:lang w:val="fr-FR"/>
        </w:rPr>
        <w:tab/>
        <w:t xml:space="preserve">Le Groupe de travail a adopté l’ordre du jour provisoire établi par le secrétariat, tel que modifié par le document informel INF.2 pour tenir compte des documents informels INF.1 à INF.17. </w:t>
      </w:r>
    </w:p>
    <w:p w14:paraId="11CCC33B" w14:textId="77777777" w:rsidR="00207260" w:rsidRPr="005A76D3" w:rsidRDefault="00207260" w:rsidP="00207260">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tab/>
        <w:t>III.</w:t>
      </w:r>
      <w:r w:rsidRPr="005A76D3">
        <w:rPr>
          <w:b/>
          <w:sz w:val="28"/>
          <w:lang w:eastAsia="en-US"/>
        </w:rPr>
        <w:tab/>
        <w:t>Quatre-vingt-sixième session du Comité des transports intérieurs (point 2 de l’ordre du jour)</w:t>
      </w:r>
    </w:p>
    <w:p w14:paraId="776A6DD2" w14:textId="77777777" w:rsidR="00207260" w:rsidRPr="005A76D3" w:rsidRDefault="00207260" w:rsidP="00207260">
      <w:pPr>
        <w:keepNext/>
        <w:keepLines/>
        <w:tabs>
          <w:tab w:val="left" w:pos="2410"/>
        </w:tabs>
        <w:suppressAutoHyphens/>
        <w:kinsoku w:val="0"/>
        <w:overflowPunct w:val="0"/>
        <w:autoSpaceDE w:val="0"/>
        <w:autoSpaceDN w:val="0"/>
        <w:adjustRightInd w:val="0"/>
        <w:snapToGrid w:val="0"/>
        <w:spacing w:after="120"/>
        <w:ind w:left="2552" w:right="1134" w:hanging="1418"/>
        <w:rPr>
          <w:lang w:val="fr-FR"/>
        </w:rPr>
      </w:pPr>
      <w:r w:rsidRPr="005A76D3">
        <w:rPr>
          <w:i/>
          <w:lang w:val="fr-FR"/>
        </w:rPr>
        <w:t>Documents </w:t>
      </w:r>
      <w:r w:rsidRPr="005A76D3">
        <w:rPr>
          <w:lang w:val="fr-FR"/>
        </w:rPr>
        <w:t>:</w:t>
      </w:r>
      <w:r w:rsidRPr="005A76D3">
        <w:rPr>
          <w:lang w:val="fr-FR"/>
        </w:rPr>
        <w:tab/>
      </w:r>
      <w:r w:rsidRPr="005A76D3">
        <w:rPr>
          <w:lang w:val="fr-FR"/>
        </w:rPr>
        <w:tab/>
        <w:t xml:space="preserve">ECE/TRANS/WP.15/2024/9 (Secrétariat), ECE/TRANS/2024/9 (Secrétariat du Comité des transports intérieurs), ECE/TRANS/344 (Rapport du Comité des transports intérieurs sur sa quatre-vingt-sixième session) </w:t>
      </w:r>
      <w:r w:rsidRPr="005A76D3">
        <w:rPr>
          <w:i/>
          <w:iCs/>
          <w:lang w:val="fr-FR"/>
        </w:rPr>
        <w:t>(à venir)</w:t>
      </w:r>
    </w:p>
    <w:p w14:paraId="490404C1" w14:textId="71C6C49B" w:rsidR="00207260" w:rsidRPr="005A76D3" w:rsidRDefault="00207260" w:rsidP="00207260">
      <w:pPr>
        <w:suppressAutoHyphens/>
        <w:spacing w:after="120"/>
        <w:ind w:left="1134" w:right="1134"/>
        <w:jc w:val="both"/>
        <w:rPr>
          <w:lang w:val="fr-FR"/>
        </w:rPr>
      </w:pPr>
      <w:r w:rsidRPr="005A76D3">
        <w:rPr>
          <w:i/>
          <w:lang w:val="fr-FR"/>
        </w:rPr>
        <w:t>Document informel </w:t>
      </w:r>
      <w:r w:rsidRPr="005A76D3">
        <w:rPr>
          <w:lang w:val="fr-FR"/>
        </w:rPr>
        <w:t>:</w:t>
      </w:r>
      <w:r w:rsidRPr="005A76D3">
        <w:rPr>
          <w:lang w:val="fr-FR"/>
        </w:rPr>
        <w:tab/>
        <w:t>INF.16</w:t>
      </w:r>
      <w:r w:rsidR="006304E0" w:rsidRPr="005A76D3">
        <w:rPr>
          <w:lang w:val="fr-FR"/>
        </w:rPr>
        <w:t xml:space="preserve"> (Secrétariat du Comité des transports intérieurs)</w:t>
      </w:r>
    </w:p>
    <w:p w14:paraId="3A373682" w14:textId="77777777" w:rsidR="00207260" w:rsidRPr="005A76D3" w:rsidRDefault="00207260" w:rsidP="00207260">
      <w:pPr>
        <w:suppressAutoHyphens/>
        <w:spacing w:after="120"/>
        <w:ind w:left="1134" w:right="1134"/>
        <w:jc w:val="both"/>
        <w:rPr>
          <w:lang w:val="fr-FR"/>
        </w:rPr>
      </w:pPr>
      <w:r w:rsidRPr="005A76D3">
        <w:rPr>
          <w:lang w:val="fr-FR"/>
        </w:rPr>
        <w:t>7.</w:t>
      </w:r>
      <w:r w:rsidRPr="005A76D3">
        <w:rPr>
          <w:lang w:val="fr-FR"/>
        </w:rPr>
        <w:tab/>
        <w:t xml:space="preserve">Le secrétariat a informé le Groupe de travail des résultats pertinents de la dernière session du Comité des transports intérieurs (CTI) (20-23 février 2024). </w:t>
      </w:r>
    </w:p>
    <w:p w14:paraId="7332DD42" w14:textId="77777777" w:rsidR="00207260" w:rsidRPr="005A76D3" w:rsidRDefault="00207260" w:rsidP="00207260">
      <w:pPr>
        <w:suppressAutoHyphens/>
        <w:spacing w:after="120"/>
        <w:ind w:left="1134" w:right="1134"/>
        <w:jc w:val="both"/>
        <w:rPr>
          <w:lang w:val="fr-FR"/>
        </w:rPr>
      </w:pPr>
      <w:r w:rsidRPr="005A76D3">
        <w:rPr>
          <w:lang w:val="fr-FR"/>
        </w:rPr>
        <w:t>8.</w:t>
      </w:r>
      <w:r w:rsidRPr="005A76D3">
        <w:rPr>
          <w:lang w:val="fr-FR"/>
        </w:rPr>
        <w:tab/>
        <w:t>Le Groupe de travail s’est déclaré satisfait de l’approbation par le CTI de son mandat tel que révisé et repris en annexe I du document ECE/TRANS/WP.15/2024/9 et de l’adoption de ce mandat par le Comité exécutif de la Commission économique pour l’Europe à sa 133</w:t>
      </w:r>
      <w:r w:rsidRPr="005A76D3">
        <w:rPr>
          <w:vertAlign w:val="superscript"/>
          <w:lang w:val="fr-FR"/>
        </w:rPr>
        <w:t>e</w:t>
      </w:r>
      <w:r w:rsidRPr="005A76D3">
        <w:rPr>
          <w:lang w:val="fr-FR"/>
        </w:rPr>
        <w:t xml:space="preserve"> session (25 mars 2024).</w:t>
      </w:r>
    </w:p>
    <w:p w14:paraId="015F2A7C" w14:textId="085D12C6" w:rsidR="00207260" w:rsidRPr="005A76D3" w:rsidRDefault="00207260" w:rsidP="00207260">
      <w:pPr>
        <w:suppressAutoHyphens/>
        <w:spacing w:after="120"/>
        <w:ind w:left="1134" w:right="1134"/>
        <w:jc w:val="both"/>
        <w:rPr>
          <w:lang w:val="fr-FR"/>
        </w:rPr>
      </w:pPr>
      <w:r w:rsidRPr="005A76D3">
        <w:rPr>
          <w:lang w:val="fr-FR"/>
        </w:rPr>
        <w:t>9.</w:t>
      </w:r>
      <w:r w:rsidRPr="005A76D3">
        <w:rPr>
          <w:lang w:val="fr-FR"/>
        </w:rPr>
        <w:tab/>
        <w:t xml:space="preserve">Le document ECE/TRANS/2024/9 présenté à la quatre-vingt-sixième session du CTI reprenait les communications des groupes de travail dans le cadre de l’examen de leurs mandats par le CTI conformément aux résultats de la réforme de 2005 de la Commission économique pour l'Europe (CEE) et aux directives qui en découlent pour la création et le fonctionnement des groupes de travail au sein de la CEE (ECE/EX/1). Le Groupe de travail a noté que le secrétariat allait procéder, à partir de ce document, à une analyse intersectorielle et formuler des recommandations sur les futures priorités de travail du CTI, pour examen et adoption éventuelle par le CTI à sa quatre-vingt-septième session en </w:t>
      </w:r>
      <w:r w:rsidR="00861F66" w:rsidRPr="005A76D3">
        <w:rPr>
          <w:lang w:val="fr-FR"/>
        </w:rPr>
        <w:t>2025</w:t>
      </w:r>
      <w:r w:rsidRPr="005A76D3">
        <w:rPr>
          <w:lang w:val="fr-FR"/>
        </w:rPr>
        <w:t>.</w:t>
      </w:r>
    </w:p>
    <w:p w14:paraId="3AED941D" w14:textId="77777777" w:rsidR="00207260" w:rsidRPr="005A76D3" w:rsidRDefault="00207260" w:rsidP="00207260">
      <w:pPr>
        <w:suppressAutoHyphens/>
        <w:spacing w:after="120"/>
        <w:ind w:left="1134" w:right="1134"/>
        <w:jc w:val="both"/>
        <w:rPr>
          <w:lang w:val="fr-FR"/>
        </w:rPr>
      </w:pPr>
      <w:r w:rsidRPr="005A76D3">
        <w:rPr>
          <w:lang w:val="fr-FR"/>
        </w:rPr>
        <w:lastRenderedPageBreak/>
        <w:t>10.</w:t>
      </w:r>
      <w:r w:rsidRPr="005A76D3">
        <w:rPr>
          <w:lang w:val="fr-FR"/>
        </w:rPr>
        <w:tab/>
        <w:t>Le Groupe de travail a noté avec satisfaction que le CTI avait approuvé son programme de travail ainsi que la publication, par le secrétariat, des textes consolidés de l’ADR et de l’ADN tels qu’ils seront amendés le 1er janvier 2025.</w:t>
      </w:r>
    </w:p>
    <w:p w14:paraId="4757F7CD" w14:textId="77777777" w:rsidR="00207260" w:rsidRPr="005A76D3" w:rsidRDefault="00207260" w:rsidP="00207260">
      <w:pPr>
        <w:suppressAutoHyphens/>
        <w:spacing w:after="120"/>
        <w:ind w:left="1134" w:right="1134"/>
        <w:jc w:val="both"/>
        <w:rPr>
          <w:lang w:val="fr-FR"/>
        </w:rPr>
      </w:pPr>
      <w:r w:rsidRPr="005A76D3">
        <w:rPr>
          <w:lang w:val="fr-FR"/>
        </w:rPr>
        <w:t>11.</w:t>
      </w:r>
      <w:r w:rsidRPr="005A76D3">
        <w:rPr>
          <w:lang w:val="fr-FR"/>
        </w:rPr>
        <w:tab/>
        <w:t>Le Groupe de travail s’est félicité de l’adoption de la stratégie du CTI sur la réduction des émissions de gaz à effet de serre dans les transports intérieurs et a noté que le CTI avait demandé à ses organes subsidiaires compétents d'aligner leur programme de travail sur cette stratégie. Le groupe de travail a noté que son programme de travail contribuait déjà à la mise en œuvre de cette stratégie, notamment en ce qui concerne l'amélioration des véhicules utilisés pour le transport de marchandises dangereuses afin de réduire les émissions de gaz à effet de serre.</w:t>
      </w:r>
    </w:p>
    <w:p w14:paraId="14CA3B8E" w14:textId="77777777" w:rsidR="00207260" w:rsidRPr="005A76D3" w:rsidRDefault="00207260" w:rsidP="00207260">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tab/>
        <w:t>IV.</w:t>
      </w:r>
      <w:r w:rsidRPr="005A76D3">
        <w:rPr>
          <w:b/>
          <w:sz w:val="28"/>
          <w:lang w:eastAsia="en-US"/>
        </w:rPr>
        <w:tab/>
        <w:t>État de l’Accord relatif au transport international des marchandises dangereuses par route (ADR) et questions connexes (point 3 de l’ordre du jour)</w:t>
      </w:r>
    </w:p>
    <w:p w14:paraId="2D5B8663" w14:textId="77777777" w:rsidR="00207260" w:rsidRPr="005A76D3" w:rsidRDefault="00207260" w:rsidP="00207260">
      <w:pPr>
        <w:keepNext/>
        <w:keepLines/>
        <w:tabs>
          <w:tab w:val="right" w:pos="851"/>
        </w:tabs>
        <w:suppressAutoHyphens/>
        <w:spacing w:before="360" w:after="240" w:line="270" w:lineRule="exact"/>
        <w:ind w:left="1134" w:right="1134" w:hanging="1134"/>
        <w:rPr>
          <w:rFonts w:eastAsia="Calibri"/>
          <w:b/>
          <w:sz w:val="24"/>
          <w:lang w:val="fr-FR" w:eastAsia="en-US"/>
        </w:rPr>
      </w:pPr>
      <w:r w:rsidRPr="005A76D3">
        <w:rPr>
          <w:rFonts w:eastAsia="Calibri"/>
          <w:b/>
          <w:sz w:val="24"/>
          <w:lang w:val="fr-FR" w:eastAsia="en-US"/>
        </w:rPr>
        <w:tab/>
        <w:t>A.</w:t>
      </w:r>
      <w:r w:rsidRPr="005A76D3">
        <w:rPr>
          <w:rFonts w:eastAsia="Calibri"/>
          <w:b/>
          <w:sz w:val="24"/>
          <w:lang w:val="fr-FR" w:eastAsia="en-US"/>
        </w:rPr>
        <w:tab/>
        <w:t xml:space="preserve">État de l’Accord </w:t>
      </w:r>
    </w:p>
    <w:p w14:paraId="2B3F489A" w14:textId="77777777" w:rsidR="00207260" w:rsidRPr="005A76D3" w:rsidRDefault="00207260" w:rsidP="00207260">
      <w:pPr>
        <w:suppressAutoHyphens/>
        <w:kinsoku w:val="0"/>
        <w:overflowPunct w:val="0"/>
        <w:autoSpaceDE w:val="0"/>
        <w:autoSpaceDN w:val="0"/>
        <w:adjustRightInd w:val="0"/>
        <w:snapToGrid w:val="0"/>
        <w:spacing w:after="120"/>
        <w:ind w:left="1134" w:right="1134"/>
        <w:jc w:val="both"/>
      </w:pPr>
      <w:r w:rsidRPr="005A76D3">
        <w:t>12.</w:t>
      </w:r>
      <w:r w:rsidRPr="005A76D3">
        <w:tab/>
        <w:t>Aucun changement n’a été signalé en ce qui concerne l’état de l’ADR (54 Parties contractantes) et du Protocole d’amendement de 1993 (40 Parties contractantes) depuis la dernière session.</w:t>
      </w:r>
    </w:p>
    <w:p w14:paraId="35D0FE1C" w14:textId="77777777" w:rsidR="00207260" w:rsidRPr="005A76D3" w:rsidRDefault="00207260" w:rsidP="00207260">
      <w:pPr>
        <w:keepNext/>
        <w:keepLines/>
        <w:tabs>
          <w:tab w:val="right" w:pos="851"/>
        </w:tabs>
        <w:suppressAutoHyphens/>
        <w:spacing w:before="360" w:after="240" w:line="270" w:lineRule="exact"/>
        <w:ind w:left="1134" w:right="1134" w:hanging="1134"/>
        <w:rPr>
          <w:rFonts w:eastAsia="Calibri"/>
          <w:b/>
          <w:sz w:val="24"/>
          <w:lang w:val="fr-FR" w:eastAsia="en-US"/>
        </w:rPr>
      </w:pPr>
      <w:r w:rsidRPr="005A76D3">
        <w:rPr>
          <w:rFonts w:eastAsia="Calibri"/>
          <w:b/>
          <w:sz w:val="24"/>
          <w:lang w:val="fr-FR" w:eastAsia="en-US"/>
        </w:rPr>
        <w:tab/>
        <w:t>B.</w:t>
      </w:r>
      <w:r w:rsidRPr="005A76D3">
        <w:rPr>
          <w:rFonts w:eastAsia="Calibri"/>
          <w:b/>
          <w:sz w:val="24"/>
          <w:lang w:val="fr-FR" w:eastAsia="en-US"/>
        </w:rPr>
        <w:tab/>
        <w:t>Protocole d’amendement de 1993</w:t>
      </w:r>
    </w:p>
    <w:p w14:paraId="2DB13A8F" w14:textId="77777777" w:rsidR="00207260" w:rsidRPr="005A76D3" w:rsidRDefault="00207260" w:rsidP="00207260">
      <w:pPr>
        <w:suppressAutoHyphens/>
        <w:spacing w:after="120"/>
        <w:ind w:left="1134" w:right="1134"/>
        <w:jc w:val="both"/>
        <w:rPr>
          <w:lang w:eastAsia="en-US"/>
        </w:rPr>
      </w:pPr>
      <w:r w:rsidRPr="005A76D3">
        <w:rPr>
          <w:lang w:eastAsia="en-US"/>
        </w:rPr>
        <w:t>13.</w:t>
      </w:r>
      <w:r w:rsidRPr="005A76D3">
        <w:rPr>
          <w:lang w:eastAsia="en-US"/>
        </w:rPr>
        <w:tab/>
      </w:r>
      <w:r w:rsidRPr="005A76D3">
        <w:t xml:space="preserve">Le Groupe de travail a déploré qu’il reste 14 pays </w:t>
      </w:r>
      <w:r w:rsidRPr="005A76D3">
        <w:rPr>
          <w:lang w:eastAsia="en-US"/>
        </w:rPr>
        <w:t>(</w:t>
      </w:r>
      <w:r w:rsidRPr="005A76D3">
        <w:rPr>
          <w:lang w:val="fr-FR"/>
        </w:rPr>
        <w:t>Arménie, Azerbaïdjan, Bélarus, Bosnie-Herzégovine, Croatie, Islande, Kazakhstan, Macédoine du Nord, Maroc, Monténégro, Nigéria, Ouganda, Saint</w:t>
      </w:r>
      <w:r w:rsidRPr="005A76D3">
        <w:rPr>
          <w:lang w:val="fr-FR"/>
        </w:rPr>
        <w:noBreakHyphen/>
        <w:t>Marin et Tadjikistan</w:t>
      </w:r>
      <w:r w:rsidRPr="005A76D3">
        <w:rPr>
          <w:lang w:eastAsia="en-US"/>
        </w:rPr>
        <w:t xml:space="preserve">) </w:t>
      </w:r>
      <w:r w:rsidRPr="005A76D3">
        <w:t xml:space="preserve">qui n’ont pas déposé l’instrument juridique approprié, ce qui empêche l’entrée en vigueur du Protocole. </w:t>
      </w:r>
      <w:r w:rsidRPr="005A76D3">
        <w:rPr>
          <w:lang w:eastAsia="en-US"/>
        </w:rPr>
        <w:t>Le Groupe de travail a encouragé ces pays à prendre les mesures nécessaires pour ratifier le Protocole ou y adhérer.</w:t>
      </w:r>
    </w:p>
    <w:p w14:paraId="0320573F" w14:textId="77777777" w:rsidR="00207260" w:rsidRPr="005A76D3" w:rsidRDefault="00207260" w:rsidP="00207260">
      <w:pPr>
        <w:pStyle w:val="H1G"/>
      </w:pPr>
      <w:r w:rsidRPr="005A76D3">
        <w:rPr>
          <w:lang w:val="fr-FR"/>
        </w:rPr>
        <w:tab/>
        <w:t>C.</w:t>
      </w:r>
      <w:r w:rsidRPr="005A76D3">
        <w:rPr>
          <w:lang w:val="fr-FR"/>
        </w:rPr>
        <w:tab/>
      </w:r>
      <w:bookmarkStart w:id="2" w:name="_Hlk95746437"/>
      <w:r w:rsidRPr="005A76D3">
        <w:rPr>
          <w:lang w:val="fr-FR"/>
        </w:rPr>
        <w:t>Traduction de l’ADR en langue arabe</w:t>
      </w:r>
      <w:bookmarkEnd w:id="2"/>
    </w:p>
    <w:p w14:paraId="0ABFB075" w14:textId="77777777" w:rsidR="00207260" w:rsidRPr="005A76D3" w:rsidRDefault="00207260" w:rsidP="00207260">
      <w:pPr>
        <w:suppressAutoHyphens/>
        <w:spacing w:after="120"/>
        <w:ind w:left="1134" w:right="1134"/>
        <w:jc w:val="both"/>
        <w:rPr>
          <w:lang w:val="fr-FR"/>
        </w:rPr>
      </w:pPr>
      <w:r w:rsidRPr="005A76D3">
        <w:rPr>
          <w:lang w:eastAsia="en-US"/>
        </w:rPr>
        <w:t>14.</w:t>
      </w:r>
      <w:r w:rsidRPr="005A76D3">
        <w:rPr>
          <w:lang w:eastAsia="en-US"/>
        </w:rPr>
        <w:tab/>
        <w:t xml:space="preserve">Le Groupe de travail s’est félicité de la publication de l’ADR 2023 en langue arabe par les services de </w:t>
      </w:r>
      <w:r w:rsidRPr="005A76D3">
        <w:rPr>
          <w:lang w:val="fr-FR"/>
        </w:rPr>
        <w:t xml:space="preserve">l’Organisation des Nations Unies et a remercié le projet </w:t>
      </w:r>
      <w:proofErr w:type="spellStart"/>
      <w:r w:rsidRPr="005A76D3">
        <w:rPr>
          <w:lang w:val="fr-FR"/>
        </w:rPr>
        <w:t>EuroMed</w:t>
      </w:r>
      <w:proofErr w:type="spellEnd"/>
      <w:r w:rsidRPr="005A76D3">
        <w:rPr>
          <w:lang w:val="fr-FR"/>
        </w:rPr>
        <w:t xml:space="preserve"> de soutien au transport (TSP) pour avoir pris en charge la traduction de cette première version. </w:t>
      </w:r>
    </w:p>
    <w:p w14:paraId="76E11E31" w14:textId="77777777" w:rsidR="00207260" w:rsidRPr="005A76D3" w:rsidRDefault="00207260" w:rsidP="00207260">
      <w:pPr>
        <w:suppressAutoHyphens/>
        <w:spacing w:after="120"/>
        <w:ind w:left="1134" w:right="1134"/>
        <w:jc w:val="both"/>
        <w:rPr>
          <w:lang w:val="fr-FR"/>
        </w:rPr>
      </w:pPr>
      <w:r w:rsidRPr="005A76D3">
        <w:rPr>
          <w:lang w:val="fr-FR"/>
        </w:rPr>
        <w:t>15.</w:t>
      </w:r>
      <w:r w:rsidRPr="005A76D3">
        <w:rPr>
          <w:lang w:val="fr-FR"/>
        </w:rPr>
        <w:tab/>
        <w:t>Un membre du secrétariat a annoncé que la traduction et la publication de l’édition 2025 en langue arabe avaient été approuvées par les services compétents des Nations Unies. Le groupe de travail a accueilli cette nouvelle comme un bon présage vers une solution permanente pour la traduction des amendements tous les deux ans et la publication des versions amendées consolidées correspondantes.</w:t>
      </w:r>
    </w:p>
    <w:p w14:paraId="35503CA5" w14:textId="77777777" w:rsidR="00207260" w:rsidRPr="005A76D3" w:rsidRDefault="00207260" w:rsidP="00207260">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tab/>
        <w:t>V.</w:t>
      </w:r>
      <w:r w:rsidRPr="005A76D3">
        <w:rPr>
          <w:b/>
          <w:sz w:val="28"/>
          <w:lang w:eastAsia="en-US"/>
        </w:rPr>
        <w:tab/>
        <w:t>Travaux de la Réunion commune RID/ADR/ADN (point 4 de l’ordre du jour)</w:t>
      </w:r>
    </w:p>
    <w:p w14:paraId="6233646D" w14:textId="77777777" w:rsidR="00207260" w:rsidRPr="005A76D3" w:rsidRDefault="00207260" w:rsidP="00207260">
      <w:pPr>
        <w:pStyle w:val="H1G"/>
      </w:pPr>
      <w:r w:rsidRPr="005A76D3">
        <w:tab/>
        <w:t>A.</w:t>
      </w:r>
      <w:r w:rsidRPr="005A76D3">
        <w:tab/>
        <w:t>Points en suspens</w:t>
      </w:r>
    </w:p>
    <w:p w14:paraId="68A0854F" w14:textId="3C175921" w:rsidR="00207260" w:rsidRPr="005A76D3" w:rsidRDefault="00207260" w:rsidP="00207260">
      <w:pPr>
        <w:pStyle w:val="SingleTxtG"/>
      </w:pPr>
      <w:r w:rsidRPr="005A76D3">
        <w:rPr>
          <w:i/>
        </w:rPr>
        <w:t>Document</w:t>
      </w:r>
      <w:r w:rsidR="006304E0" w:rsidRPr="005A76D3">
        <w:rPr>
          <w:i/>
        </w:rPr>
        <w:t> </w:t>
      </w:r>
      <w:r w:rsidRPr="005A76D3">
        <w:t>:</w:t>
      </w:r>
      <w:r w:rsidRPr="005A76D3">
        <w:tab/>
      </w:r>
      <w:r w:rsidRPr="005A76D3">
        <w:rPr>
          <w:color w:val="000000"/>
          <w:lang w:val="fr-FR"/>
        </w:rPr>
        <w:t xml:space="preserve">ECE/TRANS/WP.15/264, annexe III </w:t>
      </w:r>
      <w:r w:rsidRPr="005A76D3">
        <w:t>(Secrétariat)</w:t>
      </w:r>
    </w:p>
    <w:p w14:paraId="71270E20" w14:textId="77777777" w:rsidR="00207260" w:rsidRPr="005A76D3" w:rsidRDefault="00207260" w:rsidP="00207260">
      <w:pPr>
        <w:pStyle w:val="SingleTxtG"/>
      </w:pPr>
      <w:r w:rsidRPr="005A76D3">
        <w:rPr>
          <w:i/>
        </w:rPr>
        <w:t xml:space="preserve">Document informel </w:t>
      </w:r>
      <w:r w:rsidRPr="005A76D3">
        <w:t>:</w:t>
      </w:r>
      <w:r w:rsidRPr="005A76D3">
        <w:tab/>
      </w:r>
      <w:r w:rsidRPr="005A76D3">
        <w:tab/>
        <w:t>INF.13 (Secrétariat)</w:t>
      </w:r>
    </w:p>
    <w:p w14:paraId="0255C715" w14:textId="5075BDCA" w:rsidR="00207260" w:rsidRPr="005A76D3" w:rsidRDefault="00207260" w:rsidP="00207260">
      <w:pPr>
        <w:pStyle w:val="SingleTxtG"/>
        <w:rPr>
          <w:color w:val="000000"/>
          <w:lang w:val="fr-FR"/>
        </w:rPr>
      </w:pPr>
      <w:r w:rsidRPr="005A76D3">
        <w:rPr>
          <w:color w:val="000000"/>
          <w:lang w:val="fr-FR"/>
        </w:rPr>
        <w:t>16.</w:t>
      </w:r>
      <w:r w:rsidRPr="005A76D3">
        <w:rPr>
          <w:color w:val="000000"/>
          <w:lang w:val="fr-FR"/>
        </w:rPr>
        <w:tab/>
        <w:t xml:space="preserve">Les projets de modifications aux chapitres 6.2 et 6.8 repris en annexe III du rapport ECE/TRANS/WP.15/264, visaient à référencer les normes EN 14129:[2023] et EN ISO 21011:[2023] dans le RID/ADR. Le CEN a indiqué que la nouvelle version de la norme EN 14129 ne serait pas publiée à temps pour être référencée dans le RID/ADR 2025 et que la </w:t>
      </w:r>
      <w:r w:rsidRPr="005A76D3">
        <w:rPr>
          <w:color w:val="000000"/>
          <w:lang w:val="fr-FR"/>
        </w:rPr>
        <w:lastRenderedPageBreak/>
        <w:t xml:space="preserve">norme </w:t>
      </w:r>
      <w:proofErr w:type="spellStart"/>
      <w:r w:rsidRPr="005A76D3">
        <w:rPr>
          <w:color w:val="000000"/>
          <w:lang w:val="fr-FR"/>
        </w:rPr>
        <w:t>FprEN</w:t>
      </w:r>
      <w:proofErr w:type="spellEnd"/>
      <w:r w:rsidRPr="005A76D3">
        <w:rPr>
          <w:color w:val="000000"/>
          <w:lang w:val="fr-FR"/>
        </w:rPr>
        <w:t xml:space="preserve"> ISO 21011 était, pour le moment, retirée du programme de travail. En conséquence, les amendements aux chapitres 6.2 et 6.8 de l'annexe III du document ECE/TRANS/WP.15/264 ont été retirés</w:t>
      </w:r>
      <w:r w:rsidR="00E858F8" w:rsidRPr="005A76D3">
        <w:rPr>
          <w:color w:val="000000"/>
          <w:lang w:val="fr-FR"/>
        </w:rPr>
        <w:t xml:space="preserve"> (voir annexe I)</w:t>
      </w:r>
      <w:r w:rsidRPr="005A76D3">
        <w:rPr>
          <w:color w:val="000000"/>
          <w:lang w:val="fr-FR"/>
        </w:rPr>
        <w:t xml:space="preserve">. </w:t>
      </w:r>
    </w:p>
    <w:p w14:paraId="2FC32202" w14:textId="77777777" w:rsidR="00207260" w:rsidRPr="005A76D3" w:rsidRDefault="00207260" w:rsidP="00207260">
      <w:pPr>
        <w:pStyle w:val="H1G"/>
      </w:pPr>
      <w:r w:rsidRPr="005A76D3">
        <w:tab/>
        <w:t>B.</w:t>
      </w:r>
      <w:r w:rsidRPr="005A76D3">
        <w:tab/>
        <w:t>Amendements proposés par la Réunion commune à sa session</w:t>
      </w:r>
      <w:r w:rsidRPr="005A76D3">
        <w:br/>
        <w:t>de printemps 2024 pour entrée en vigueur le 1er</w:t>
      </w:r>
      <w:r w:rsidRPr="005A76D3">
        <w:rPr>
          <w:vertAlign w:val="superscript"/>
        </w:rPr>
        <w:t xml:space="preserve"> </w:t>
      </w:r>
      <w:r w:rsidRPr="005A76D3">
        <w:t>janvier 2025</w:t>
      </w:r>
    </w:p>
    <w:p w14:paraId="6BFC751A" w14:textId="11C5C2A4" w:rsidR="00207260" w:rsidRPr="005A76D3" w:rsidRDefault="00207260" w:rsidP="00E858F8">
      <w:pPr>
        <w:pStyle w:val="SingleTxtG"/>
        <w:ind w:left="2268" w:hanging="1134"/>
      </w:pPr>
      <w:r w:rsidRPr="005A76D3">
        <w:rPr>
          <w:i/>
        </w:rPr>
        <w:t>Document </w:t>
      </w:r>
      <w:r w:rsidRPr="005A76D3">
        <w:t>:</w:t>
      </w:r>
      <w:r w:rsidRPr="005A76D3">
        <w:tab/>
      </w:r>
      <w:r w:rsidRPr="005A76D3">
        <w:rPr>
          <w:color w:val="000000"/>
          <w:lang w:val="fr-FR"/>
        </w:rPr>
        <w:t xml:space="preserve">ECE/TRANS/WP.15/AC.1/172 (Rapport de la réunion commune </w:t>
      </w:r>
      <w:r w:rsidRPr="005A76D3">
        <w:t xml:space="preserve">sur sa session de printemps 2024) (Secrétariat) </w:t>
      </w:r>
    </w:p>
    <w:p w14:paraId="4F255723" w14:textId="77777777" w:rsidR="00207260" w:rsidRPr="005A76D3" w:rsidRDefault="00207260" w:rsidP="00207260">
      <w:pPr>
        <w:pStyle w:val="SingleTxtG"/>
      </w:pPr>
      <w:r w:rsidRPr="005A76D3">
        <w:rPr>
          <w:i/>
        </w:rPr>
        <w:t xml:space="preserve">Document informel </w:t>
      </w:r>
      <w:r w:rsidRPr="005A76D3">
        <w:t>:</w:t>
      </w:r>
      <w:r w:rsidRPr="005A76D3">
        <w:tab/>
      </w:r>
      <w:r w:rsidRPr="005A76D3">
        <w:tab/>
        <w:t>INF.12 (Secrétariat)</w:t>
      </w:r>
    </w:p>
    <w:p w14:paraId="668CBABF" w14:textId="77777777" w:rsidR="00207260" w:rsidRPr="005A76D3" w:rsidRDefault="00207260" w:rsidP="00207260">
      <w:pPr>
        <w:pStyle w:val="SingleTxtG"/>
        <w:rPr>
          <w:lang w:val="fr-FR" w:eastAsia="en-US"/>
        </w:rPr>
      </w:pPr>
      <w:r w:rsidRPr="005A76D3">
        <w:rPr>
          <w:lang w:eastAsia="en-US"/>
        </w:rPr>
        <w:t>17.</w:t>
      </w:r>
      <w:r w:rsidRPr="005A76D3">
        <w:rPr>
          <w:lang w:eastAsia="en-US"/>
        </w:rPr>
        <w:tab/>
        <w:t xml:space="preserve">Le Groupe de travail a examiné </w:t>
      </w:r>
      <w:r w:rsidRPr="005A76D3">
        <w:rPr>
          <w:lang w:val="fr-FR" w:eastAsia="en-US"/>
        </w:rPr>
        <w:t xml:space="preserve">les propositions d’amendements à l’ADR figurant dans le document informel INF.12. </w:t>
      </w:r>
    </w:p>
    <w:p w14:paraId="3FE513D8" w14:textId="0E25830D" w:rsidR="00207260" w:rsidRPr="005A76D3" w:rsidRDefault="00207260" w:rsidP="00207260">
      <w:pPr>
        <w:spacing w:after="120"/>
        <w:ind w:left="1134" w:right="1134"/>
        <w:jc w:val="both"/>
        <w:rPr>
          <w:lang w:eastAsia="en-US"/>
        </w:rPr>
      </w:pPr>
      <w:r w:rsidRPr="005A76D3">
        <w:rPr>
          <w:lang w:eastAsia="en-US"/>
        </w:rPr>
        <w:t>18.</w:t>
      </w:r>
      <w:r w:rsidRPr="005A76D3">
        <w:rPr>
          <w:lang w:eastAsia="en-US"/>
        </w:rPr>
        <w:tab/>
        <w:t>Le Groupe de travail a noté que l’amendement à la norme EN ISO 17871:2020 ne pourrait pas être publiée avant le 1</w:t>
      </w:r>
      <w:r w:rsidRPr="005A76D3">
        <w:rPr>
          <w:vertAlign w:val="superscript"/>
          <w:lang w:eastAsia="en-US"/>
        </w:rPr>
        <w:t>er</w:t>
      </w:r>
      <w:r w:rsidRPr="005A76D3">
        <w:rPr>
          <w:lang w:eastAsia="en-US"/>
        </w:rPr>
        <w:t xml:space="preserve"> juin 2024. Les projets d’amendements visant à référencer cet amendement ont été adoptés </w:t>
      </w:r>
      <w:r w:rsidRPr="005A76D3">
        <w:t>pour entrée en vigueur le 1er</w:t>
      </w:r>
      <w:r w:rsidRPr="005A76D3">
        <w:rPr>
          <w:vertAlign w:val="superscript"/>
        </w:rPr>
        <w:t xml:space="preserve"> </w:t>
      </w:r>
      <w:r w:rsidRPr="005A76D3">
        <w:t xml:space="preserve">janvier 2027 (voir annexe </w:t>
      </w:r>
      <w:r w:rsidR="00E858F8" w:rsidRPr="005A76D3">
        <w:t>II).</w:t>
      </w:r>
    </w:p>
    <w:p w14:paraId="523712DE" w14:textId="50213F85" w:rsidR="00207260" w:rsidRPr="005A76D3" w:rsidRDefault="00207260" w:rsidP="00207260">
      <w:pPr>
        <w:spacing w:after="120"/>
        <w:ind w:left="1134" w:right="1134"/>
        <w:jc w:val="both"/>
        <w:rPr>
          <w:lang w:val="fr-FR" w:eastAsia="en-US"/>
        </w:rPr>
      </w:pPr>
      <w:r w:rsidRPr="005A76D3">
        <w:rPr>
          <w:lang w:eastAsia="en-US"/>
        </w:rPr>
        <w:t>19.</w:t>
      </w:r>
      <w:r w:rsidRPr="005A76D3">
        <w:rPr>
          <w:lang w:eastAsia="en-US"/>
        </w:rPr>
        <w:tab/>
        <w:t xml:space="preserve">Le Groupe de travail a adopté les autres amendements proposés </w:t>
      </w:r>
      <w:r w:rsidRPr="005A76D3">
        <w:rPr>
          <w:lang w:val="fr-FR" w:eastAsia="en-US"/>
        </w:rPr>
        <w:t xml:space="preserve">pour entrée en vigueur le 1er janvier 2025 avec quelques corrections (voir annexe </w:t>
      </w:r>
      <w:r w:rsidR="005F4D4F" w:rsidRPr="005A76D3">
        <w:rPr>
          <w:lang w:val="fr-FR" w:eastAsia="en-US"/>
        </w:rPr>
        <w:t xml:space="preserve">I). </w:t>
      </w:r>
      <w:r w:rsidRPr="005A76D3">
        <w:rPr>
          <w:lang w:val="fr-FR" w:eastAsia="en-US"/>
        </w:rPr>
        <w:t>Le Groupe de travail a noté que ces modifications seraient également portées à l’attention du Comité d’experts du RID.</w:t>
      </w:r>
    </w:p>
    <w:p w14:paraId="25DBC0D7" w14:textId="4FFEDE66" w:rsidR="00207260" w:rsidRPr="005A76D3" w:rsidRDefault="00207260" w:rsidP="00207260">
      <w:pPr>
        <w:spacing w:after="120"/>
        <w:ind w:left="1134" w:right="1134"/>
        <w:jc w:val="both"/>
        <w:rPr>
          <w:lang w:eastAsia="en-US"/>
        </w:rPr>
      </w:pPr>
      <w:r w:rsidRPr="005A76D3">
        <w:rPr>
          <w:lang w:eastAsia="en-US"/>
        </w:rPr>
        <w:t>20.</w:t>
      </w:r>
      <w:r w:rsidRPr="005A76D3">
        <w:rPr>
          <w:lang w:eastAsia="en-US"/>
        </w:rPr>
        <w:tab/>
        <w:t>Le Groupe de travail a noté que les versions révisées des normes EN ISO 10297 et 13322-1 et l’amendement A1 à la norme</w:t>
      </w:r>
      <w:r w:rsidRPr="005A76D3">
        <w:t xml:space="preserve"> </w:t>
      </w:r>
      <w:r w:rsidRPr="005A76D3">
        <w:rPr>
          <w:lang w:eastAsia="en-US"/>
        </w:rPr>
        <w:t>EN 12972:2018 n’étaient pas publiés lors de la session mais devaient être publiés d’ici le 31 mai 2024. Le Groupe de travail a adopté les projets d’amendements visant à référencer ces normes dans l’ADR 2025 sous réserve que les normes en question soient publiées avant cette date. Dans le cas contraire, les</w:t>
      </w:r>
      <w:r w:rsidRPr="005A76D3">
        <w:t xml:space="preserve"> amendements correspondants ne seraient pas retenus dans la proposition d’amendements à notifier aux Parties contractantes le 1er juillet 2024 pour entrée en vigueur le 1er janvier 2025 et seraient ajoutés à la </w:t>
      </w:r>
      <w:r w:rsidRPr="005A76D3">
        <w:rPr>
          <w:lang w:eastAsia="en-US"/>
        </w:rPr>
        <w:t xml:space="preserve">liste à l’attention du </w:t>
      </w:r>
      <w:r w:rsidRPr="005A76D3">
        <w:rPr>
          <w:lang w:val="fr-FR"/>
        </w:rPr>
        <w:t>Groupe de travail des normes</w:t>
      </w:r>
      <w:r w:rsidRPr="005A76D3">
        <w:rPr>
          <w:lang w:eastAsia="en-US"/>
        </w:rPr>
        <w:t xml:space="preserve"> de la Réunion commune.</w:t>
      </w:r>
    </w:p>
    <w:p w14:paraId="7A81CB0C" w14:textId="5B270706" w:rsidR="00207260" w:rsidRPr="005A76D3" w:rsidRDefault="00207260" w:rsidP="00207260">
      <w:pPr>
        <w:pStyle w:val="SingleTxtG"/>
        <w:rPr>
          <w:lang w:eastAsia="en-US"/>
        </w:rPr>
      </w:pPr>
      <w:r w:rsidRPr="005A76D3">
        <w:rPr>
          <w:lang w:eastAsia="en-US"/>
        </w:rPr>
        <w:t>21.</w:t>
      </w:r>
      <w:r w:rsidRPr="005A76D3">
        <w:rPr>
          <w:lang w:eastAsia="en-US"/>
        </w:rPr>
        <w:tab/>
      </w:r>
      <w:r w:rsidRPr="005A76D3">
        <w:rPr>
          <w:lang w:val="fr-FR"/>
        </w:rPr>
        <w:t xml:space="preserve">Le Groupe de travail a noté que </w:t>
      </w:r>
      <w:r w:rsidR="005F4D4F" w:rsidRPr="005A76D3">
        <w:rPr>
          <w:lang w:val="fr-FR"/>
        </w:rPr>
        <w:t>la version allemande du</w:t>
      </w:r>
      <w:r w:rsidRPr="005A76D3">
        <w:rPr>
          <w:lang w:val="fr-FR"/>
        </w:rPr>
        <w:t xml:space="preserve"> rapport de la Réunion commune</w:t>
      </w:r>
      <w:r w:rsidR="00C96375" w:rsidRPr="005A76D3">
        <w:rPr>
          <w:rStyle w:val="Appelnotedebasdep"/>
        </w:rPr>
        <w:footnoteReference w:id="2"/>
      </w:r>
      <w:r w:rsidRPr="005A76D3">
        <w:rPr>
          <w:lang w:val="fr-FR"/>
        </w:rPr>
        <w:t xml:space="preserve"> contiendrait également des amendements applicables à la version allemande de l’ADR et a invité les délégations germanophones à reprendre ces amendements dans leurs traductions de l’ADR 2025.</w:t>
      </w:r>
      <w:r w:rsidRPr="005A76D3">
        <w:rPr>
          <w:color w:val="000000"/>
          <w:lang w:val="fr-FR"/>
        </w:rPr>
        <w:t xml:space="preserve"> </w:t>
      </w:r>
    </w:p>
    <w:p w14:paraId="7F1BC18A" w14:textId="77777777" w:rsidR="004B50C2" w:rsidRPr="005A76D3" w:rsidRDefault="004B50C2" w:rsidP="004B50C2">
      <w:pPr>
        <w:pStyle w:val="H1G"/>
      </w:pPr>
      <w:r w:rsidRPr="005A76D3">
        <w:tab/>
        <w:t>C.</w:t>
      </w:r>
      <w:r w:rsidRPr="005A76D3">
        <w:tab/>
        <w:t xml:space="preserve">Corrections des amendements déjà adoptés </w:t>
      </w:r>
    </w:p>
    <w:p w14:paraId="66DCD393" w14:textId="6AC8C4B0" w:rsidR="004B50C2" w:rsidRPr="005A76D3" w:rsidRDefault="004B50C2" w:rsidP="005F4D4F">
      <w:pPr>
        <w:pStyle w:val="SingleTxtG"/>
        <w:ind w:left="2268" w:hanging="1134"/>
      </w:pPr>
      <w:r w:rsidRPr="005A76D3">
        <w:rPr>
          <w:i/>
        </w:rPr>
        <w:t>Document </w:t>
      </w:r>
      <w:r w:rsidRPr="005A76D3">
        <w:t>:</w:t>
      </w:r>
      <w:r w:rsidRPr="005A76D3">
        <w:tab/>
      </w:r>
      <w:r w:rsidRPr="005A76D3">
        <w:rPr>
          <w:color w:val="000000"/>
          <w:lang w:val="fr-FR"/>
        </w:rPr>
        <w:t xml:space="preserve">ECE/TRANS/WP.15/AC.1/172 (Rapport de la réunion commune </w:t>
      </w:r>
      <w:r w:rsidRPr="005A76D3">
        <w:t xml:space="preserve">sur sa session de printemps 2024) (Secrétariat) </w:t>
      </w:r>
    </w:p>
    <w:p w14:paraId="40ADA5C3" w14:textId="77777777" w:rsidR="004B50C2" w:rsidRPr="005A76D3" w:rsidRDefault="004B50C2" w:rsidP="004B50C2">
      <w:pPr>
        <w:pStyle w:val="SingleTxtG"/>
      </w:pPr>
      <w:r w:rsidRPr="005A76D3">
        <w:rPr>
          <w:i/>
        </w:rPr>
        <w:t xml:space="preserve">Document informel </w:t>
      </w:r>
      <w:r w:rsidRPr="005A76D3">
        <w:t>:</w:t>
      </w:r>
      <w:r w:rsidRPr="005A76D3">
        <w:tab/>
      </w:r>
      <w:r w:rsidRPr="005A76D3">
        <w:tab/>
        <w:t>INF.12 (Secrétariat)</w:t>
      </w:r>
    </w:p>
    <w:p w14:paraId="60BD113D" w14:textId="4FA4AE7D" w:rsidR="004B50C2" w:rsidRPr="005A76D3" w:rsidRDefault="004B50C2" w:rsidP="004B50C2">
      <w:pPr>
        <w:pStyle w:val="SingleTxtG"/>
        <w:rPr>
          <w:lang w:val="fr-FR"/>
        </w:rPr>
      </w:pPr>
      <w:r w:rsidRPr="005A76D3">
        <w:rPr>
          <w:lang w:val="fr-FR"/>
        </w:rPr>
        <w:t>22.</w:t>
      </w:r>
      <w:r w:rsidRPr="005A76D3">
        <w:rPr>
          <w:lang w:val="fr-FR"/>
        </w:rPr>
        <w:tab/>
        <w:t xml:space="preserve">Le Groupe de travail a repris à son compte les corrections proposées dans le document informel INF.12 (voir annexe </w:t>
      </w:r>
      <w:r w:rsidR="001C4C87" w:rsidRPr="005A76D3">
        <w:rPr>
          <w:lang w:val="fr-FR"/>
        </w:rPr>
        <w:t xml:space="preserve">III). </w:t>
      </w:r>
    </w:p>
    <w:p w14:paraId="75E4A875" w14:textId="77777777" w:rsidR="007F43B9" w:rsidRPr="005A76D3" w:rsidRDefault="007F43B9" w:rsidP="007F43B9">
      <w:pPr>
        <w:pStyle w:val="H1G"/>
      </w:pPr>
      <w:r w:rsidRPr="005A76D3">
        <w:tab/>
        <w:t>D.</w:t>
      </w:r>
      <w:r w:rsidRPr="005A76D3">
        <w:tab/>
        <w:t>Amendements proposés par la Réunion commune à sa session</w:t>
      </w:r>
      <w:r w:rsidRPr="005A76D3">
        <w:br/>
        <w:t>de printemps 2024 pour entrée en vigueur le 1er</w:t>
      </w:r>
      <w:r w:rsidRPr="005A76D3">
        <w:rPr>
          <w:vertAlign w:val="superscript"/>
        </w:rPr>
        <w:t xml:space="preserve"> </w:t>
      </w:r>
      <w:r w:rsidRPr="005A76D3">
        <w:t>janvier 2027</w:t>
      </w:r>
    </w:p>
    <w:p w14:paraId="601F7A9A" w14:textId="332E717D" w:rsidR="007F43B9" w:rsidRPr="005A76D3" w:rsidRDefault="007F43B9" w:rsidP="0044370C">
      <w:pPr>
        <w:pStyle w:val="SingleTxtG"/>
        <w:ind w:left="2268" w:hanging="1134"/>
      </w:pPr>
      <w:r w:rsidRPr="005A76D3">
        <w:rPr>
          <w:i/>
        </w:rPr>
        <w:t>Document </w:t>
      </w:r>
      <w:r w:rsidRPr="005A76D3">
        <w:t>:</w:t>
      </w:r>
      <w:r w:rsidRPr="005A76D3">
        <w:tab/>
      </w:r>
      <w:r w:rsidRPr="005A76D3">
        <w:rPr>
          <w:color w:val="000000"/>
          <w:lang w:val="fr-FR"/>
        </w:rPr>
        <w:t xml:space="preserve">ECE/TRANS/WP.15/AC.1/172 (Rapport de la réunion commune </w:t>
      </w:r>
      <w:r w:rsidRPr="005A76D3">
        <w:t xml:space="preserve">sur sa session de printemps 2024) (Secrétariat) </w:t>
      </w:r>
    </w:p>
    <w:p w14:paraId="32AF4794" w14:textId="77777777" w:rsidR="007F43B9" w:rsidRPr="005A76D3" w:rsidRDefault="007F43B9" w:rsidP="007F43B9">
      <w:pPr>
        <w:pStyle w:val="SingleTxtG"/>
      </w:pPr>
      <w:r w:rsidRPr="005A76D3">
        <w:rPr>
          <w:i/>
        </w:rPr>
        <w:t xml:space="preserve">Document informel </w:t>
      </w:r>
      <w:r w:rsidRPr="005A76D3">
        <w:t>:</w:t>
      </w:r>
      <w:r w:rsidRPr="005A76D3">
        <w:tab/>
      </w:r>
      <w:r w:rsidRPr="005A76D3">
        <w:tab/>
        <w:t>INF.15 (Secrétariat)</w:t>
      </w:r>
    </w:p>
    <w:p w14:paraId="0959C63F" w14:textId="427CD335" w:rsidR="007F43B9" w:rsidRPr="005A76D3" w:rsidRDefault="007F43B9" w:rsidP="007F43B9">
      <w:pPr>
        <w:pStyle w:val="SingleTxtG"/>
        <w:spacing w:after="100"/>
      </w:pPr>
      <w:r w:rsidRPr="005A76D3">
        <w:rPr>
          <w:lang w:val="fr-FR"/>
        </w:rPr>
        <w:t>23.</w:t>
      </w:r>
      <w:r w:rsidRPr="005A76D3">
        <w:rPr>
          <w:lang w:val="fr-FR"/>
        </w:rPr>
        <w:tab/>
        <w:t xml:space="preserve">Le Groupe de travail a repris à son compte les projets d’amendements adoptés par la Réunion commune, tels que repris dans le document informel INF.15 (voir annexe </w:t>
      </w:r>
      <w:r w:rsidR="001C4C87" w:rsidRPr="005A76D3">
        <w:rPr>
          <w:lang w:val="fr-FR"/>
        </w:rPr>
        <w:t>II).</w:t>
      </w:r>
    </w:p>
    <w:p w14:paraId="54170B51" w14:textId="77777777" w:rsidR="007F43B9" w:rsidRPr="005A76D3" w:rsidRDefault="007F43B9" w:rsidP="007F43B9">
      <w:pPr>
        <w:pStyle w:val="SingleTxtG"/>
        <w:spacing w:after="100"/>
      </w:pPr>
      <w:r w:rsidRPr="005A76D3">
        <w:rPr>
          <w:lang w:val="fr-FR"/>
        </w:rPr>
        <w:lastRenderedPageBreak/>
        <w:t>24.</w:t>
      </w:r>
      <w:r w:rsidRPr="005A76D3">
        <w:rPr>
          <w:lang w:val="fr-FR"/>
        </w:rPr>
        <w:tab/>
        <w:t xml:space="preserve">Le Groupe de travail a noté que l’amendement à l’instruction d’emballage P200, au 4.1.4.1, visant à porter de 10 à 15 ans l’intervalle entre les contrôles périodiques des bouteilles pour gaz de pétrole liquéfié fabriquées selon la norme EN 14140 </w:t>
      </w:r>
      <w:r w:rsidRPr="005A76D3">
        <w:t>pourrait faire l’objet d’un accord multilatéral afin de permettre, pour les Parties contractantes qui le souhaiteraient, la mise en œuvre anticipée de ces dispositions.</w:t>
      </w:r>
    </w:p>
    <w:p w14:paraId="131A179E" w14:textId="77777777" w:rsidR="007F43B9" w:rsidRPr="005A76D3" w:rsidRDefault="007F43B9" w:rsidP="007F43B9">
      <w:pPr>
        <w:pStyle w:val="SingleTxtG"/>
        <w:spacing w:after="100"/>
      </w:pPr>
      <w:r w:rsidRPr="005A76D3">
        <w:t>25.</w:t>
      </w:r>
      <w:r w:rsidRPr="005A76D3">
        <w:tab/>
        <w:t xml:space="preserve">En ce qui concerne l’amendement au 6.8.2.4.3, le Groupe de travail a noté que la disposition adoptée n’était pas une nouvelle prescription et qu’il s’agissait d’une clarification à l’intention des autorités compétentes et de leurs services d’inspection concernant les contrôles des citernes pour lesquelles la date spécifiée pour le contrôle intermédiaire était dépassée. Le Groupe de travail a demandé au secrétariat d’ajouter cette clarification sur la page dédiée aux interprétations de l’ADR du site internet de la Commission économique pour l’Europe. </w:t>
      </w:r>
    </w:p>
    <w:p w14:paraId="6B08BF2B" w14:textId="77777777" w:rsidR="007F43B9" w:rsidRPr="005A76D3" w:rsidRDefault="007F43B9" w:rsidP="007F43B9">
      <w:pPr>
        <w:pStyle w:val="H1G"/>
      </w:pPr>
      <w:r w:rsidRPr="005A76D3">
        <w:tab/>
        <w:t>E.</w:t>
      </w:r>
      <w:r w:rsidRPr="005A76D3">
        <w:tab/>
        <w:t xml:space="preserve">Définition des véhicules couverts. </w:t>
      </w:r>
    </w:p>
    <w:p w14:paraId="499ACC5B" w14:textId="77777777" w:rsidR="007F43B9" w:rsidRPr="005A76D3" w:rsidRDefault="007F43B9" w:rsidP="007F43B9">
      <w:pPr>
        <w:pStyle w:val="SingleTxtG"/>
        <w:spacing w:after="100"/>
      </w:pPr>
      <w:r w:rsidRPr="005A76D3">
        <w:t>26.</w:t>
      </w:r>
      <w:r w:rsidRPr="005A76D3">
        <w:tab/>
      </w:r>
      <w:r w:rsidRPr="005A76D3">
        <w:rPr>
          <w:lang w:val="fr-FR"/>
        </w:rPr>
        <w:t>À sa 114</w:t>
      </w:r>
      <w:r w:rsidRPr="005A76D3">
        <w:rPr>
          <w:vertAlign w:val="superscript"/>
          <w:lang w:val="fr-FR"/>
        </w:rPr>
        <w:t>e</w:t>
      </w:r>
      <w:r w:rsidRPr="005A76D3">
        <w:rPr>
          <w:lang w:val="fr-FR"/>
        </w:rPr>
        <w:t xml:space="preserve"> session, sur la base du document informel INF.8, le Groupe de travail avait examiné une proposition des Pays-Bas visant à modifier la définition de « véhicule couvert » dans l’ADR. Au cours de l’examen dudit document, le WP.15 avait confirmé que cette définition pouvait être améliorée mais avait fait savoir que la Réunion commune devrait réfléchir à la question afin que les wagons couverts soient aussi pris en compte.</w:t>
      </w:r>
    </w:p>
    <w:p w14:paraId="529EA316" w14:textId="77777777" w:rsidR="007F43B9" w:rsidRPr="005A76D3" w:rsidRDefault="007F43B9" w:rsidP="007F43B9">
      <w:pPr>
        <w:pStyle w:val="SingleTxtG"/>
        <w:spacing w:after="100"/>
      </w:pPr>
      <w:r w:rsidRPr="005A76D3">
        <w:t>27.</w:t>
      </w:r>
      <w:r w:rsidRPr="005A76D3">
        <w:tab/>
        <w:t xml:space="preserve">Le Groupe de travail a noté que le représentant des Pays-Bas avait présenté cette question à la Réunion commune (document </w:t>
      </w:r>
      <w:r w:rsidRPr="005A76D3">
        <w:rPr>
          <w:lang w:val="fr-FR"/>
        </w:rPr>
        <w:t xml:space="preserve">ECE/TRANS/WP.15/AC.1/2024/14) </w:t>
      </w:r>
      <w:r w:rsidRPr="005A76D3">
        <w:t xml:space="preserve">et que les discussions devraient se poursuivre lors de la session d’automne 2024 sur la base d’une proposition détaillée. </w:t>
      </w:r>
    </w:p>
    <w:p w14:paraId="2AE36FA4" w14:textId="140A007D" w:rsidR="007F43B9" w:rsidRPr="005A76D3" w:rsidRDefault="007F43B9" w:rsidP="007F43B9">
      <w:pPr>
        <w:pStyle w:val="SingleTxtG"/>
        <w:spacing w:after="100"/>
      </w:pPr>
      <w:r w:rsidRPr="005A76D3">
        <w:t>28.</w:t>
      </w:r>
      <w:r w:rsidRPr="005A76D3">
        <w:tab/>
        <w:t>Le Groupe de travail est convenu que cette nouvelle proposition devrait examiner les conséquences pour les dispositions actuelles lorsqu'un véhicule couvert est requis et prévoir des mesures transitoires, notamment pour tenir compte de l’utilisation de véhicules à rideaux coulissants suspendus (</w:t>
      </w:r>
      <w:proofErr w:type="spellStart"/>
      <w:r w:rsidRPr="005A76D3">
        <w:t>curtainsiders</w:t>
      </w:r>
      <w:proofErr w:type="spellEnd"/>
      <w:r w:rsidRPr="005A76D3">
        <w:t xml:space="preserve">). </w:t>
      </w:r>
    </w:p>
    <w:p w14:paraId="723EA896" w14:textId="77777777" w:rsidR="007F43B9" w:rsidRPr="005A76D3" w:rsidRDefault="007F43B9" w:rsidP="007F43B9">
      <w:pPr>
        <w:pStyle w:val="H1G"/>
        <w:spacing w:line="244" w:lineRule="atLeast"/>
        <w:rPr>
          <w:szCs w:val="24"/>
          <w:lang w:val="fr-FR"/>
        </w:rPr>
      </w:pPr>
      <w:r w:rsidRPr="005A76D3">
        <w:rPr>
          <w:lang w:val="fr-FR"/>
        </w:rPr>
        <w:tab/>
        <w:t>F.</w:t>
      </w:r>
      <w:r w:rsidRPr="005A76D3">
        <w:rPr>
          <w:lang w:val="fr-FR"/>
        </w:rPr>
        <w:tab/>
        <w:t>Groupe de travail informel de l’apprentissage en ligne</w:t>
      </w:r>
    </w:p>
    <w:p w14:paraId="68D683AB" w14:textId="77777777" w:rsidR="007F43B9" w:rsidRPr="005A76D3" w:rsidRDefault="007F43B9" w:rsidP="007F43B9">
      <w:pPr>
        <w:pStyle w:val="SingleTxtG"/>
        <w:spacing w:line="244" w:lineRule="atLeast"/>
      </w:pPr>
      <w:r w:rsidRPr="005A76D3">
        <w:rPr>
          <w:lang w:val="fr-FR"/>
        </w:rPr>
        <w:t>29.</w:t>
      </w:r>
      <w:r w:rsidRPr="005A76D3">
        <w:rPr>
          <w:lang w:val="fr-FR"/>
        </w:rPr>
        <w:tab/>
        <w:t xml:space="preserve">Le représentant de l’IRU a rendu compte des progrès réalisés par le groupe de travail informel de l’apprentissage en ligne de la Réunion commune. Le Groupe de travail a noté que le groupe informel avait finalisé les projets d’amendements pour l’ADR. Ces dispositions feraient l’objet d’une proposition officielle à la prochaine session de la Réunion commune. Le Groupe de travail a également noté que le groupe informel allait travailler sur le texte de l’ADN lors de ses prochaines sessions. </w:t>
      </w:r>
    </w:p>
    <w:p w14:paraId="088616A9" w14:textId="77777777" w:rsidR="007F43B9" w:rsidRPr="005A76D3" w:rsidRDefault="007F43B9" w:rsidP="007F43B9">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tab/>
        <w:t>VI.</w:t>
      </w:r>
      <w:r w:rsidRPr="005A76D3">
        <w:rPr>
          <w:b/>
          <w:sz w:val="28"/>
          <w:lang w:eastAsia="en-US"/>
        </w:rPr>
        <w:tab/>
        <w:t>Propositions d’amendements aux annexes A et B de l’ADR (point 5 de l’ordre du jour)</w:t>
      </w:r>
    </w:p>
    <w:p w14:paraId="1B1FF536" w14:textId="77777777" w:rsidR="007F43B9" w:rsidRPr="005A76D3" w:rsidRDefault="007F43B9" w:rsidP="007F43B9">
      <w:pPr>
        <w:pStyle w:val="H1G"/>
      </w:pPr>
      <w:r w:rsidRPr="005A76D3">
        <w:rPr>
          <w:lang w:val="fr-FR"/>
        </w:rPr>
        <w:tab/>
        <w:t>A.</w:t>
      </w:r>
      <w:r w:rsidRPr="005A76D3">
        <w:rPr>
          <w:lang w:val="fr-FR"/>
        </w:rPr>
        <w:tab/>
        <w:t>Construction et agrément des véhicules</w:t>
      </w:r>
    </w:p>
    <w:p w14:paraId="340EEBB7" w14:textId="77777777" w:rsidR="007F43B9" w:rsidRPr="005A76D3" w:rsidRDefault="007F43B9" w:rsidP="007F43B9">
      <w:pPr>
        <w:pStyle w:val="H23G"/>
        <w:rPr>
          <w:lang w:val="fr-FR"/>
        </w:rPr>
      </w:pPr>
      <w:r w:rsidRPr="005A76D3">
        <w:rPr>
          <w:lang w:val="fr-FR"/>
        </w:rPr>
        <w:tab/>
        <w:t>1.</w:t>
      </w:r>
      <w:r w:rsidRPr="005A76D3">
        <w:rPr>
          <w:lang w:val="fr-FR"/>
        </w:rPr>
        <w:tab/>
        <w:t>Système d'extinction d'incendie pour les compartiments moteurs et protection thermique des roues</w:t>
      </w:r>
    </w:p>
    <w:p w14:paraId="3B758FD1" w14:textId="77777777" w:rsidR="007F43B9" w:rsidRPr="005A76D3" w:rsidRDefault="007F43B9" w:rsidP="007F43B9">
      <w:pPr>
        <w:pStyle w:val="SingleTxtG"/>
        <w:tabs>
          <w:tab w:val="left" w:pos="3402"/>
        </w:tabs>
        <w:ind w:left="3119" w:hanging="1985"/>
      </w:pPr>
      <w:r w:rsidRPr="005A76D3">
        <w:rPr>
          <w:i/>
        </w:rPr>
        <w:t xml:space="preserve">Documents informels </w:t>
      </w:r>
      <w:r w:rsidRPr="005A76D3">
        <w:t>:</w:t>
      </w:r>
      <w:r w:rsidRPr="005A76D3">
        <w:tab/>
        <w:t xml:space="preserve">INF.4 et INF.9 (Espagne </w:t>
      </w:r>
      <w:r w:rsidRPr="005A76D3">
        <w:rPr>
          <w:lang w:val="fr-FR"/>
        </w:rPr>
        <w:t>au nom du groupe de travail informel sur la réduction du risque de BLEVE</w:t>
      </w:r>
      <w:r w:rsidRPr="005A76D3">
        <w:t>)</w:t>
      </w:r>
    </w:p>
    <w:p w14:paraId="281B1194" w14:textId="77777777" w:rsidR="007F43B9" w:rsidRPr="005A76D3" w:rsidRDefault="007F43B9" w:rsidP="007F43B9">
      <w:pPr>
        <w:pStyle w:val="SingleTxtG"/>
        <w:rPr>
          <w:lang w:val="fr-FR"/>
        </w:rPr>
      </w:pPr>
      <w:r w:rsidRPr="005A76D3">
        <w:rPr>
          <w:lang w:val="fr-FR"/>
        </w:rPr>
        <w:t>30.</w:t>
      </w:r>
      <w:r w:rsidRPr="005A76D3">
        <w:rPr>
          <w:lang w:val="fr-FR"/>
        </w:rPr>
        <w:tab/>
        <w:t xml:space="preserve">Le Groupe de travail s’est félicité des résultats des travaux du groupe de travail informel de la réduction du risque de BLEVE de la Réunion commune. </w:t>
      </w:r>
    </w:p>
    <w:p w14:paraId="317E2DA3" w14:textId="168B8870" w:rsidR="007F43B9" w:rsidRPr="005A76D3" w:rsidRDefault="007F43B9" w:rsidP="007F43B9">
      <w:pPr>
        <w:pStyle w:val="SingleTxtG"/>
        <w:rPr>
          <w:lang w:val="fr-FR"/>
        </w:rPr>
      </w:pPr>
      <w:r w:rsidRPr="005A76D3">
        <w:rPr>
          <w:lang w:val="fr-FR"/>
        </w:rPr>
        <w:t>31.</w:t>
      </w:r>
      <w:r w:rsidRPr="005A76D3">
        <w:rPr>
          <w:lang w:val="fr-FR"/>
        </w:rPr>
        <w:tab/>
        <w:t xml:space="preserve">Il a appuyé l’intention du groupe informel de présenter la proposition reprise en annexe du document informel INF.9 au Groupe de travail des dispositions générales de sécurité (GRSG) du Forum mondial de l’harmonisation des Règlements concernant les véhicules (WP.29). Cette proposition visait à inclure </w:t>
      </w:r>
      <w:r w:rsidR="008424C9" w:rsidRPr="005A76D3">
        <w:rPr>
          <w:lang w:val="fr-FR"/>
        </w:rPr>
        <w:t xml:space="preserve">des </w:t>
      </w:r>
      <w:r w:rsidRPr="005A76D3">
        <w:rPr>
          <w:lang w:val="fr-FR"/>
        </w:rPr>
        <w:t xml:space="preserve">prescriptions relatives aux systèmes </w:t>
      </w:r>
      <w:r w:rsidRPr="005A76D3">
        <w:rPr>
          <w:lang w:val="fr-FR"/>
        </w:rPr>
        <w:lastRenderedPageBreak/>
        <w:t>d'extinction des incendies de moteur pour des véhicules spécifiques dans les Règlements ONU, par exemple dans le Règlement ONU No 105 ou No 107.</w:t>
      </w:r>
    </w:p>
    <w:p w14:paraId="50A99C02" w14:textId="77777777" w:rsidR="007F43B9" w:rsidRPr="005A76D3" w:rsidRDefault="007F43B9" w:rsidP="007F43B9">
      <w:pPr>
        <w:pStyle w:val="SingleTxtG"/>
        <w:rPr>
          <w:lang w:val="fr-FR"/>
        </w:rPr>
      </w:pPr>
      <w:r w:rsidRPr="005A76D3">
        <w:rPr>
          <w:lang w:val="fr-FR"/>
        </w:rPr>
        <w:t>32.</w:t>
      </w:r>
      <w:r w:rsidRPr="005A76D3">
        <w:rPr>
          <w:lang w:val="fr-FR"/>
        </w:rPr>
        <w:tab/>
        <w:t>Le Groupe de travail a noté que le groupe BLEVE n’avait pas prévu de dispositions concernant l’exigence d’inspections périodiques pour ces systèmes mais que ce point pourrait être discuté lors des prochaines réunions du groupe.</w:t>
      </w:r>
    </w:p>
    <w:p w14:paraId="15D2D1BF" w14:textId="0845E179" w:rsidR="007F43B9" w:rsidRPr="005A76D3" w:rsidRDefault="007F43B9" w:rsidP="007F43B9">
      <w:pPr>
        <w:pStyle w:val="SingleTxtG"/>
        <w:rPr>
          <w:lang w:val="fr-FR"/>
        </w:rPr>
      </w:pPr>
      <w:r w:rsidRPr="005A76D3">
        <w:rPr>
          <w:lang w:val="fr-FR"/>
        </w:rPr>
        <w:t>33.</w:t>
      </w:r>
      <w:r w:rsidRPr="005A76D3">
        <w:rPr>
          <w:lang w:val="fr-FR"/>
        </w:rPr>
        <w:tab/>
        <w:t xml:space="preserve">Le Groupe de travail a noté que le groupe de travail informel avait également discuté de la protection thermique des roues et que les discussions se poursuivraient lors des prochaines réunions. </w:t>
      </w:r>
    </w:p>
    <w:p w14:paraId="2169E238" w14:textId="77777777" w:rsidR="00155B8B" w:rsidRPr="005A76D3" w:rsidRDefault="00155B8B" w:rsidP="00155B8B">
      <w:pPr>
        <w:pStyle w:val="H23G"/>
        <w:rPr>
          <w:lang w:val="fr-FR"/>
        </w:rPr>
      </w:pPr>
      <w:r w:rsidRPr="005A76D3">
        <w:rPr>
          <w:lang w:val="fr-FR"/>
        </w:rPr>
        <w:tab/>
        <w:t>2.</w:t>
      </w:r>
      <w:r w:rsidRPr="005A76D3">
        <w:rPr>
          <w:lang w:val="fr-FR"/>
        </w:rPr>
        <w:tab/>
        <w:t>Véhicules électrifiés à batteries et véhicules alimentés à l’hydrogène</w:t>
      </w:r>
    </w:p>
    <w:p w14:paraId="7618552F" w14:textId="77777777" w:rsidR="00155B8B" w:rsidRPr="005A76D3" w:rsidRDefault="00155B8B" w:rsidP="00155B8B">
      <w:pPr>
        <w:pStyle w:val="SingleTxtG"/>
        <w:spacing w:after="0"/>
        <w:ind w:left="2268" w:hanging="1134"/>
      </w:pPr>
      <w:r w:rsidRPr="005A76D3">
        <w:rPr>
          <w:i/>
        </w:rPr>
        <w:t>Document </w:t>
      </w:r>
      <w:r w:rsidRPr="005A76D3">
        <w:t>:</w:t>
      </w:r>
      <w:r w:rsidRPr="005A76D3">
        <w:tab/>
      </w:r>
      <w:r w:rsidRPr="005A76D3">
        <w:rPr>
          <w:color w:val="000000"/>
          <w:lang w:val="fr-FR"/>
        </w:rPr>
        <w:t>ECE/TRANS/WP.15/2024/8 (</w:t>
      </w:r>
      <w:r w:rsidRPr="005A76D3">
        <w:rPr>
          <w:lang w:val="fr-FR"/>
        </w:rPr>
        <w:t>Pays-Bas, au nom du groupe de travail informel des véhicules électrifiés</w:t>
      </w:r>
      <w:r w:rsidRPr="005A76D3">
        <w:rPr>
          <w:color w:val="000000"/>
          <w:lang w:val="fr-FR"/>
        </w:rPr>
        <w:t>)</w:t>
      </w:r>
    </w:p>
    <w:p w14:paraId="1E88D9EC" w14:textId="77777777" w:rsidR="00155B8B" w:rsidRPr="005A76D3" w:rsidRDefault="00155B8B" w:rsidP="00155B8B">
      <w:pPr>
        <w:pStyle w:val="SingleTxtG"/>
        <w:ind w:left="2268" w:hanging="1134"/>
      </w:pPr>
      <w:r w:rsidRPr="005A76D3">
        <w:rPr>
          <w:i/>
        </w:rPr>
        <w:t xml:space="preserve">Documents informels </w:t>
      </w:r>
      <w:r w:rsidRPr="005A76D3">
        <w:t>:</w:t>
      </w:r>
      <w:r w:rsidRPr="005A76D3">
        <w:tab/>
        <w:t xml:space="preserve">INF.6 (Président </w:t>
      </w:r>
      <w:r w:rsidRPr="005A76D3">
        <w:rPr>
          <w:lang w:val="fr-FR"/>
        </w:rPr>
        <w:t>du groupe de travail informel des véhicules électrifiés</w:t>
      </w:r>
      <w:r w:rsidRPr="005A76D3">
        <w:t>), INF.14 (OICA)</w:t>
      </w:r>
    </w:p>
    <w:p w14:paraId="031CF14E" w14:textId="31DF4A17" w:rsidR="00155B8B" w:rsidRPr="005A76D3" w:rsidRDefault="003A442D" w:rsidP="00155B8B">
      <w:pPr>
        <w:pStyle w:val="SingleTxtG"/>
        <w:rPr>
          <w:lang w:val="fr-FR"/>
        </w:rPr>
      </w:pPr>
      <w:r w:rsidRPr="005A76D3">
        <w:rPr>
          <w:lang w:val="fr-FR" w:eastAsia="en-US"/>
        </w:rPr>
        <w:t>34</w:t>
      </w:r>
      <w:r w:rsidR="00155B8B" w:rsidRPr="005A76D3">
        <w:rPr>
          <w:lang w:val="fr-FR" w:eastAsia="en-US"/>
        </w:rPr>
        <w:t>.</w:t>
      </w:r>
      <w:r w:rsidR="00155B8B" w:rsidRPr="005A76D3">
        <w:rPr>
          <w:lang w:val="fr-FR" w:eastAsia="en-US"/>
        </w:rPr>
        <w:tab/>
        <w:t>À sa 114</w:t>
      </w:r>
      <w:r w:rsidR="00155B8B" w:rsidRPr="005A76D3">
        <w:rPr>
          <w:vertAlign w:val="superscript"/>
          <w:lang w:val="fr-FR" w:eastAsia="en-US"/>
        </w:rPr>
        <w:t>e</w:t>
      </w:r>
      <w:r w:rsidR="00155B8B" w:rsidRPr="005A76D3">
        <w:rPr>
          <w:lang w:val="fr-FR" w:eastAsia="en-US"/>
        </w:rPr>
        <w:t xml:space="preserve"> session, le Groupe de travail avait adopté des textes </w:t>
      </w:r>
      <w:r w:rsidR="00155B8B" w:rsidRPr="005A76D3">
        <w:rPr>
          <w:lang w:val="fr-FR"/>
        </w:rPr>
        <w:t>visant à ajouter, dans l’édition 2025 de l’ADR, les véhicules électriques à batteries à la catégorie des véhicules FL, les véhicules à piles à combustible à hydrogène aux catégories AT et FL, et les véhicules équipés d’un moteur à combustion interne utilisant l’hydrogène comme carburant aux catégories AT et FL. Ces textes, repris en annexe III du rapport ECE/TRANS/WP.15/264, avaient été maintenus entre crochets pour confirmation à la 115</w:t>
      </w:r>
      <w:r w:rsidR="00155B8B" w:rsidRPr="005A76D3">
        <w:rPr>
          <w:vertAlign w:val="superscript"/>
          <w:lang w:val="fr-FR"/>
        </w:rPr>
        <w:t>e</w:t>
      </w:r>
      <w:r w:rsidR="00155B8B" w:rsidRPr="005A76D3">
        <w:rPr>
          <w:lang w:val="fr-FR"/>
        </w:rPr>
        <w:t xml:space="preserve"> session.</w:t>
      </w:r>
    </w:p>
    <w:p w14:paraId="0861E427" w14:textId="5E2A3097" w:rsidR="00155B8B" w:rsidRPr="005A76D3" w:rsidRDefault="003A442D" w:rsidP="00155B8B">
      <w:pPr>
        <w:pStyle w:val="SingleTxtG"/>
        <w:rPr>
          <w:lang w:val="fr-FR"/>
        </w:rPr>
      </w:pPr>
      <w:r w:rsidRPr="005A76D3">
        <w:rPr>
          <w:lang w:val="fr-FR"/>
        </w:rPr>
        <w:t>35</w:t>
      </w:r>
      <w:r w:rsidR="00155B8B" w:rsidRPr="005A76D3">
        <w:rPr>
          <w:lang w:val="fr-FR"/>
        </w:rPr>
        <w:t>.</w:t>
      </w:r>
      <w:r w:rsidR="00155B8B" w:rsidRPr="005A76D3">
        <w:rPr>
          <w:lang w:val="fr-FR"/>
        </w:rPr>
        <w:tab/>
      </w:r>
      <w:r w:rsidR="00155B8B" w:rsidRPr="005A76D3">
        <w:rPr>
          <w:lang w:val="fr-FR" w:eastAsia="en-US"/>
        </w:rPr>
        <w:t xml:space="preserve">Le </w:t>
      </w:r>
      <w:r w:rsidR="00155B8B" w:rsidRPr="005A76D3">
        <w:rPr>
          <w:lang w:val="fr-FR"/>
        </w:rPr>
        <w:t xml:space="preserve">groupe de travail informel des véhicules électrifiés a proposé des modifications à ces textes dans le document ECE/TRANS/WP.15/2024/8, tel que complété et modifié par le document informel INF.6. </w:t>
      </w:r>
    </w:p>
    <w:p w14:paraId="2E7A6318" w14:textId="139701B3" w:rsidR="00155B8B" w:rsidRPr="005A76D3" w:rsidRDefault="003A442D" w:rsidP="00155B8B">
      <w:pPr>
        <w:pStyle w:val="SingleTxtG"/>
        <w:rPr>
          <w:lang w:val="fr-FR"/>
        </w:rPr>
      </w:pPr>
      <w:r w:rsidRPr="005A76D3">
        <w:rPr>
          <w:lang w:val="fr-FR"/>
        </w:rPr>
        <w:t>36</w:t>
      </w:r>
      <w:r w:rsidR="00155B8B" w:rsidRPr="005A76D3">
        <w:rPr>
          <w:lang w:val="fr-FR"/>
        </w:rPr>
        <w:t>.</w:t>
      </w:r>
      <w:r w:rsidR="00155B8B" w:rsidRPr="005A76D3">
        <w:rPr>
          <w:lang w:val="fr-FR"/>
        </w:rPr>
        <w:tab/>
        <w:t>La proposition 1 du document informel INF.6 n’a pas été adoptée. Le texte du 9.2.4.4.2 tel que figurant au ECE/TRANS/WP.15/264 a été maintenu avec une modification éditoriale.</w:t>
      </w:r>
    </w:p>
    <w:p w14:paraId="28385FA9" w14:textId="2328F8A3" w:rsidR="00155B8B" w:rsidRPr="005A76D3" w:rsidRDefault="003A442D" w:rsidP="00155B8B">
      <w:pPr>
        <w:pStyle w:val="SingleTxtG"/>
        <w:rPr>
          <w:lang w:val="fr-FR"/>
        </w:rPr>
      </w:pPr>
      <w:r w:rsidRPr="005A76D3">
        <w:rPr>
          <w:lang w:val="fr-FR"/>
        </w:rPr>
        <w:t>37</w:t>
      </w:r>
      <w:r w:rsidR="00155B8B" w:rsidRPr="005A76D3">
        <w:rPr>
          <w:lang w:val="fr-FR"/>
        </w:rPr>
        <w:t>.</w:t>
      </w:r>
      <w:r w:rsidR="00155B8B" w:rsidRPr="005A76D3">
        <w:rPr>
          <w:lang w:val="fr-FR"/>
        </w:rPr>
        <w:tab/>
        <w:t>La proposition 2 du document informel INF.6 a été adoptée avec une modification de la ligne relative au 9.2.4.4 dans le tableau du 9.2.1.1.</w:t>
      </w:r>
    </w:p>
    <w:p w14:paraId="15BA99B8" w14:textId="75D73910" w:rsidR="00155B8B" w:rsidRPr="005A76D3" w:rsidRDefault="003A442D" w:rsidP="00155B8B">
      <w:pPr>
        <w:pStyle w:val="SingleTxtG"/>
        <w:rPr>
          <w:lang w:val="fr-FR"/>
        </w:rPr>
      </w:pPr>
      <w:r w:rsidRPr="005A76D3">
        <w:rPr>
          <w:lang w:val="fr-FR"/>
        </w:rPr>
        <w:t>38</w:t>
      </w:r>
      <w:r w:rsidR="00155B8B" w:rsidRPr="005A76D3">
        <w:rPr>
          <w:lang w:val="fr-FR"/>
        </w:rPr>
        <w:t>.</w:t>
      </w:r>
      <w:r w:rsidR="00155B8B" w:rsidRPr="005A76D3">
        <w:rPr>
          <w:lang w:val="fr-FR"/>
        </w:rPr>
        <w:tab/>
        <w:t>La proposition 3 du document informel INF.6 a été adoptée en tant que nouveau 9.2.4.4.4.</w:t>
      </w:r>
    </w:p>
    <w:p w14:paraId="32A7F655" w14:textId="5CB50F53" w:rsidR="00155B8B" w:rsidRPr="005A76D3" w:rsidRDefault="003A442D" w:rsidP="00155B8B">
      <w:pPr>
        <w:pStyle w:val="SingleTxtG"/>
        <w:rPr>
          <w:lang w:val="fr-FR"/>
        </w:rPr>
      </w:pPr>
      <w:r w:rsidRPr="005A76D3">
        <w:rPr>
          <w:lang w:val="fr-FR"/>
        </w:rPr>
        <w:t>39</w:t>
      </w:r>
      <w:r w:rsidR="00155B8B" w:rsidRPr="005A76D3">
        <w:rPr>
          <w:lang w:val="fr-FR"/>
        </w:rPr>
        <w:t>.</w:t>
      </w:r>
      <w:r w:rsidR="00155B8B" w:rsidRPr="005A76D3">
        <w:rPr>
          <w:lang w:val="fr-FR"/>
        </w:rPr>
        <w:tab/>
        <w:t>Concernant la proposition 4 (mesure transitoire 1.6.5.4), le Groupe de travail est convenu que la période transitoire n’était nécessaire que pour les véhicules AT pour lesquels certaines dispositions de l’ADR 2023 étaient modifiées.</w:t>
      </w:r>
    </w:p>
    <w:p w14:paraId="70A1EBD6" w14:textId="00C2900B" w:rsidR="00155B8B" w:rsidRPr="005A76D3" w:rsidRDefault="003A442D" w:rsidP="00155B8B">
      <w:pPr>
        <w:pStyle w:val="SingleTxtG"/>
        <w:rPr>
          <w:lang w:val="fr-FR"/>
        </w:rPr>
      </w:pPr>
      <w:r w:rsidRPr="005A76D3">
        <w:rPr>
          <w:lang w:val="fr-FR"/>
        </w:rPr>
        <w:t>40</w:t>
      </w:r>
      <w:r w:rsidR="00155B8B" w:rsidRPr="005A76D3">
        <w:rPr>
          <w:lang w:val="fr-FR"/>
        </w:rPr>
        <w:t>.</w:t>
      </w:r>
      <w:r w:rsidR="00155B8B" w:rsidRPr="005A76D3">
        <w:rPr>
          <w:lang w:val="fr-FR"/>
        </w:rPr>
        <w:tab/>
        <w:t>Le Groupe de travail a noté que l’ajout de « utilisant d’autres carburants que l’hydrogène » tel que proposé dans ECE/TRANS/WP.15/2024/8 visait à clarifier que les véhicules AT utilisant l’hydrogène comme carburant dev</w:t>
      </w:r>
      <w:r w:rsidR="00D65E6D" w:rsidRPr="005A76D3">
        <w:rPr>
          <w:lang w:val="fr-FR"/>
        </w:rPr>
        <w:t>r</w:t>
      </w:r>
      <w:r w:rsidR="00155B8B" w:rsidRPr="005A76D3">
        <w:rPr>
          <w:lang w:val="fr-FR"/>
        </w:rPr>
        <w:t xml:space="preserve">aient répondre aux nouvelles dispositions applicables aux réservoirs de carburant, dès l’entrée en vigueur de l’ADR 2025. </w:t>
      </w:r>
    </w:p>
    <w:p w14:paraId="188F42DF" w14:textId="77777777" w:rsidR="00B100B7" w:rsidRPr="005A76D3" w:rsidRDefault="003A442D" w:rsidP="000220CB">
      <w:pPr>
        <w:pStyle w:val="SingleTxtG"/>
        <w:rPr>
          <w:lang w:val="fr-FR"/>
        </w:rPr>
      </w:pPr>
      <w:r w:rsidRPr="005A76D3">
        <w:rPr>
          <w:lang w:val="fr-FR"/>
        </w:rPr>
        <w:t>41</w:t>
      </w:r>
      <w:r w:rsidR="00155B8B" w:rsidRPr="005A76D3">
        <w:rPr>
          <w:lang w:val="fr-FR"/>
        </w:rPr>
        <w:t>.</w:t>
      </w:r>
      <w:r w:rsidR="00155B8B" w:rsidRPr="005A76D3">
        <w:rPr>
          <w:lang w:val="fr-FR"/>
        </w:rPr>
        <w:tab/>
        <w:t xml:space="preserve">Le Groupe de travail a adopté les textes figurant en annexe III du rapport ECE/TRANS/WP.15/264 de la précédente session ainsi modifiés (voir annexe </w:t>
      </w:r>
      <w:r w:rsidR="00DF3FAA" w:rsidRPr="005A76D3">
        <w:rPr>
          <w:lang w:val="fr-FR"/>
        </w:rPr>
        <w:t>I).</w:t>
      </w:r>
    </w:p>
    <w:p w14:paraId="16764BCC" w14:textId="4B051E68" w:rsidR="000220CB" w:rsidRPr="005A76D3" w:rsidRDefault="003A442D" w:rsidP="000220CB">
      <w:pPr>
        <w:pStyle w:val="SingleTxtG"/>
        <w:rPr>
          <w:lang w:val="fr-FR"/>
        </w:rPr>
      </w:pPr>
      <w:r w:rsidRPr="005A76D3">
        <w:rPr>
          <w:lang w:val="fr-FR"/>
        </w:rPr>
        <w:t>42</w:t>
      </w:r>
      <w:r w:rsidR="000220CB" w:rsidRPr="005A76D3">
        <w:rPr>
          <w:lang w:val="fr-FR"/>
        </w:rPr>
        <w:t>.</w:t>
      </w:r>
      <w:r w:rsidR="000220CB" w:rsidRPr="005A76D3">
        <w:rPr>
          <w:lang w:val="fr-FR"/>
        </w:rPr>
        <w:tab/>
        <w:t>Le représentant du Luxembourg a informé le Groupe de travail de son intention d’initier un accord multilatéral pour permettre d’anticiper ces nouvelles dispositions pour l’agrément de véhicules fonctionnant à l’hydrogène comme carburant en tant que véhicules AT et FL.</w:t>
      </w:r>
    </w:p>
    <w:p w14:paraId="1D5D131B" w14:textId="3DE6BD62" w:rsidR="00155B8B" w:rsidRPr="005A76D3" w:rsidRDefault="003A442D" w:rsidP="00155B8B">
      <w:pPr>
        <w:pStyle w:val="SingleTxtG"/>
        <w:rPr>
          <w:lang w:val="fr-FR"/>
        </w:rPr>
      </w:pPr>
      <w:r w:rsidRPr="005A76D3">
        <w:rPr>
          <w:lang w:val="fr-FR"/>
        </w:rPr>
        <w:t>43</w:t>
      </w:r>
      <w:r w:rsidR="00155B8B" w:rsidRPr="005A76D3">
        <w:rPr>
          <w:lang w:val="fr-FR"/>
        </w:rPr>
        <w:t>.</w:t>
      </w:r>
      <w:r w:rsidR="00155B8B" w:rsidRPr="005A76D3">
        <w:rPr>
          <w:lang w:val="fr-FR"/>
        </w:rPr>
        <w:tab/>
        <w:t>Le Groupe de travail a de nouveau remercié le groupe de travail informel des véhicules électrifiés et son président, le représentant des Pays-Bas, pour l’important travail effectué. Le Groupe de travail a soutenu la proposition du groupe informel de poursuivre les travaux visant à développer, le cas échéant, des dispositions pour la construction des remorques et la carrosserie et pour les véhicules EX.</w:t>
      </w:r>
    </w:p>
    <w:p w14:paraId="4F1346AF" w14:textId="77777777" w:rsidR="009F443D" w:rsidRPr="005A76D3" w:rsidRDefault="009F443D" w:rsidP="001B528F">
      <w:pPr>
        <w:pStyle w:val="H23G"/>
        <w:rPr>
          <w:lang w:val="fr-FR"/>
        </w:rPr>
      </w:pPr>
      <w:r w:rsidRPr="005A76D3">
        <w:rPr>
          <w:lang w:val="fr-FR"/>
        </w:rPr>
        <w:lastRenderedPageBreak/>
        <w:tab/>
        <w:t>3.</w:t>
      </w:r>
      <w:r w:rsidRPr="005A76D3">
        <w:rPr>
          <w:lang w:val="fr-FR"/>
        </w:rPr>
        <w:tab/>
        <w:t>Tableau du 9.2.1.1</w:t>
      </w:r>
    </w:p>
    <w:p w14:paraId="318B85D6" w14:textId="77777777" w:rsidR="009F443D" w:rsidRPr="005A76D3" w:rsidRDefault="009F443D" w:rsidP="001B528F">
      <w:pPr>
        <w:pStyle w:val="SingleTxtG"/>
        <w:keepNext/>
        <w:keepLines/>
        <w:ind w:left="2268" w:hanging="1134"/>
      </w:pPr>
      <w:r w:rsidRPr="005A76D3">
        <w:rPr>
          <w:i/>
        </w:rPr>
        <w:t>Document </w:t>
      </w:r>
      <w:r w:rsidRPr="005A76D3">
        <w:t>:</w:t>
      </w:r>
      <w:r w:rsidRPr="005A76D3">
        <w:tab/>
      </w:r>
      <w:r w:rsidRPr="005A76D3">
        <w:rPr>
          <w:color w:val="000000"/>
          <w:lang w:val="fr-FR"/>
        </w:rPr>
        <w:t>ECE/TRANS/WP.15/2024/7 (</w:t>
      </w:r>
      <w:r w:rsidRPr="005A76D3">
        <w:rPr>
          <w:lang w:val="fr-FR"/>
        </w:rPr>
        <w:t>Pays-Bas</w:t>
      </w:r>
      <w:r w:rsidRPr="005A76D3">
        <w:rPr>
          <w:color w:val="000000"/>
          <w:lang w:val="fr-FR"/>
        </w:rPr>
        <w:t>)</w:t>
      </w:r>
    </w:p>
    <w:p w14:paraId="509A298C" w14:textId="77777777" w:rsidR="009F443D" w:rsidRPr="005A76D3" w:rsidRDefault="009F443D" w:rsidP="001B528F">
      <w:pPr>
        <w:pStyle w:val="SingleTxtG"/>
        <w:keepNext/>
        <w:keepLines/>
        <w:ind w:left="2268" w:hanging="1134"/>
      </w:pPr>
      <w:r w:rsidRPr="005A76D3">
        <w:rPr>
          <w:i/>
        </w:rPr>
        <w:t xml:space="preserve">Document informel </w:t>
      </w:r>
      <w:r w:rsidRPr="005A76D3">
        <w:t>:</w:t>
      </w:r>
      <w:r w:rsidRPr="005A76D3">
        <w:tab/>
        <w:t>INF.10 (Pays-Bas)</w:t>
      </w:r>
    </w:p>
    <w:p w14:paraId="4538D2A6" w14:textId="7E1A0DE5" w:rsidR="009F443D" w:rsidRPr="005A76D3" w:rsidRDefault="003A442D" w:rsidP="001B528F">
      <w:pPr>
        <w:pStyle w:val="SingleTxtG"/>
        <w:keepNext/>
        <w:keepLines/>
        <w:rPr>
          <w:color w:val="000000"/>
          <w:lang w:val="fr-FR"/>
        </w:rPr>
      </w:pPr>
      <w:r w:rsidRPr="005A76D3">
        <w:rPr>
          <w:lang w:val="fr-FR"/>
        </w:rPr>
        <w:t>44</w:t>
      </w:r>
      <w:r w:rsidR="009F443D" w:rsidRPr="005A76D3">
        <w:rPr>
          <w:lang w:val="fr-FR"/>
        </w:rPr>
        <w:t>.</w:t>
      </w:r>
      <w:r w:rsidR="009F443D" w:rsidRPr="005A76D3">
        <w:rPr>
          <w:lang w:val="fr-FR"/>
        </w:rPr>
        <w:tab/>
        <w:t xml:space="preserve">Le Groupe de travail a adopté des modifications au tableau du 9.2.1.1 et une mesure transitoire pour les véhicules AT non conformes aux dispositions du 9.2.4.3.1 en ce qui concerne les moteurs comme proposé dans les documents </w:t>
      </w:r>
      <w:r w:rsidR="009F443D" w:rsidRPr="005A76D3">
        <w:rPr>
          <w:color w:val="000000"/>
          <w:lang w:val="fr-FR"/>
        </w:rPr>
        <w:t xml:space="preserve">ECE/TRANS/WP.15/2024/7 et INF.10 avec quelques modifications rédactionnelles et en modifiant la date d’application pour s’aligner sur les décisions précédentes concernant les mesures transitoires applicables aux véhicules AT (voir annexe </w:t>
      </w:r>
      <w:r w:rsidR="007B2E14" w:rsidRPr="005A76D3">
        <w:rPr>
          <w:color w:val="000000"/>
          <w:lang w:val="fr-FR"/>
        </w:rPr>
        <w:t>I).</w:t>
      </w:r>
    </w:p>
    <w:p w14:paraId="2FF60EA3" w14:textId="31197B2B" w:rsidR="009F443D" w:rsidRPr="005A76D3" w:rsidRDefault="003A442D" w:rsidP="009F443D">
      <w:pPr>
        <w:pStyle w:val="SingleTxtG"/>
        <w:rPr>
          <w:lang w:val="fr-FR"/>
        </w:rPr>
      </w:pPr>
      <w:r w:rsidRPr="005A76D3">
        <w:rPr>
          <w:color w:val="000000"/>
          <w:lang w:val="fr-FR"/>
        </w:rPr>
        <w:t>45</w:t>
      </w:r>
      <w:r w:rsidR="009F443D" w:rsidRPr="005A76D3">
        <w:rPr>
          <w:color w:val="000000"/>
          <w:lang w:val="fr-FR"/>
        </w:rPr>
        <w:t>.</w:t>
      </w:r>
      <w:r w:rsidR="009F443D" w:rsidRPr="005A76D3">
        <w:rPr>
          <w:color w:val="000000"/>
          <w:lang w:val="fr-FR"/>
        </w:rPr>
        <w:tab/>
        <w:t>Le Groupe de travail a noté qu’il conviendrait de modifier la terminologie utilisée dans les consignes écrites pour faire référence à la « </w:t>
      </w:r>
      <w:r w:rsidR="009F443D" w:rsidRPr="005A76D3">
        <w:rPr>
          <w:lang w:val="fr-FR" w:eastAsia="fr-FR"/>
        </w:rPr>
        <w:t>mise hors tension des circuits électriques » au lieu du « c</w:t>
      </w:r>
      <w:r w:rsidR="009F443D" w:rsidRPr="005A76D3">
        <w:rPr>
          <w:rFonts w:ascii="TimesNewRomanPSMT" w:hAnsi="TimesNewRomanPSMT" w:cs="TimesNewRomanPSMT"/>
          <w:lang w:val="fr-FR" w:eastAsia="fr-FR"/>
        </w:rPr>
        <w:t>oupe-circuit de batterie ».</w:t>
      </w:r>
      <w:r w:rsidR="009F443D" w:rsidRPr="005A76D3">
        <w:rPr>
          <w:lang w:val="fr-FR" w:eastAsia="fr-FR"/>
        </w:rPr>
        <w:t xml:space="preserve"> </w:t>
      </w:r>
      <w:r w:rsidR="009F443D" w:rsidRPr="005A76D3">
        <w:rPr>
          <w:color w:val="000000"/>
          <w:lang w:val="fr-FR"/>
        </w:rPr>
        <w:t xml:space="preserve">Il a cependant été rappelé que les modifications fréquentes des consignes écrites n’étaient pas souhaitables et qu’il était préférable de grouper cette proposition d’amendement avec d’autres propositions pour prise en compte dans l’ADR 2027. Le Groupe de travail a invité les délégations qui avaient déjà fait des propositions de modifications depuis l’entrée en vigueur de la version actuelle (ADR 2017) à présenter à nouveau ces propositions à une prochaine session. </w:t>
      </w:r>
    </w:p>
    <w:p w14:paraId="0D9C3F03" w14:textId="77777777" w:rsidR="009F443D" w:rsidRPr="005A76D3" w:rsidRDefault="009F443D" w:rsidP="009F443D">
      <w:pPr>
        <w:pStyle w:val="H23G"/>
        <w:rPr>
          <w:lang w:val="fr-FR"/>
        </w:rPr>
      </w:pPr>
      <w:r w:rsidRPr="005A76D3">
        <w:rPr>
          <w:lang w:val="fr-FR"/>
        </w:rPr>
        <w:tab/>
        <w:t>4.</w:t>
      </w:r>
      <w:r w:rsidRPr="005A76D3">
        <w:rPr>
          <w:lang w:val="fr-FR"/>
        </w:rPr>
        <w:tab/>
        <w:t xml:space="preserve">Circuits exemptés de la protection par fusible ou par disjoncteur automatique </w:t>
      </w:r>
    </w:p>
    <w:p w14:paraId="3E2A079E" w14:textId="77777777" w:rsidR="009F443D" w:rsidRPr="005A76D3" w:rsidRDefault="009F443D" w:rsidP="009F443D">
      <w:pPr>
        <w:pStyle w:val="SingleTxtG"/>
        <w:ind w:left="2268" w:hanging="1134"/>
      </w:pPr>
      <w:r w:rsidRPr="005A76D3">
        <w:rPr>
          <w:i/>
        </w:rPr>
        <w:t>Document </w:t>
      </w:r>
      <w:r w:rsidRPr="005A76D3">
        <w:t>:</w:t>
      </w:r>
      <w:r w:rsidRPr="005A76D3">
        <w:tab/>
      </w:r>
      <w:r w:rsidRPr="005A76D3">
        <w:rPr>
          <w:color w:val="000000"/>
          <w:lang w:val="fr-FR"/>
        </w:rPr>
        <w:t>ECE/TRANS/WP.15/2024/4 (</w:t>
      </w:r>
      <w:r w:rsidRPr="005A76D3">
        <w:rPr>
          <w:lang w:val="fr-FR"/>
        </w:rPr>
        <w:t>OICA</w:t>
      </w:r>
      <w:r w:rsidRPr="005A76D3">
        <w:rPr>
          <w:color w:val="000000"/>
          <w:lang w:val="fr-FR"/>
        </w:rPr>
        <w:t>)</w:t>
      </w:r>
    </w:p>
    <w:p w14:paraId="6D7314B5" w14:textId="6DC32D2D" w:rsidR="009F443D" w:rsidRPr="005A76D3" w:rsidRDefault="003A442D" w:rsidP="009F443D">
      <w:pPr>
        <w:pStyle w:val="SingleTxtG"/>
        <w:rPr>
          <w:color w:val="000000"/>
          <w:lang w:val="fr-FR"/>
        </w:rPr>
      </w:pPr>
      <w:r w:rsidRPr="005A76D3">
        <w:rPr>
          <w:lang w:val="fr-FR"/>
        </w:rPr>
        <w:t>46</w:t>
      </w:r>
      <w:r w:rsidR="009F443D" w:rsidRPr="005A76D3">
        <w:rPr>
          <w:lang w:val="fr-FR"/>
        </w:rPr>
        <w:t>.</w:t>
      </w:r>
      <w:r w:rsidR="009F443D" w:rsidRPr="005A76D3">
        <w:rPr>
          <w:lang w:val="fr-FR"/>
        </w:rPr>
        <w:tab/>
        <w:t xml:space="preserve">Le Groupe de travail a adopté la proposition qui visait à ajouter le circuit de la batterie à la direction électrique dans les circuits exemptés au 9.2.2.3 (voir annexe </w:t>
      </w:r>
      <w:r w:rsidR="007B2E14" w:rsidRPr="005A76D3">
        <w:rPr>
          <w:lang w:val="fr-FR"/>
        </w:rPr>
        <w:t>I).</w:t>
      </w:r>
    </w:p>
    <w:p w14:paraId="72EE5B90" w14:textId="77777777" w:rsidR="009F443D" w:rsidRPr="005A76D3" w:rsidRDefault="009F443D" w:rsidP="009F443D">
      <w:pPr>
        <w:pStyle w:val="H23G"/>
        <w:rPr>
          <w:lang w:val="fr-FR"/>
        </w:rPr>
      </w:pPr>
      <w:r w:rsidRPr="005A76D3">
        <w:rPr>
          <w:lang w:val="fr-FR"/>
        </w:rPr>
        <w:tab/>
        <w:t>5.</w:t>
      </w:r>
      <w:r w:rsidRPr="005A76D3">
        <w:rPr>
          <w:lang w:val="fr-FR"/>
        </w:rPr>
        <w:tab/>
        <w:t>Application du chapitre 9.7 aux équipements électriques</w:t>
      </w:r>
    </w:p>
    <w:p w14:paraId="3D3B8E3C" w14:textId="77777777" w:rsidR="009F443D" w:rsidRPr="005A76D3" w:rsidRDefault="009F443D" w:rsidP="009F443D">
      <w:pPr>
        <w:pStyle w:val="SingleTxtG"/>
        <w:ind w:left="2268" w:hanging="1134"/>
      </w:pPr>
      <w:r w:rsidRPr="005A76D3">
        <w:rPr>
          <w:i/>
        </w:rPr>
        <w:t>Document </w:t>
      </w:r>
      <w:r w:rsidRPr="005A76D3">
        <w:t>:</w:t>
      </w:r>
      <w:r w:rsidRPr="005A76D3">
        <w:tab/>
      </w:r>
      <w:r w:rsidRPr="005A76D3">
        <w:rPr>
          <w:color w:val="000000"/>
          <w:lang w:val="fr-FR"/>
        </w:rPr>
        <w:t>ECE/TRANS/WP.15/2024/5 (</w:t>
      </w:r>
      <w:r w:rsidRPr="005A76D3">
        <w:rPr>
          <w:lang w:val="fr-FR"/>
        </w:rPr>
        <w:t>Pays-Bas</w:t>
      </w:r>
      <w:r w:rsidRPr="005A76D3">
        <w:rPr>
          <w:color w:val="000000"/>
          <w:lang w:val="fr-FR"/>
        </w:rPr>
        <w:t>)</w:t>
      </w:r>
    </w:p>
    <w:p w14:paraId="30CC756E" w14:textId="27B1D4F8" w:rsidR="009F443D" w:rsidRPr="005A76D3" w:rsidRDefault="003A442D" w:rsidP="009F443D">
      <w:pPr>
        <w:pStyle w:val="SingleTxtG"/>
        <w:rPr>
          <w:lang w:val="fr-FR"/>
        </w:rPr>
      </w:pPr>
      <w:r w:rsidRPr="005A76D3">
        <w:rPr>
          <w:lang w:val="fr-FR"/>
        </w:rPr>
        <w:t>47</w:t>
      </w:r>
      <w:r w:rsidR="009F443D" w:rsidRPr="005A76D3">
        <w:rPr>
          <w:lang w:val="fr-FR"/>
        </w:rPr>
        <w:tab/>
        <w:t xml:space="preserve">Le Groupe de travail a adopté la proposition de supprimer l’amendement au titre du 9.7.8 dans le document ECE/TRANS/WP.15/265 (voir annexe </w:t>
      </w:r>
      <w:r w:rsidR="00336BEA" w:rsidRPr="005A76D3">
        <w:rPr>
          <w:lang w:val="fr-FR"/>
        </w:rPr>
        <w:t xml:space="preserve">III). </w:t>
      </w:r>
      <w:r w:rsidR="009F443D" w:rsidRPr="005A76D3">
        <w:rPr>
          <w:lang w:val="fr-FR"/>
        </w:rPr>
        <w:t xml:space="preserve">Il a également adopté la proposition d’amendement du 9.7.8.1 avec des modifications rédactionnelles (voir annexe </w:t>
      </w:r>
      <w:r w:rsidR="00625C7F" w:rsidRPr="005A76D3">
        <w:rPr>
          <w:lang w:val="fr-FR"/>
        </w:rPr>
        <w:t>I).</w:t>
      </w:r>
    </w:p>
    <w:p w14:paraId="2EC1CA70" w14:textId="6C43EF47" w:rsidR="009F443D" w:rsidRPr="005A76D3" w:rsidRDefault="003A442D" w:rsidP="009F443D">
      <w:pPr>
        <w:pStyle w:val="SingleTxtG"/>
        <w:rPr>
          <w:color w:val="000000"/>
          <w:lang w:val="fr-FR"/>
        </w:rPr>
      </w:pPr>
      <w:r w:rsidRPr="005A76D3">
        <w:rPr>
          <w:lang w:val="fr-FR"/>
        </w:rPr>
        <w:t>48</w:t>
      </w:r>
      <w:r w:rsidR="009F443D" w:rsidRPr="005A76D3">
        <w:rPr>
          <w:lang w:val="fr-FR"/>
        </w:rPr>
        <w:t>.</w:t>
      </w:r>
      <w:r w:rsidR="009F443D" w:rsidRPr="005A76D3">
        <w:rPr>
          <w:lang w:val="fr-FR"/>
        </w:rPr>
        <w:tab/>
        <w:t>La proposition d’amendement du 9.7.8.2 n’a pas reçu de soutien et a été supprimée.</w:t>
      </w:r>
    </w:p>
    <w:p w14:paraId="5B7FFD7B" w14:textId="77777777" w:rsidR="009F443D" w:rsidRPr="005A76D3" w:rsidRDefault="009F443D" w:rsidP="009F443D">
      <w:pPr>
        <w:pStyle w:val="H23G"/>
        <w:rPr>
          <w:lang w:val="fr-FR"/>
        </w:rPr>
      </w:pPr>
      <w:r w:rsidRPr="005A76D3">
        <w:rPr>
          <w:lang w:val="fr-FR"/>
        </w:rPr>
        <w:tab/>
        <w:t>6.</w:t>
      </w:r>
      <w:r w:rsidRPr="005A76D3">
        <w:rPr>
          <w:lang w:val="fr-FR"/>
        </w:rPr>
        <w:tab/>
        <w:t>Protection arrière des véhicules</w:t>
      </w:r>
    </w:p>
    <w:p w14:paraId="582C4CDF" w14:textId="77777777" w:rsidR="009F443D" w:rsidRPr="005A76D3" w:rsidRDefault="009F443D" w:rsidP="009F443D">
      <w:pPr>
        <w:pStyle w:val="SingleTxtG"/>
        <w:ind w:left="2268" w:hanging="1134"/>
      </w:pPr>
      <w:r w:rsidRPr="005A76D3">
        <w:rPr>
          <w:i/>
        </w:rPr>
        <w:t>Document </w:t>
      </w:r>
      <w:r w:rsidRPr="005A76D3">
        <w:t>:</w:t>
      </w:r>
      <w:r w:rsidRPr="005A76D3">
        <w:tab/>
      </w:r>
      <w:r w:rsidRPr="005A76D3">
        <w:rPr>
          <w:color w:val="000000"/>
          <w:lang w:val="fr-FR"/>
        </w:rPr>
        <w:t>ECE/TRANS/WP.15/2024/6 (</w:t>
      </w:r>
      <w:r w:rsidRPr="005A76D3">
        <w:rPr>
          <w:lang w:val="fr-FR"/>
        </w:rPr>
        <w:t>Royaume-Uni</w:t>
      </w:r>
      <w:r w:rsidRPr="005A76D3">
        <w:rPr>
          <w:color w:val="000000"/>
          <w:lang w:val="fr-FR"/>
        </w:rPr>
        <w:t>)</w:t>
      </w:r>
    </w:p>
    <w:p w14:paraId="368DE426" w14:textId="053F780C" w:rsidR="009F443D" w:rsidRPr="005A76D3" w:rsidRDefault="003A442D" w:rsidP="009F443D">
      <w:pPr>
        <w:pStyle w:val="SingleTxtG"/>
        <w:rPr>
          <w:lang w:val="fr-FR" w:eastAsia="en-US"/>
        </w:rPr>
      </w:pPr>
      <w:r w:rsidRPr="005A76D3">
        <w:rPr>
          <w:lang w:val="fr-FR"/>
        </w:rPr>
        <w:t>49</w:t>
      </w:r>
      <w:r w:rsidR="009F443D" w:rsidRPr="005A76D3">
        <w:rPr>
          <w:lang w:val="fr-FR"/>
        </w:rPr>
        <w:t>.</w:t>
      </w:r>
      <w:r w:rsidR="009F443D" w:rsidRPr="005A76D3">
        <w:rPr>
          <w:lang w:val="fr-FR"/>
        </w:rPr>
        <w:tab/>
        <w:t xml:space="preserve">La majorité des délégations étaient en faveur de l’option 1 proposée par le Royaume-Uni, c’est-à-dire </w:t>
      </w:r>
      <w:r w:rsidR="009F443D" w:rsidRPr="005A76D3">
        <w:rPr>
          <w:lang w:val="fr-FR" w:eastAsia="en-US"/>
        </w:rPr>
        <w:t xml:space="preserve">d’avoir une même distance minimale requise entre la citerne et la barre anti-encastrement pour toutes les citernes. </w:t>
      </w:r>
    </w:p>
    <w:p w14:paraId="7C76572C" w14:textId="6EED2492" w:rsidR="009F443D" w:rsidRPr="005A76D3" w:rsidRDefault="003A442D" w:rsidP="009F443D">
      <w:pPr>
        <w:pStyle w:val="SingleTxtG"/>
        <w:rPr>
          <w:lang w:val="fr-FR"/>
        </w:rPr>
      </w:pPr>
      <w:r w:rsidRPr="005A76D3">
        <w:rPr>
          <w:lang w:val="fr-FR" w:eastAsia="en-US"/>
        </w:rPr>
        <w:t>50</w:t>
      </w:r>
      <w:r w:rsidR="009F443D" w:rsidRPr="005A76D3">
        <w:rPr>
          <w:lang w:val="fr-FR" w:eastAsia="en-US"/>
        </w:rPr>
        <w:t>.</w:t>
      </w:r>
      <w:r w:rsidR="009F443D" w:rsidRPr="005A76D3">
        <w:rPr>
          <w:lang w:val="fr-FR" w:eastAsia="en-US"/>
        </w:rPr>
        <w:tab/>
        <w:t xml:space="preserve">Le Groupe de travail est convenu que certains points restaient à clarifier, notamment concernant les valeurs maintenues entre crochets et les références au Règlement ONU No 58. </w:t>
      </w:r>
    </w:p>
    <w:p w14:paraId="62FB3D3A" w14:textId="1AA0E86E" w:rsidR="009F443D" w:rsidRPr="005A76D3" w:rsidRDefault="003A442D" w:rsidP="009F443D">
      <w:pPr>
        <w:pStyle w:val="SingleTxtG"/>
        <w:rPr>
          <w:lang w:val="fr-FR" w:eastAsia="en-US"/>
        </w:rPr>
      </w:pPr>
      <w:r w:rsidRPr="005A76D3">
        <w:rPr>
          <w:lang w:val="fr-FR"/>
        </w:rPr>
        <w:t>51</w:t>
      </w:r>
      <w:r w:rsidR="009F443D" w:rsidRPr="005A76D3">
        <w:rPr>
          <w:lang w:val="fr-FR"/>
        </w:rPr>
        <w:t>.</w:t>
      </w:r>
      <w:r w:rsidR="009F443D" w:rsidRPr="005A76D3">
        <w:rPr>
          <w:lang w:val="fr-FR"/>
        </w:rPr>
        <w:tab/>
      </w:r>
      <w:r w:rsidR="009F443D" w:rsidRPr="005A76D3">
        <w:rPr>
          <w:lang w:val="fr-FR" w:eastAsia="en-US"/>
        </w:rPr>
        <w:t xml:space="preserve">Le Groupe de travail a noté que le Royaume-Uni présenterait une proposition révisée à la session suivante en prenant en considération les commentaires reçus. </w:t>
      </w:r>
    </w:p>
    <w:p w14:paraId="5B68B8DA" w14:textId="77777777" w:rsidR="009F443D" w:rsidRPr="005A76D3" w:rsidRDefault="009F443D" w:rsidP="009F443D">
      <w:pPr>
        <w:pStyle w:val="H23G"/>
        <w:rPr>
          <w:lang w:val="fr-FR"/>
        </w:rPr>
      </w:pPr>
      <w:r w:rsidRPr="005A76D3">
        <w:rPr>
          <w:lang w:val="fr-FR"/>
        </w:rPr>
        <w:tab/>
        <w:t>7.</w:t>
      </w:r>
      <w:r w:rsidRPr="005A76D3">
        <w:rPr>
          <w:lang w:val="fr-FR"/>
        </w:rPr>
        <w:tab/>
        <w:t>Systèmes à caméra et moniteur installés sur les véhicules EX/III et FL</w:t>
      </w:r>
    </w:p>
    <w:p w14:paraId="5B887AC8" w14:textId="77777777" w:rsidR="009F443D" w:rsidRPr="005A76D3" w:rsidRDefault="009F443D" w:rsidP="009F443D">
      <w:pPr>
        <w:pStyle w:val="SingleTxtG"/>
        <w:ind w:left="2268" w:hanging="1134"/>
      </w:pPr>
      <w:r w:rsidRPr="005A76D3">
        <w:rPr>
          <w:i/>
        </w:rPr>
        <w:t>Document informel </w:t>
      </w:r>
      <w:r w:rsidRPr="005A76D3">
        <w:t>:</w:t>
      </w:r>
      <w:r w:rsidRPr="005A76D3">
        <w:tab/>
      </w:r>
      <w:r w:rsidRPr="005A76D3">
        <w:rPr>
          <w:color w:val="000000"/>
          <w:lang w:val="fr-FR"/>
        </w:rPr>
        <w:t>INF.7 (</w:t>
      </w:r>
      <w:r w:rsidRPr="005A76D3">
        <w:rPr>
          <w:lang w:val="fr-FR"/>
        </w:rPr>
        <w:t>Allemagne et Pays-Bas</w:t>
      </w:r>
      <w:r w:rsidRPr="005A76D3">
        <w:rPr>
          <w:color w:val="000000"/>
          <w:lang w:val="fr-FR"/>
        </w:rPr>
        <w:t>)</w:t>
      </w:r>
    </w:p>
    <w:p w14:paraId="1DDB209A" w14:textId="2A019350" w:rsidR="009F443D" w:rsidRPr="005A76D3" w:rsidRDefault="003A442D" w:rsidP="009F443D">
      <w:pPr>
        <w:pStyle w:val="SingleTxtG"/>
        <w:rPr>
          <w:lang w:val="fr-FR"/>
        </w:rPr>
      </w:pPr>
      <w:r w:rsidRPr="005A76D3">
        <w:rPr>
          <w:lang w:val="fr-FR"/>
        </w:rPr>
        <w:t>52</w:t>
      </w:r>
      <w:r w:rsidR="009F443D" w:rsidRPr="005A76D3">
        <w:rPr>
          <w:lang w:val="fr-FR"/>
        </w:rPr>
        <w:t>.</w:t>
      </w:r>
      <w:r w:rsidR="009F443D" w:rsidRPr="005A76D3">
        <w:rPr>
          <w:lang w:val="fr-FR"/>
        </w:rPr>
        <w:tab/>
        <w:t>Le Groupe de travail a noté que le GRSG allait discuter, à sa 127</w:t>
      </w:r>
      <w:r w:rsidR="009F443D" w:rsidRPr="005A76D3">
        <w:rPr>
          <w:vertAlign w:val="superscript"/>
          <w:lang w:val="fr-FR"/>
        </w:rPr>
        <w:t>e</w:t>
      </w:r>
      <w:r w:rsidR="009F443D" w:rsidRPr="005A76D3">
        <w:rPr>
          <w:lang w:val="fr-FR"/>
        </w:rPr>
        <w:t xml:space="preserve"> session (15</w:t>
      </w:r>
      <w:r w:rsidR="009F443D" w:rsidRPr="005A76D3">
        <w:rPr>
          <w:lang w:val="fr-FR"/>
        </w:rPr>
        <w:noBreakHyphen/>
        <w:t xml:space="preserve">19 avril 2024), une proposition d’amendement du Règlement ONU </w:t>
      </w:r>
      <w:r w:rsidR="009F443D" w:rsidRPr="005A76D3">
        <w:t>No</w:t>
      </w:r>
      <w:r w:rsidR="009F443D" w:rsidRPr="005A76D3">
        <w:rPr>
          <w:lang w:val="fr-FR"/>
        </w:rPr>
        <w:t xml:space="preserve"> 46 visant à résoudre les problèmes qui pouvaient survenir lors de l'homologation des véhicules EX/III et FL équipés d'un système à caméra conforme aux exigences de ce Règlement.</w:t>
      </w:r>
    </w:p>
    <w:p w14:paraId="7A7E7488" w14:textId="49B89C37" w:rsidR="009F443D" w:rsidRPr="005A76D3" w:rsidRDefault="003A442D" w:rsidP="009F443D">
      <w:pPr>
        <w:pStyle w:val="SingleTxtG"/>
        <w:rPr>
          <w:lang w:val="fr-FR"/>
        </w:rPr>
      </w:pPr>
      <w:r w:rsidRPr="005A76D3">
        <w:rPr>
          <w:lang w:val="fr-FR"/>
        </w:rPr>
        <w:t>53</w:t>
      </w:r>
      <w:r w:rsidR="009F443D" w:rsidRPr="005A76D3">
        <w:rPr>
          <w:lang w:val="fr-FR"/>
        </w:rPr>
        <w:t>.</w:t>
      </w:r>
      <w:r w:rsidR="009F443D" w:rsidRPr="005A76D3">
        <w:rPr>
          <w:lang w:val="fr-FR"/>
        </w:rPr>
        <w:tab/>
        <w:t>Le Groupe de travail a confirmé qu’il serait prêt à adopter, pour l’ADR, des modifications de conséquences si les amendements proposés étaient adoptés. La plupart des délégations qui se sont prononcées préférait les amendements proposés dans l’option 1 du document informel INF.7.</w:t>
      </w:r>
    </w:p>
    <w:p w14:paraId="53C537C5" w14:textId="77777777" w:rsidR="007F43B9" w:rsidRPr="005A76D3" w:rsidRDefault="007F43B9" w:rsidP="007F43B9">
      <w:pPr>
        <w:pStyle w:val="H1G"/>
        <w:rPr>
          <w:lang w:val="fr-FR"/>
        </w:rPr>
      </w:pPr>
      <w:r w:rsidRPr="005A76D3">
        <w:rPr>
          <w:lang w:val="fr-FR"/>
        </w:rPr>
        <w:lastRenderedPageBreak/>
        <w:tab/>
        <w:t>B.</w:t>
      </w:r>
      <w:r w:rsidRPr="005A76D3">
        <w:rPr>
          <w:lang w:val="fr-FR"/>
        </w:rPr>
        <w:tab/>
        <w:t>Propositions diverses</w:t>
      </w:r>
    </w:p>
    <w:p w14:paraId="4FF960EC" w14:textId="77777777" w:rsidR="007F43B9" w:rsidRPr="005A76D3" w:rsidRDefault="007F43B9" w:rsidP="007F43B9">
      <w:pPr>
        <w:pStyle w:val="H23G"/>
        <w:rPr>
          <w:lang w:val="fr-FR"/>
        </w:rPr>
      </w:pPr>
      <w:r w:rsidRPr="005A76D3">
        <w:rPr>
          <w:lang w:val="fr-FR"/>
        </w:rPr>
        <w:tab/>
        <w:t>1.</w:t>
      </w:r>
      <w:r w:rsidRPr="005A76D3">
        <w:rPr>
          <w:lang w:val="fr-FR"/>
        </w:rPr>
        <w:tab/>
        <w:t>Mise en page de l’instruction d’emballage P200</w:t>
      </w:r>
    </w:p>
    <w:p w14:paraId="2D082E34" w14:textId="77777777" w:rsidR="007F43B9" w:rsidRPr="005A76D3" w:rsidRDefault="007F43B9" w:rsidP="007F43B9">
      <w:pPr>
        <w:pStyle w:val="SingleTxtG"/>
      </w:pPr>
      <w:r w:rsidRPr="005A76D3">
        <w:rPr>
          <w:i/>
        </w:rPr>
        <w:t xml:space="preserve">Document informel </w:t>
      </w:r>
      <w:r w:rsidRPr="005A76D3">
        <w:t>:</w:t>
      </w:r>
      <w:r w:rsidRPr="005A76D3">
        <w:tab/>
      </w:r>
      <w:r w:rsidRPr="005A76D3">
        <w:tab/>
        <w:t>INF.8 (Secrétariat)</w:t>
      </w:r>
    </w:p>
    <w:p w14:paraId="2DE14D05" w14:textId="2EC0A5F0" w:rsidR="007F43B9" w:rsidRPr="005A76D3" w:rsidRDefault="003A442D" w:rsidP="007F43B9">
      <w:pPr>
        <w:pStyle w:val="SingleTxtG"/>
        <w:rPr>
          <w:lang w:val="fr-FR"/>
        </w:rPr>
      </w:pPr>
      <w:r w:rsidRPr="005A76D3">
        <w:rPr>
          <w:lang w:val="fr-FR"/>
        </w:rPr>
        <w:t>54</w:t>
      </w:r>
      <w:r w:rsidR="007F43B9" w:rsidRPr="005A76D3">
        <w:rPr>
          <w:lang w:val="fr-FR"/>
        </w:rPr>
        <w:t>.</w:t>
      </w:r>
      <w:r w:rsidR="007F43B9" w:rsidRPr="005A76D3">
        <w:rPr>
          <w:lang w:val="fr-FR"/>
        </w:rPr>
        <w:tab/>
        <w:t xml:space="preserve">Le Groupe de travail a noté que des modifications supplémentaires de la mise en page de l’instruction d’emballage P200 étaient nécessaires pour tenir compte des décisions du Sous-Comité d’experts du transport de marchandises dangereuses en ce qui concerne la mise en page des instructions d’emballage. </w:t>
      </w:r>
    </w:p>
    <w:p w14:paraId="37548146" w14:textId="42EE2EB8" w:rsidR="007F43B9" w:rsidRPr="005A76D3" w:rsidRDefault="003A442D" w:rsidP="007F43B9">
      <w:pPr>
        <w:pStyle w:val="SingleTxtG"/>
        <w:rPr>
          <w:lang w:val="fr-FR" w:eastAsia="en-US"/>
        </w:rPr>
      </w:pPr>
      <w:r w:rsidRPr="005A76D3">
        <w:rPr>
          <w:lang w:val="fr-FR"/>
        </w:rPr>
        <w:t>55</w:t>
      </w:r>
      <w:r w:rsidR="007F43B9" w:rsidRPr="005A76D3">
        <w:rPr>
          <w:lang w:val="fr-FR"/>
        </w:rPr>
        <w:t>.</w:t>
      </w:r>
      <w:r w:rsidR="007F43B9" w:rsidRPr="005A76D3">
        <w:rPr>
          <w:lang w:val="fr-FR"/>
        </w:rPr>
        <w:tab/>
        <w:t xml:space="preserve">Le Groupe de travail a adopté les propositions figurant dans le document informel INF.8 pour </w:t>
      </w:r>
      <w:r w:rsidR="007F43B9" w:rsidRPr="005A76D3">
        <w:rPr>
          <w:lang w:val="fr-FR" w:eastAsia="en-US"/>
        </w:rPr>
        <w:t xml:space="preserve">entrée en vigueur le 1er janvier 2025 (voir annexe </w:t>
      </w:r>
      <w:r w:rsidR="000025C3" w:rsidRPr="005A76D3">
        <w:rPr>
          <w:lang w:val="fr-FR" w:eastAsia="en-US"/>
        </w:rPr>
        <w:t>I).</w:t>
      </w:r>
    </w:p>
    <w:p w14:paraId="44A06050" w14:textId="77777777" w:rsidR="00CA307F" w:rsidRPr="005A76D3" w:rsidRDefault="00CA307F" w:rsidP="00CA307F">
      <w:pPr>
        <w:pStyle w:val="H23G"/>
        <w:rPr>
          <w:lang w:val="fr-FR"/>
        </w:rPr>
      </w:pPr>
      <w:r w:rsidRPr="005A76D3">
        <w:rPr>
          <w:lang w:val="fr-FR"/>
        </w:rPr>
        <w:tab/>
        <w:t>2.</w:t>
      </w:r>
      <w:r w:rsidRPr="005A76D3">
        <w:rPr>
          <w:lang w:val="fr-FR"/>
        </w:rPr>
        <w:tab/>
        <w:t>Marquage d’un véhicule-citerne transportant les Nos ONU 1202, 1203 et 3475</w:t>
      </w:r>
    </w:p>
    <w:p w14:paraId="579BBD92" w14:textId="77777777" w:rsidR="00CA307F" w:rsidRPr="005A76D3" w:rsidRDefault="00CA307F" w:rsidP="00CA307F">
      <w:pPr>
        <w:pStyle w:val="SingleTxtG"/>
        <w:spacing w:after="0"/>
      </w:pPr>
      <w:r w:rsidRPr="005A76D3">
        <w:rPr>
          <w:i/>
        </w:rPr>
        <w:t>Document </w:t>
      </w:r>
      <w:r w:rsidRPr="005A76D3">
        <w:t>:</w:t>
      </w:r>
      <w:r w:rsidRPr="005A76D3">
        <w:tab/>
      </w:r>
      <w:r w:rsidRPr="005A76D3">
        <w:rPr>
          <w:lang w:val="fr-FR"/>
        </w:rPr>
        <w:t>ECE/TRANS/WP.15/2024/2</w:t>
      </w:r>
      <w:r w:rsidRPr="005A76D3">
        <w:t xml:space="preserve"> (</w:t>
      </w:r>
      <w:proofErr w:type="spellStart"/>
      <w:r w:rsidRPr="005A76D3">
        <w:rPr>
          <w:lang w:val="fr-FR"/>
        </w:rPr>
        <w:t>FuelsEurope</w:t>
      </w:r>
      <w:proofErr w:type="spellEnd"/>
      <w:r w:rsidRPr="005A76D3">
        <w:t>)</w:t>
      </w:r>
    </w:p>
    <w:p w14:paraId="0CC46215" w14:textId="77777777" w:rsidR="00CA307F" w:rsidRPr="005A76D3" w:rsidRDefault="00CA307F" w:rsidP="00CA307F">
      <w:pPr>
        <w:pStyle w:val="SingleTxtG"/>
      </w:pPr>
      <w:r w:rsidRPr="005A76D3">
        <w:rPr>
          <w:i/>
        </w:rPr>
        <w:t>Document informel </w:t>
      </w:r>
      <w:r w:rsidRPr="005A76D3">
        <w:t>:</w:t>
      </w:r>
      <w:r w:rsidRPr="005A76D3">
        <w:tab/>
      </w:r>
      <w:r w:rsidRPr="005A76D3">
        <w:rPr>
          <w:lang w:val="fr-FR"/>
        </w:rPr>
        <w:t>INF.3</w:t>
      </w:r>
      <w:r w:rsidRPr="005A76D3">
        <w:t xml:space="preserve"> (</w:t>
      </w:r>
      <w:r w:rsidRPr="005A76D3">
        <w:rPr>
          <w:lang w:val="fr-FR"/>
        </w:rPr>
        <w:t>CTIF</w:t>
      </w:r>
      <w:r w:rsidRPr="005A76D3">
        <w:t>)</w:t>
      </w:r>
    </w:p>
    <w:p w14:paraId="64F38383" w14:textId="46831665" w:rsidR="00CA307F" w:rsidRPr="005A76D3" w:rsidRDefault="003A442D" w:rsidP="00CA307F">
      <w:pPr>
        <w:pStyle w:val="SingleTxtG"/>
      </w:pPr>
      <w:r w:rsidRPr="005A76D3">
        <w:rPr>
          <w:lang w:val="fr-FR"/>
        </w:rPr>
        <w:t>56</w:t>
      </w:r>
      <w:r w:rsidR="00CA307F" w:rsidRPr="005A76D3">
        <w:rPr>
          <w:lang w:val="fr-FR"/>
        </w:rPr>
        <w:t>.</w:t>
      </w:r>
      <w:r w:rsidR="00CA307F" w:rsidRPr="005A76D3">
        <w:rPr>
          <w:lang w:val="fr-FR"/>
        </w:rPr>
        <w:tab/>
        <w:t>La proposition du document ECE/TRANS/WP.15/2024/2</w:t>
      </w:r>
      <w:r w:rsidR="00CA307F" w:rsidRPr="005A76D3">
        <w:t xml:space="preserve"> </w:t>
      </w:r>
      <w:r w:rsidR="00CA307F" w:rsidRPr="005A76D3">
        <w:rPr>
          <w:lang w:val="fr-FR"/>
        </w:rPr>
        <w:t>visait à faire figurer uniquement le No ONU 3475 sur les citernes compartimentées transportant des matières de cette rubrique et d’autres carburants</w:t>
      </w:r>
      <w:r w:rsidR="00CA307F" w:rsidRPr="005A76D3">
        <w:t>.</w:t>
      </w:r>
    </w:p>
    <w:p w14:paraId="6D092828" w14:textId="29DB2536" w:rsidR="00CA307F" w:rsidRPr="005A76D3" w:rsidRDefault="003A442D" w:rsidP="00CA307F">
      <w:pPr>
        <w:pStyle w:val="SingleTxtG"/>
        <w:rPr>
          <w:lang w:val="fr-FR"/>
        </w:rPr>
      </w:pPr>
      <w:r w:rsidRPr="005A76D3">
        <w:t>57</w:t>
      </w:r>
      <w:r w:rsidR="00CA307F" w:rsidRPr="005A76D3">
        <w:t>.</w:t>
      </w:r>
      <w:r w:rsidR="00CA307F" w:rsidRPr="005A76D3">
        <w:tab/>
        <w:t>No</w:t>
      </w:r>
      <w:r w:rsidR="00CA307F" w:rsidRPr="005A76D3">
        <w:rPr>
          <w:lang w:val="fr-FR"/>
        </w:rPr>
        <w:t xml:space="preserve">tant que le CTIF et certains </w:t>
      </w:r>
      <w:r w:rsidR="00CA307F" w:rsidRPr="005A76D3">
        <w:t xml:space="preserve">services </w:t>
      </w:r>
      <w:r w:rsidR="00CA307F" w:rsidRPr="005A76D3">
        <w:rPr>
          <w:lang w:val="fr-FR"/>
        </w:rPr>
        <w:t>nationaux de sécurité incendie avaient appuyé cette approche, le Groupe de travail a adopté la proposition</w:t>
      </w:r>
      <w:r w:rsidR="007E42F2" w:rsidRPr="005A76D3">
        <w:rPr>
          <w:lang w:val="fr-FR"/>
        </w:rPr>
        <w:t xml:space="preserve"> pour </w:t>
      </w:r>
      <w:r w:rsidR="007E42F2" w:rsidRPr="005A76D3">
        <w:rPr>
          <w:lang w:val="fr-FR" w:eastAsia="en-US"/>
        </w:rPr>
        <w:t>entrée en vigueur le 1er janvier 2025</w:t>
      </w:r>
      <w:r w:rsidR="00CA307F" w:rsidRPr="005A76D3">
        <w:rPr>
          <w:lang w:val="fr-FR"/>
        </w:rPr>
        <w:t xml:space="preserve"> (voir annexe</w:t>
      </w:r>
      <w:r w:rsidR="007E42F2" w:rsidRPr="005A76D3">
        <w:rPr>
          <w:lang w:val="fr-FR"/>
        </w:rPr>
        <w:t xml:space="preserve"> I).</w:t>
      </w:r>
    </w:p>
    <w:p w14:paraId="3FF026B5" w14:textId="77777777" w:rsidR="007F43B9" w:rsidRPr="005A76D3" w:rsidRDefault="007F43B9" w:rsidP="007F43B9">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tab/>
        <w:t>VII.</w:t>
      </w:r>
      <w:r w:rsidRPr="005A76D3">
        <w:rPr>
          <w:b/>
          <w:sz w:val="28"/>
          <w:lang w:eastAsia="en-US"/>
        </w:rPr>
        <w:tab/>
        <w:t>Interprétation de l’ADR (point 6 de l’ordre du jour)</w:t>
      </w:r>
    </w:p>
    <w:p w14:paraId="7B09C425" w14:textId="77777777" w:rsidR="007F43B9" w:rsidRPr="005A76D3" w:rsidRDefault="007F43B9" w:rsidP="007F43B9">
      <w:pPr>
        <w:pStyle w:val="H1G"/>
      </w:pPr>
      <w:r w:rsidRPr="005A76D3">
        <w:rPr>
          <w:lang w:val="fr-FR"/>
        </w:rPr>
        <w:tab/>
        <w:t>A.</w:t>
      </w:r>
      <w:r w:rsidRPr="005A76D3">
        <w:rPr>
          <w:lang w:val="fr-FR"/>
        </w:rPr>
        <w:tab/>
        <w:t xml:space="preserve">Application du 1.1.3.1 a) </w:t>
      </w:r>
    </w:p>
    <w:p w14:paraId="40B6A9D7" w14:textId="77777777" w:rsidR="007F43B9" w:rsidRPr="005A76D3" w:rsidRDefault="007F43B9" w:rsidP="007F43B9">
      <w:pPr>
        <w:pStyle w:val="SingleTxtG"/>
      </w:pPr>
      <w:r w:rsidRPr="005A76D3">
        <w:rPr>
          <w:i/>
        </w:rPr>
        <w:t>Document </w:t>
      </w:r>
      <w:r w:rsidRPr="005A76D3">
        <w:t>:</w:t>
      </w:r>
      <w:r w:rsidRPr="005A76D3">
        <w:tab/>
      </w:r>
      <w:r w:rsidRPr="005A76D3">
        <w:tab/>
        <w:t>ECE/TRANS/WP.15/2024/3 (Finlande)</w:t>
      </w:r>
    </w:p>
    <w:p w14:paraId="3A9E743F" w14:textId="45DD5BEA" w:rsidR="007F43B9" w:rsidRPr="005A76D3" w:rsidRDefault="003A442D" w:rsidP="007F43B9">
      <w:pPr>
        <w:pStyle w:val="SingleTxtG"/>
      </w:pPr>
      <w:r w:rsidRPr="005A76D3">
        <w:t>58</w:t>
      </w:r>
      <w:r w:rsidR="007F43B9" w:rsidRPr="005A76D3">
        <w:t>.</w:t>
      </w:r>
      <w:r w:rsidR="007F43B9" w:rsidRPr="005A76D3">
        <w:tab/>
        <w:t xml:space="preserve">Plusieurs délégations étaient d’avis que le 1.1.3.1 a) devrait </w:t>
      </w:r>
      <w:r w:rsidR="007F43B9" w:rsidRPr="005A76D3">
        <w:rPr>
          <w:lang w:val="fr-FR"/>
        </w:rPr>
        <w:t xml:space="preserve">s’appliquer également aux marchandises dangereuses transportées par les passagers (particuliers) des voitures et des autobus, par exemple dans leurs sacs, cabas ou bagages. Cependant, certaines délégations considéraient que </w:t>
      </w:r>
      <w:r w:rsidR="007F43B9" w:rsidRPr="005A76D3">
        <w:t>les exemptions du 1.1.3.1 a) pouvaient être interprétées différemment. Le Groupe de travail est convenu qu’il serait nécessaire de clarifier la portée du 1.1.3.1 a) en ce sens.</w:t>
      </w:r>
    </w:p>
    <w:p w14:paraId="6BDE783D" w14:textId="0C7B588B" w:rsidR="007F43B9" w:rsidRPr="005A76D3" w:rsidRDefault="003A442D" w:rsidP="007F43B9">
      <w:pPr>
        <w:pStyle w:val="SingleTxtG"/>
      </w:pPr>
      <w:r w:rsidRPr="005A76D3">
        <w:t>59</w:t>
      </w:r>
      <w:r w:rsidR="007F43B9" w:rsidRPr="005A76D3">
        <w:t>.</w:t>
      </w:r>
      <w:r w:rsidR="007F43B9" w:rsidRPr="005A76D3">
        <w:tab/>
        <w:t xml:space="preserve">Plusieurs délégations souhaitaient également que des limites de quantités soient prévues pour ces transports. </w:t>
      </w:r>
    </w:p>
    <w:p w14:paraId="50B7B6D1" w14:textId="3D6B0772" w:rsidR="007F43B9" w:rsidRPr="005A76D3" w:rsidRDefault="003A442D" w:rsidP="007F43B9">
      <w:pPr>
        <w:pStyle w:val="SingleTxtG"/>
      </w:pPr>
      <w:r w:rsidRPr="005A76D3">
        <w:t>60</w:t>
      </w:r>
      <w:r w:rsidR="007F43B9" w:rsidRPr="005A76D3">
        <w:t>.</w:t>
      </w:r>
      <w:r w:rsidR="007F43B9" w:rsidRPr="005A76D3">
        <w:tab/>
        <w:t xml:space="preserve">Le représentant de l’OTIF a rappelé que le 1.1.3.8 du RID définissait les exemptions applicables au transport de marchandises dangereuses en tant que colis à main, bagages enregistrés ou dans ou sur des véhicules ainsi que des limites de quantités pour l’application de ces exemptions. </w:t>
      </w:r>
    </w:p>
    <w:p w14:paraId="32ED571A" w14:textId="77777777" w:rsidR="007F43B9" w:rsidRPr="005A76D3" w:rsidRDefault="007F43B9" w:rsidP="007F43B9">
      <w:pPr>
        <w:pStyle w:val="H1G"/>
        <w:rPr>
          <w:lang w:val="fr-FR"/>
        </w:rPr>
      </w:pPr>
      <w:r w:rsidRPr="005A76D3">
        <w:rPr>
          <w:lang w:val="fr-FR"/>
        </w:rPr>
        <w:tab/>
        <w:t>B.</w:t>
      </w:r>
      <w:r w:rsidRPr="005A76D3">
        <w:rPr>
          <w:lang w:val="fr-FR"/>
        </w:rPr>
        <w:tab/>
        <w:t>Disposition V2 au 7.2.4</w:t>
      </w:r>
    </w:p>
    <w:p w14:paraId="56335EDB" w14:textId="77777777" w:rsidR="007F43B9" w:rsidRPr="005A76D3" w:rsidRDefault="007F43B9" w:rsidP="007F43B9">
      <w:pPr>
        <w:pStyle w:val="SingleTxtG"/>
      </w:pPr>
      <w:r w:rsidRPr="005A76D3">
        <w:rPr>
          <w:i/>
        </w:rPr>
        <w:t xml:space="preserve">Document informel </w:t>
      </w:r>
      <w:r w:rsidRPr="005A76D3">
        <w:t>:</w:t>
      </w:r>
      <w:r w:rsidRPr="005A76D3">
        <w:tab/>
      </w:r>
      <w:r w:rsidRPr="005A76D3">
        <w:tab/>
        <w:t>INF.11 (Royaume-Uni)</w:t>
      </w:r>
    </w:p>
    <w:p w14:paraId="0BCACC4E" w14:textId="4E09857E" w:rsidR="007F43B9" w:rsidRPr="005A76D3" w:rsidRDefault="003A442D" w:rsidP="007F43B9">
      <w:pPr>
        <w:pStyle w:val="SingleTxtG"/>
        <w:rPr>
          <w:lang w:val="fr-FR" w:eastAsia="en-US"/>
        </w:rPr>
      </w:pPr>
      <w:r w:rsidRPr="005A76D3">
        <w:rPr>
          <w:lang w:val="fr-FR" w:eastAsia="en-US"/>
        </w:rPr>
        <w:t>61</w:t>
      </w:r>
      <w:r w:rsidR="007F43B9" w:rsidRPr="005A76D3">
        <w:rPr>
          <w:lang w:val="fr-FR" w:eastAsia="en-US"/>
        </w:rPr>
        <w:t>.</w:t>
      </w:r>
      <w:r w:rsidR="007F43B9" w:rsidRPr="005A76D3">
        <w:rPr>
          <w:lang w:val="fr-FR" w:eastAsia="en-US"/>
        </w:rPr>
        <w:tab/>
        <w:t>S’agissant d’un document informel tardif et disponible uniquement en anglais, plusieurs délégations ont indiqué qu’elles avaient besoin de plus de temps pour consulter leurs experts et parties prenantes sur le transport des marchandises de la classe 1.</w:t>
      </w:r>
    </w:p>
    <w:p w14:paraId="7E0C9084" w14:textId="5E530DE2" w:rsidR="007F43B9" w:rsidRPr="005A76D3" w:rsidRDefault="003A442D" w:rsidP="007F43B9">
      <w:pPr>
        <w:pStyle w:val="SingleTxtG"/>
        <w:rPr>
          <w:lang w:val="fr-FR"/>
        </w:rPr>
      </w:pPr>
      <w:r w:rsidRPr="005A76D3">
        <w:rPr>
          <w:lang w:val="fr-FR" w:eastAsia="en-US"/>
        </w:rPr>
        <w:t>62</w:t>
      </w:r>
      <w:r w:rsidR="007F43B9" w:rsidRPr="005A76D3">
        <w:rPr>
          <w:lang w:val="fr-FR" w:eastAsia="en-US"/>
        </w:rPr>
        <w:t>.</w:t>
      </w:r>
      <w:r w:rsidR="007F43B9" w:rsidRPr="005A76D3">
        <w:rPr>
          <w:lang w:val="fr-FR" w:eastAsia="en-US"/>
        </w:rPr>
        <w:tab/>
        <w:t xml:space="preserve">Le Groupe de travail a </w:t>
      </w:r>
      <w:r w:rsidR="007F43B9" w:rsidRPr="005A76D3">
        <w:rPr>
          <w:lang w:val="fr-FR"/>
        </w:rPr>
        <w:t xml:space="preserve">invité le représentant du Royaume-Uni à présenter un document officiel sur ce point à la prochaine session. </w:t>
      </w:r>
    </w:p>
    <w:p w14:paraId="25DFF292" w14:textId="0872BC2F" w:rsidR="009C52F1" w:rsidRPr="005A76D3" w:rsidRDefault="009C52F1" w:rsidP="00AF1A34">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lastRenderedPageBreak/>
        <w:tab/>
        <w:t>VIII.</w:t>
      </w:r>
      <w:r w:rsidRPr="005A76D3">
        <w:rPr>
          <w:b/>
          <w:sz w:val="28"/>
          <w:lang w:eastAsia="en-US"/>
        </w:rPr>
        <w:tab/>
        <w:t>Économie circulaire</w:t>
      </w:r>
      <w:r w:rsidR="00AF1A34" w:rsidRPr="005A76D3">
        <w:rPr>
          <w:b/>
          <w:sz w:val="28"/>
          <w:lang w:eastAsia="en-US"/>
        </w:rPr>
        <w:t>, utilisation durable des ressources naturelles et objectifs de développement durable</w:t>
      </w:r>
      <w:r w:rsidRPr="005A76D3">
        <w:rPr>
          <w:b/>
          <w:sz w:val="28"/>
          <w:lang w:eastAsia="en-US"/>
        </w:rPr>
        <w:t xml:space="preserve"> (point 7 de l’ordre du jour)</w:t>
      </w:r>
    </w:p>
    <w:p w14:paraId="1B69A063" w14:textId="77777777" w:rsidR="009C52F1" w:rsidRPr="005A76D3" w:rsidRDefault="009C52F1" w:rsidP="009C52F1">
      <w:pPr>
        <w:pStyle w:val="SingleTxtG"/>
        <w:ind w:left="3402" w:hanging="2268"/>
        <w:jc w:val="left"/>
      </w:pPr>
      <w:r w:rsidRPr="005A76D3">
        <w:rPr>
          <w:i/>
          <w:iCs/>
          <w:lang w:val="fr-FR"/>
        </w:rPr>
        <w:t>Document informel </w:t>
      </w:r>
      <w:r w:rsidRPr="005A76D3">
        <w:rPr>
          <w:lang w:val="fr-FR"/>
        </w:rPr>
        <w:t>:</w:t>
      </w:r>
      <w:r w:rsidRPr="005A76D3">
        <w:rPr>
          <w:lang w:val="fr-FR"/>
        </w:rPr>
        <w:tab/>
        <w:t>INF.17 (secrétariat)</w:t>
      </w:r>
    </w:p>
    <w:p w14:paraId="3E3AA52C" w14:textId="7C41EA2C" w:rsidR="009C52F1" w:rsidRPr="005A76D3" w:rsidRDefault="003A442D" w:rsidP="009C52F1">
      <w:pPr>
        <w:pStyle w:val="SingleTxtG"/>
        <w:rPr>
          <w:lang w:val="fr-FR"/>
        </w:rPr>
      </w:pPr>
      <w:r w:rsidRPr="005A76D3">
        <w:rPr>
          <w:lang w:val="fr-FR"/>
        </w:rPr>
        <w:t>63</w:t>
      </w:r>
      <w:r w:rsidR="009C52F1" w:rsidRPr="005A76D3">
        <w:rPr>
          <w:lang w:val="fr-FR"/>
        </w:rPr>
        <w:t>.</w:t>
      </w:r>
      <w:r w:rsidR="009C52F1" w:rsidRPr="005A76D3">
        <w:rPr>
          <w:lang w:val="fr-FR"/>
        </w:rPr>
        <w:tab/>
        <w:t xml:space="preserve">Un membre du secrétariat a présenté une évaluation des liens indiqués dans les documents de session entre les travaux du Groupe de travail et les objectifs de développement durable. </w:t>
      </w:r>
    </w:p>
    <w:p w14:paraId="6ADF4D18" w14:textId="07C19014" w:rsidR="009C52F1" w:rsidRPr="005A76D3" w:rsidRDefault="007D61E3" w:rsidP="009C52F1">
      <w:pPr>
        <w:pStyle w:val="SingleTxtG"/>
      </w:pPr>
      <w:r w:rsidRPr="005A76D3">
        <w:rPr>
          <w:lang w:val="fr-FR"/>
        </w:rPr>
        <w:t>64</w:t>
      </w:r>
      <w:r w:rsidR="009C52F1" w:rsidRPr="005A76D3">
        <w:rPr>
          <w:lang w:val="fr-FR"/>
        </w:rPr>
        <w:t>.</w:t>
      </w:r>
      <w:r w:rsidR="009C52F1" w:rsidRPr="005A76D3">
        <w:rPr>
          <w:lang w:val="fr-FR"/>
        </w:rPr>
        <w:tab/>
        <w:t>Les délégations ont trouvé ces informations utiles et ont encouragé le secrétariat à tenir le Groupe de travail régulièrement informé.</w:t>
      </w:r>
    </w:p>
    <w:p w14:paraId="139D6FD5" w14:textId="77777777" w:rsidR="009C52F1" w:rsidRPr="005A76D3" w:rsidRDefault="009C52F1" w:rsidP="009C52F1">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tab/>
        <w:t>IX.</w:t>
      </w:r>
      <w:r w:rsidRPr="005A76D3">
        <w:rPr>
          <w:b/>
          <w:sz w:val="28"/>
          <w:lang w:eastAsia="en-US"/>
        </w:rPr>
        <w:tab/>
        <w:t>Programme de travail (point 8 de l’ordre du jour)</w:t>
      </w:r>
    </w:p>
    <w:p w14:paraId="19D7F741" w14:textId="27C0FDA6" w:rsidR="009C52F1" w:rsidRPr="005A76D3" w:rsidRDefault="007D61E3" w:rsidP="009C52F1">
      <w:pPr>
        <w:pStyle w:val="SingleTxtG"/>
        <w:rPr>
          <w:lang w:val="fr-FR"/>
        </w:rPr>
      </w:pPr>
      <w:r w:rsidRPr="005A76D3">
        <w:rPr>
          <w:lang w:val="fr-FR"/>
        </w:rPr>
        <w:t>65</w:t>
      </w:r>
      <w:r w:rsidR="009C52F1" w:rsidRPr="005A76D3">
        <w:rPr>
          <w:lang w:val="fr-FR"/>
        </w:rPr>
        <w:t>.</w:t>
      </w:r>
      <w:r w:rsidR="009C52F1" w:rsidRPr="005A76D3">
        <w:rPr>
          <w:lang w:val="fr-FR"/>
        </w:rPr>
        <w:tab/>
        <w:t xml:space="preserve">Les points à l’ordre du jour de la prochaine session (5 au 8 novembre 2024) seront : Adoption de l’ordre du jour ; État de l’Accord relatif au transport international des marchandises dangereuses par route (ADR) et questions connexes ; Travaux de la Réunion commune RID/ADR/ADN ; Propositions d’amendement aux annexes A et B de l’ADR ; Interprétation de l’ADR ; Économie circulaire, utilisation durable des ressources naturelles et objectifs de développement durable ; Programme de travail ; Questions diverses ; </w:t>
      </w:r>
      <w:r w:rsidR="009C52F1" w:rsidRPr="005A76D3">
        <w:rPr>
          <w:lang w:eastAsia="en-US"/>
        </w:rPr>
        <w:t>Élection du Bureau </w:t>
      </w:r>
      <w:r w:rsidR="009C52F1" w:rsidRPr="005A76D3">
        <w:rPr>
          <w:lang w:val="fr-FR"/>
        </w:rPr>
        <w:t>; Adoption du rapport.</w:t>
      </w:r>
    </w:p>
    <w:p w14:paraId="0D3526EC" w14:textId="31CF8D7E" w:rsidR="009C52F1" w:rsidRPr="005A76D3" w:rsidRDefault="007D61E3" w:rsidP="009C52F1">
      <w:pPr>
        <w:pStyle w:val="SingleTxtG"/>
      </w:pPr>
      <w:r w:rsidRPr="005A76D3">
        <w:rPr>
          <w:lang w:val="fr-FR"/>
        </w:rPr>
        <w:t>66</w:t>
      </w:r>
      <w:r w:rsidR="009C52F1" w:rsidRPr="005A76D3">
        <w:rPr>
          <w:lang w:val="fr-FR"/>
        </w:rPr>
        <w:t>.</w:t>
      </w:r>
      <w:r w:rsidR="009C52F1" w:rsidRPr="005A76D3">
        <w:rPr>
          <w:lang w:val="fr-FR"/>
        </w:rPr>
        <w:tab/>
        <w:t>Le Groupe de travail est convenu de réserver une séance de sa 116e session pour les discussions relatives à l’harmonisation des questions d’examen pour les conducteurs ADR.</w:t>
      </w:r>
    </w:p>
    <w:p w14:paraId="4B22E8F3" w14:textId="0273D97E" w:rsidR="009C52F1" w:rsidRPr="005A76D3" w:rsidRDefault="007D61E3" w:rsidP="009C52F1">
      <w:pPr>
        <w:pStyle w:val="SingleTxtG"/>
        <w:rPr>
          <w:lang w:val="fr-FR"/>
        </w:rPr>
      </w:pPr>
      <w:r w:rsidRPr="005A76D3">
        <w:rPr>
          <w:lang w:val="fr-FR"/>
        </w:rPr>
        <w:t>67</w:t>
      </w:r>
      <w:r w:rsidR="009C52F1" w:rsidRPr="005A76D3">
        <w:rPr>
          <w:lang w:val="fr-FR"/>
        </w:rPr>
        <w:t>.</w:t>
      </w:r>
      <w:r w:rsidR="009C52F1" w:rsidRPr="005A76D3">
        <w:rPr>
          <w:lang w:val="fr-FR"/>
        </w:rPr>
        <w:tab/>
        <w:t>La date limite pour soumettre des documents officiels pour cette session est le 13 août 2024.</w:t>
      </w:r>
    </w:p>
    <w:p w14:paraId="5190A0B8" w14:textId="77777777" w:rsidR="00844232" w:rsidRPr="005A76D3" w:rsidRDefault="00844232" w:rsidP="00844232">
      <w:pPr>
        <w:keepNext/>
        <w:keepLines/>
        <w:tabs>
          <w:tab w:val="right" w:pos="851"/>
        </w:tabs>
        <w:suppressAutoHyphens/>
        <w:spacing w:before="360" w:after="240" w:line="300" w:lineRule="exact"/>
        <w:ind w:left="1134" w:right="1134" w:hanging="1134"/>
        <w:rPr>
          <w:b/>
          <w:sz w:val="28"/>
          <w:lang w:eastAsia="en-US"/>
        </w:rPr>
      </w:pPr>
      <w:r w:rsidRPr="005A76D3">
        <w:rPr>
          <w:b/>
          <w:sz w:val="28"/>
          <w:lang w:eastAsia="en-US"/>
        </w:rPr>
        <w:tab/>
        <w:t>X.</w:t>
      </w:r>
      <w:r w:rsidRPr="005A76D3">
        <w:rPr>
          <w:b/>
          <w:sz w:val="28"/>
          <w:lang w:eastAsia="en-US"/>
        </w:rPr>
        <w:tab/>
        <w:t>Questions diverses (point 9 de l’ordre du jour)</w:t>
      </w:r>
    </w:p>
    <w:p w14:paraId="34729440" w14:textId="77777777" w:rsidR="00844232" w:rsidRPr="005A76D3" w:rsidRDefault="00844232" w:rsidP="00844232">
      <w:pPr>
        <w:pStyle w:val="H1G"/>
        <w:rPr>
          <w:lang w:val="fr-FR"/>
        </w:rPr>
      </w:pPr>
      <w:r w:rsidRPr="005A76D3">
        <w:rPr>
          <w:lang w:val="fr-FR"/>
        </w:rPr>
        <w:tab/>
        <w:t>A.</w:t>
      </w:r>
      <w:r w:rsidRPr="005A76D3">
        <w:rPr>
          <w:lang w:val="fr-FR"/>
        </w:rPr>
        <w:tab/>
        <w:t>Uniformisation des examens de conduite ADR</w:t>
      </w:r>
    </w:p>
    <w:p w14:paraId="2AAE3A30" w14:textId="77777777" w:rsidR="00844232" w:rsidRPr="005A76D3" w:rsidRDefault="00844232" w:rsidP="00844232">
      <w:pPr>
        <w:pStyle w:val="SingleTxtG"/>
      </w:pPr>
      <w:r w:rsidRPr="005A76D3">
        <w:rPr>
          <w:i/>
        </w:rPr>
        <w:t>Document </w:t>
      </w:r>
      <w:r w:rsidRPr="005A76D3">
        <w:t>:</w:t>
      </w:r>
      <w:r w:rsidRPr="005A76D3">
        <w:tab/>
      </w:r>
      <w:r w:rsidRPr="005A76D3">
        <w:tab/>
        <w:t>ECE/TRANS/WP.15/2024/1 (IRU)</w:t>
      </w:r>
    </w:p>
    <w:p w14:paraId="78FAFC3B" w14:textId="316B6B86" w:rsidR="00844232" w:rsidRPr="005A76D3" w:rsidRDefault="007D61E3" w:rsidP="00844232">
      <w:pPr>
        <w:pStyle w:val="SingleTxtG"/>
        <w:rPr>
          <w:lang w:val="fr-FR"/>
        </w:rPr>
      </w:pPr>
      <w:r w:rsidRPr="005A76D3">
        <w:rPr>
          <w:lang w:val="fr-FR"/>
        </w:rPr>
        <w:t>68</w:t>
      </w:r>
      <w:r w:rsidR="00844232" w:rsidRPr="005A76D3">
        <w:rPr>
          <w:lang w:val="fr-FR"/>
        </w:rPr>
        <w:t>.</w:t>
      </w:r>
      <w:r w:rsidR="00844232" w:rsidRPr="005A76D3">
        <w:rPr>
          <w:lang w:val="fr-FR"/>
        </w:rPr>
        <w:tab/>
        <w:t xml:space="preserve">La plupart des délégations qui se sont prononcées appuyaient la proposition de l’IRU d’harmoniser les questions des examens des conducteurs ADR. Plusieurs délégations considéraient que l’organisation des examens devrait être également discutée. </w:t>
      </w:r>
    </w:p>
    <w:p w14:paraId="4FAB577F" w14:textId="0108C8BB" w:rsidR="00844232" w:rsidRPr="005A76D3" w:rsidRDefault="007D61E3" w:rsidP="00844232">
      <w:pPr>
        <w:pStyle w:val="SingleTxtG"/>
        <w:rPr>
          <w:lang w:val="fr-FR"/>
        </w:rPr>
      </w:pPr>
      <w:r w:rsidRPr="005A76D3">
        <w:rPr>
          <w:lang w:val="fr-FR"/>
        </w:rPr>
        <w:t>69</w:t>
      </w:r>
      <w:r w:rsidR="00844232" w:rsidRPr="005A76D3">
        <w:rPr>
          <w:lang w:val="fr-FR"/>
        </w:rPr>
        <w:t>.</w:t>
      </w:r>
      <w:r w:rsidR="00844232" w:rsidRPr="005A76D3">
        <w:rPr>
          <w:lang w:val="fr-FR"/>
        </w:rPr>
        <w:tab/>
        <w:t>Reconnaissant que ces développements nécessiteraient un travail considérable, le Groupe de travail a décidé de consacrer du temps, lors de sa prochaine session, à l'examen de cette question et à l'adoption de la marche à suivre. Il a invité les délégations à envoyer leurs commentaires au représentant de l'IRU.</w:t>
      </w:r>
    </w:p>
    <w:p w14:paraId="2DB82AB0" w14:textId="77777777" w:rsidR="003F3EE9" w:rsidRPr="005A76D3" w:rsidRDefault="003F3EE9" w:rsidP="003F3EE9">
      <w:pPr>
        <w:pStyle w:val="H1G"/>
        <w:rPr>
          <w:lang w:val="fr-FR"/>
        </w:rPr>
      </w:pPr>
      <w:r w:rsidRPr="005A76D3">
        <w:rPr>
          <w:lang w:val="fr-FR"/>
        </w:rPr>
        <w:tab/>
        <w:t>B.</w:t>
      </w:r>
      <w:r w:rsidRPr="005A76D3">
        <w:rPr>
          <w:lang w:val="fr-FR"/>
        </w:rPr>
        <w:tab/>
        <w:t xml:space="preserve">Mandat, règlement intérieur et méthodes de travail </w:t>
      </w:r>
    </w:p>
    <w:p w14:paraId="0D4A67ED" w14:textId="77777777" w:rsidR="003F3EE9" w:rsidRPr="005A76D3" w:rsidRDefault="003F3EE9" w:rsidP="003F3EE9">
      <w:pPr>
        <w:pStyle w:val="SingleTxtG"/>
      </w:pPr>
      <w:r w:rsidRPr="005A76D3">
        <w:rPr>
          <w:i/>
        </w:rPr>
        <w:t>Document </w:t>
      </w:r>
      <w:r w:rsidRPr="005A76D3">
        <w:t>:</w:t>
      </w:r>
      <w:r w:rsidRPr="005A76D3">
        <w:tab/>
      </w:r>
      <w:r w:rsidRPr="005A76D3">
        <w:tab/>
        <w:t>ECE/TRANS/WP.15/2024/9 (Secrétariat)</w:t>
      </w:r>
    </w:p>
    <w:p w14:paraId="7A81953C" w14:textId="068C1A99" w:rsidR="003F3EE9" w:rsidRPr="005A76D3" w:rsidRDefault="007D61E3" w:rsidP="003F3EE9">
      <w:pPr>
        <w:pStyle w:val="SingleTxtG"/>
      </w:pPr>
      <w:r w:rsidRPr="005A76D3">
        <w:rPr>
          <w:lang w:val="fr-FR"/>
        </w:rPr>
        <w:t>70</w:t>
      </w:r>
      <w:r w:rsidR="003F3EE9" w:rsidRPr="005A76D3">
        <w:rPr>
          <w:lang w:val="fr-FR"/>
        </w:rPr>
        <w:t>.</w:t>
      </w:r>
      <w:r w:rsidR="003F3EE9" w:rsidRPr="005A76D3">
        <w:rPr>
          <w:lang w:val="fr-FR"/>
        </w:rPr>
        <w:tab/>
        <w:t xml:space="preserve">Suite à l’adoption de son mandat par le Comité exécutif de la Commission économique pour l’Europe (voir paragraphe 8), le Groupe de travail a confirmé que le document </w:t>
      </w:r>
      <w:r w:rsidR="003F3EE9" w:rsidRPr="005A76D3">
        <w:t>ECE/TRANS/WP.15/2024/9 remplacerait le document ECE/TRANS/WP.15/190/Add.1 comme document de référence pour l’organisation de ses prochaines sessions</w:t>
      </w:r>
      <w:r w:rsidR="004E4D20" w:rsidRPr="005A76D3">
        <w:t xml:space="preserve"> comme suit :</w:t>
      </w:r>
    </w:p>
    <w:p w14:paraId="0565FB69" w14:textId="4056B2E7" w:rsidR="004E4D20" w:rsidRPr="005A76D3" w:rsidRDefault="00232168" w:rsidP="00232168">
      <w:pPr>
        <w:pStyle w:val="Bullet1G"/>
      </w:pPr>
      <w:r w:rsidRPr="005A76D3">
        <w:t>Pour son mandat : paragraphes 1 à 4 de l’annexe 1 du document ECE/TRANS/WP.15/2024/9</w:t>
      </w:r>
      <w:r w:rsidR="00816045" w:rsidRPr="005A76D3">
        <w:t> </w:t>
      </w:r>
      <w:r w:rsidRPr="005A76D3">
        <w:t>;</w:t>
      </w:r>
    </w:p>
    <w:p w14:paraId="6CA10FB4" w14:textId="54D87A20" w:rsidR="00232168" w:rsidRPr="005A76D3" w:rsidRDefault="00232168" w:rsidP="00232168">
      <w:pPr>
        <w:pStyle w:val="Bullet1G"/>
      </w:pPr>
      <w:r w:rsidRPr="005A76D3">
        <w:t>Pou</w:t>
      </w:r>
      <w:r w:rsidR="003B41E0" w:rsidRPr="005A76D3">
        <w:t>r son règlement intérieur et</w:t>
      </w:r>
      <w:r w:rsidR="005F7B9C" w:rsidRPr="005A76D3">
        <w:t xml:space="preserve"> les règles </w:t>
      </w:r>
      <w:r w:rsidR="00816045" w:rsidRPr="005A76D3">
        <w:t>concernant les documents à soumettre au Groupe de travail</w:t>
      </w:r>
      <w:r w:rsidR="003B41E0" w:rsidRPr="005A76D3">
        <w:t xml:space="preserve"> : annexe II </w:t>
      </w:r>
      <w:r w:rsidR="006F0548" w:rsidRPr="005A76D3">
        <w:t xml:space="preserve">du document ECE/TRANS/WP.15/2024/9 et son </w:t>
      </w:r>
      <w:r w:rsidR="00816045" w:rsidRPr="005A76D3">
        <w:t>annexe</w:t>
      </w:r>
      <w:r w:rsidR="0098507E" w:rsidRPr="005A76D3">
        <w:t xml:space="preserve"> et appendice</w:t>
      </w:r>
      <w:r w:rsidR="00816045" w:rsidRPr="005A76D3">
        <w:t> ;</w:t>
      </w:r>
    </w:p>
    <w:p w14:paraId="6DF8C039" w14:textId="3275DA64" w:rsidR="00816045" w:rsidRPr="005A76D3" w:rsidRDefault="0098507E" w:rsidP="001F6F08">
      <w:pPr>
        <w:pStyle w:val="Bullet1G"/>
      </w:pPr>
      <w:r w:rsidRPr="005A76D3">
        <w:lastRenderedPageBreak/>
        <w:t xml:space="preserve">Pour ses méthodes de travail : </w:t>
      </w:r>
      <w:r w:rsidR="00C17632" w:rsidRPr="005A76D3">
        <w:t>annexe I</w:t>
      </w:r>
      <w:r w:rsidR="00AD4C78" w:rsidRPr="005A76D3">
        <w:t>I</w:t>
      </w:r>
      <w:r w:rsidR="00C17632" w:rsidRPr="005A76D3">
        <w:t>I du document ECE/TRANS/WP.15/2024/9</w:t>
      </w:r>
      <w:r w:rsidR="00264DCE" w:rsidRPr="005A76D3">
        <w:t>.</w:t>
      </w:r>
    </w:p>
    <w:p w14:paraId="012732AC" w14:textId="77777777" w:rsidR="0037375D" w:rsidRPr="005A76D3" w:rsidRDefault="0037375D" w:rsidP="0037375D">
      <w:pPr>
        <w:pStyle w:val="H1G"/>
        <w:rPr>
          <w:lang w:val="fr-FR"/>
        </w:rPr>
      </w:pPr>
      <w:r w:rsidRPr="005A76D3">
        <w:rPr>
          <w:lang w:val="fr-FR"/>
        </w:rPr>
        <w:tab/>
        <w:t>C.</w:t>
      </w:r>
      <w:r w:rsidRPr="005A76D3">
        <w:rPr>
          <w:lang w:val="fr-FR"/>
        </w:rPr>
        <w:tab/>
        <w:t>Demande de statut consultatif</w:t>
      </w:r>
    </w:p>
    <w:p w14:paraId="57CFAC0D" w14:textId="77777777" w:rsidR="0037375D" w:rsidRPr="005A76D3" w:rsidRDefault="0037375D" w:rsidP="0037375D">
      <w:pPr>
        <w:pStyle w:val="SingleTxtG"/>
      </w:pPr>
      <w:r w:rsidRPr="005A76D3">
        <w:rPr>
          <w:i/>
        </w:rPr>
        <w:t>Document </w:t>
      </w:r>
      <w:r w:rsidRPr="005A76D3">
        <w:t>:</w:t>
      </w:r>
      <w:r w:rsidRPr="005A76D3">
        <w:tab/>
      </w:r>
      <w:r w:rsidRPr="005A76D3">
        <w:rPr>
          <w:lang w:val="fr-FR"/>
        </w:rPr>
        <w:t>ECE/TRANS/WP.15/2024/10</w:t>
      </w:r>
      <w:r w:rsidRPr="005A76D3">
        <w:t xml:space="preserve"> (</w:t>
      </w:r>
      <w:r w:rsidRPr="005A76D3">
        <w:rPr>
          <w:lang w:val="fr-FR"/>
        </w:rPr>
        <w:t>secrétariat</w:t>
      </w:r>
      <w:r w:rsidRPr="005A76D3">
        <w:t>)</w:t>
      </w:r>
    </w:p>
    <w:p w14:paraId="55085812" w14:textId="77777777" w:rsidR="0037375D" w:rsidRPr="005A76D3" w:rsidRDefault="0037375D" w:rsidP="0037375D">
      <w:pPr>
        <w:tabs>
          <w:tab w:val="left" w:pos="708"/>
        </w:tabs>
        <w:spacing w:after="120"/>
        <w:ind w:left="1134" w:right="1134"/>
        <w:jc w:val="both"/>
        <w:rPr>
          <w:lang w:eastAsia="en-US"/>
        </w:rPr>
      </w:pPr>
      <w:r w:rsidRPr="005A76D3">
        <w:t>71.</w:t>
      </w:r>
      <w:r w:rsidRPr="005A76D3">
        <w:tab/>
        <w:t xml:space="preserve">Le Groupe de travail a approuvé la demande de statut consultatif de </w:t>
      </w:r>
      <w:r w:rsidRPr="005A76D3">
        <w:rPr>
          <w:lang w:val="fr-FR"/>
        </w:rPr>
        <w:t>WBIA.</w:t>
      </w:r>
    </w:p>
    <w:p w14:paraId="3C279EAE" w14:textId="77777777" w:rsidR="0037375D" w:rsidRPr="005A76D3" w:rsidRDefault="0037375D" w:rsidP="0037375D">
      <w:pPr>
        <w:pStyle w:val="H1G"/>
        <w:spacing w:before="240"/>
        <w:rPr>
          <w:lang w:val="fr-FR"/>
        </w:rPr>
      </w:pPr>
      <w:r w:rsidRPr="005A76D3">
        <w:rPr>
          <w:lang w:val="fr-FR"/>
        </w:rPr>
        <w:tab/>
        <w:t>D.</w:t>
      </w:r>
      <w:r w:rsidRPr="005A76D3">
        <w:rPr>
          <w:lang w:val="fr-FR"/>
        </w:rPr>
        <w:tab/>
        <w:t>Amendements pour l’édition 2025 de l’ADR</w:t>
      </w:r>
    </w:p>
    <w:p w14:paraId="56FF4184" w14:textId="77777777" w:rsidR="0037375D" w:rsidRPr="005A76D3" w:rsidRDefault="0037375D" w:rsidP="0037375D">
      <w:pPr>
        <w:tabs>
          <w:tab w:val="left" w:pos="708"/>
        </w:tabs>
        <w:spacing w:after="120"/>
        <w:ind w:left="1134" w:right="1134"/>
        <w:jc w:val="both"/>
        <w:rPr>
          <w:lang w:eastAsia="en-US"/>
        </w:rPr>
      </w:pPr>
      <w:r w:rsidRPr="005A76D3">
        <w:rPr>
          <w:lang w:eastAsia="en-US"/>
        </w:rPr>
        <w:t>72.</w:t>
      </w:r>
      <w:r w:rsidRPr="005A76D3">
        <w:rPr>
          <w:lang w:eastAsia="en-US"/>
        </w:rPr>
        <w:tab/>
        <w:t>Les amendements adoptés lors de sessions précédentes pour entrée en vigueur au 1</w:t>
      </w:r>
      <w:r w:rsidRPr="005A76D3">
        <w:rPr>
          <w:vertAlign w:val="superscript"/>
          <w:lang w:eastAsia="en-US"/>
        </w:rPr>
        <w:t>er</w:t>
      </w:r>
      <w:r w:rsidRPr="005A76D3">
        <w:rPr>
          <w:lang w:eastAsia="en-US"/>
        </w:rPr>
        <w:t> janvier 2025 ont été publiés sous la cote ECE/TRANS/WP.15/265. Le Groupe de travail a prié le secrétariat de publier ceux adoptés à la 115</w:t>
      </w:r>
      <w:r w:rsidRPr="005A76D3">
        <w:rPr>
          <w:vertAlign w:val="superscript"/>
          <w:lang w:eastAsia="en-US"/>
        </w:rPr>
        <w:t>e</w:t>
      </w:r>
      <w:r w:rsidRPr="005A76D3">
        <w:rPr>
          <w:lang w:eastAsia="en-US"/>
        </w:rPr>
        <w:t xml:space="preserve"> session et dont l’entrée en vigueur est prévue également le 1</w:t>
      </w:r>
      <w:r w:rsidRPr="005A76D3">
        <w:rPr>
          <w:vertAlign w:val="superscript"/>
          <w:lang w:eastAsia="en-US"/>
        </w:rPr>
        <w:t>er</w:t>
      </w:r>
      <w:r w:rsidRPr="005A76D3">
        <w:rPr>
          <w:lang w:eastAsia="en-US"/>
        </w:rPr>
        <w:t> janvier 2025 sous la forme d’un rectificatif (ECE/TRANS/WP.15/265/Corr.1) pour ceux qui modifient les amendements précédemment adoptés, et d’un additif (ECE/TRANS/WP.15/265/Add.1) pour les nouveaux amendements.</w:t>
      </w:r>
    </w:p>
    <w:p w14:paraId="198149A9" w14:textId="49126535" w:rsidR="0037375D" w:rsidRPr="005A76D3" w:rsidRDefault="0037375D" w:rsidP="0037375D">
      <w:pPr>
        <w:tabs>
          <w:tab w:val="left" w:pos="708"/>
        </w:tabs>
        <w:spacing w:after="120"/>
        <w:ind w:left="1134" w:right="1134"/>
        <w:jc w:val="both"/>
        <w:rPr>
          <w:lang w:eastAsia="en-US"/>
        </w:rPr>
      </w:pPr>
      <w:r w:rsidRPr="005A76D3">
        <w:rPr>
          <w:lang w:eastAsia="en-US"/>
        </w:rPr>
        <w:t>73.</w:t>
      </w:r>
      <w:r w:rsidRPr="005A76D3">
        <w:rPr>
          <w:lang w:eastAsia="en-US"/>
        </w:rPr>
        <w:tab/>
        <w:t>La Présidente a été invitée à transmettre l’ensemble des amendements au Secrétaire général par l’intermédiaire de son gouvernement, de sorte qu’ils puissent être notifiés aux Parties contractantes à l’ADR au plus tard 1</w:t>
      </w:r>
      <w:r w:rsidRPr="005A76D3">
        <w:rPr>
          <w:vertAlign w:val="superscript"/>
          <w:lang w:eastAsia="en-US"/>
        </w:rPr>
        <w:t>er</w:t>
      </w:r>
      <w:r w:rsidRPr="005A76D3">
        <w:rPr>
          <w:lang w:eastAsia="en-US"/>
        </w:rPr>
        <w:t xml:space="preserve"> juillet 2024 pour acceptation conformément à la procédure énoncée à l’article 14 de l’ADR.</w:t>
      </w:r>
    </w:p>
    <w:p w14:paraId="0FF390AB" w14:textId="77777777" w:rsidR="0037375D" w:rsidRPr="005A76D3" w:rsidRDefault="0037375D" w:rsidP="0037375D">
      <w:pPr>
        <w:pStyle w:val="H1G"/>
        <w:keepNext w:val="0"/>
        <w:keepLines w:val="0"/>
        <w:spacing w:before="240"/>
        <w:rPr>
          <w:lang w:val="fr-FR"/>
        </w:rPr>
      </w:pPr>
      <w:r w:rsidRPr="005A76D3">
        <w:rPr>
          <w:lang w:val="fr-FR"/>
        </w:rPr>
        <w:tab/>
        <w:t>E.</w:t>
      </w:r>
      <w:r w:rsidRPr="005A76D3">
        <w:rPr>
          <w:lang w:val="fr-FR"/>
        </w:rPr>
        <w:tab/>
        <w:t>Hommage</w:t>
      </w:r>
    </w:p>
    <w:p w14:paraId="0E01B369" w14:textId="77777777" w:rsidR="0037375D" w:rsidRPr="005A76D3" w:rsidRDefault="0037375D" w:rsidP="0037375D">
      <w:pPr>
        <w:pStyle w:val="SingleTxtG"/>
      </w:pPr>
      <w:r w:rsidRPr="005A76D3">
        <w:t>74.</w:t>
      </w:r>
      <w:r w:rsidRPr="005A76D3">
        <w:tab/>
        <w:t>Le groupe de travail a appris le départ à la retraite de Mme Barrio-Champeau, assistante à la section Transport de marchandises dangereuses. Depuis 2011, Mme Barrio-Champeau était chargée de la partie administrative de l'organisation des sessions du Groupe de travail et des relations avec les délégués. Le Groupe de travail lui a souhaité le meilleur dans sa nouvelle vie.</w:t>
      </w:r>
    </w:p>
    <w:p w14:paraId="724C7AF7" w14:textId="77777777" w:rsidR="0037375D" w:rsidRPr="005A76D3" w:rsidRDefault="0037375D" w:rsidP="0037375D">
      <w:pPr>
        <w:keepNext/>
        <w:keepLines/>
        <w:tabs>
          <w:tab w:val="right" w:pos="851"/>
        </w:tabs>
        <w:suppressAutoHyphens/>
        <w:spacing w:before="240" w:after="240" w:line="300" w:lineRule="exact"/>
        <w:ind w:left="1134" w:right="1134" w:hanging="1134"/>
        <w:rPr>
          <w:b/>
          <w:sz w:val="28"/>
          <w:lang w:eastAsia="en-US"/>
        </w:rPr>
      </w:pPr>
      <w:r w:rsidRPr="005A76D3">
        <w:rPr>
          <w:b/>
          <w:sz w:val="28"/>
          <w:lang w:eastAsia="en-US"/>
        </w:rPr>
        <w:tab/>
        <w:t>XI.</w:t>
      </w:r>
      <w:r w:rsidRPr="005A76D3">
        <w:rPr>
          <w:b/>
          <w:sz w:val="28"/>
          <w:lang w:eastAsia="en-US"/>
        </w:rPr>
        <w:tab/>
        <w:t>Adoption du rapport (point 10 de l’ordre du jour)</w:t>
      </w:r>
    </w:p>
    <w:p w14:paraId="7B163BEE" w14:textId="77777777" w:rsidR="0037375D" w:rsidRPr="005A76D3" w:rsidRDefault="0037375D" w:rsidP="0037375D">
      <w:pPr>
        <w:spacing w:after="120"/>
        <w:ind w:left="1134" w:right="1134"/>
        <w:jc w:val="both"/>
        <w:rPr>
          <w:lang w:val="fr-FR"/>
        </w:rPr>
      </w:pPr>
      <w:r w:rsidRPr="005A76D3">
        <w:rPr>
          <w:lang w:val="fr-FR"/>
        </w:rPr>
        <w:t>75.</w:t>
      </w:r>
      <w:r w:rsidRPr="005A76D3">
        <w:rPr>
          <w:lang w:val="fr-FR"/>
        </w:rPr>
        <w:tab/>
        <w:t>Le Groupe de travail a adopté le rapport de sa 115</w:t>
      </w:r>
      <w:r w:rsidRPr="005A76D3">
        <w:rPr>
          <w:vertAlign w:val="superscript"/>
          <w:lang w:val="fr-FR"/>
        </w:rPr>
        <w:t>e</w:t>
      </w:r>
      <w:r w:rsidRPr="005A76D3">
        <w:rPr>
          <w:lang w:val="fr-FR"/>
        </w:rPr>
        <w:t xml:space="preserve"> session et ses annexes sur la base d’un projet établi par le secrétariat.</w:t>
      </w:r>
    </w:p>
    <w:p w14:paraId="68846CEF" w14:textId="18F29046" w:rsidR="0037375D" w:rsidRPr="005A76D3" w:rsidRDefault="0037375D">
      <w:pPr>
        <w:rPr>
          <w:sz w:val="28"/>
          <w:szCs w:val="28"/>
          <w:lang w:val="fr-FR"/>
        </w:rPr>
      </w:pPr>
      <w:r w:rsidRPr="005A76D3">
        <w:rPr>
          <w:sz w:val="28"/>
          <w:szCs w:val="28"/>
          <w:lang w:val="fr-FR"/>
        </w:rPr>
        <w:br w:type="page"/>
      </w:r>
    </w:p>
    <w:p w14:paraId="321CE99F" w14:textId="77777777" w:rsidR="00C21BDD" w:rsidRPr="005A76D3" w:rsidRDefault="00C21BDD" w:rsidP="00C21BDD">
      <w:pPr>
        <w:pStyle w:val="HChG"/>
        <w:rPr>
          <w:lang w:val="fr-FR"/>
        </w:rPr>
      </w:pPr>
      <w:r w:rsidRPr="005A76D3">
        <w:rPr>
          <w:lang w:val="fr-FR"/>
        </w:rPr>
        <w:lastRenderedPageBreak/>
        <w:t>Annexe I</w:t>
      </w:r>
    </w:p>
    <w:p w14:paraId="2641B489" w14:textId="2E21B7F8" w:rsidR="00C21BDD" w:rsidRPr="005A76D3" w:rsidRDefault="00C21BDD" w:rsidP="00C21BDD">
      <w:pPr>
        <w:pStyle w:val="HChG"/>
        <w:rPr>
          <w:lang w:val="fr-FR"/>
        </w:rPr>
      </w:pPr>
      <w:r w:rsidRPr="005A76D3">
        <w:rPr>
          <w:lang w:val="fr-FR"/>
        </w:rPr>
        <w:tab/>
      </w:r>
      <w:r w:rsidRPr="005A76D3">
        <w:rPr>
          <w:lang w:val="fr-FR"/>
        </w:rPr>
        <w:tab/>
        <w:t>Projet d’amendements aux annexes A et B de l’ADR pour entrée en vigueur le 1er janvier 2025</w:t>
      </w:r>
    </w:p>
    <w:p w14:paraId="4178621B" w14:textId="77777777" w:rsidR="00C21BDD" w:rsidRPr="005A76D3" w:rsidRDefault="00C21BDD" w:rsidP="00C21BDD">
      <w:pPr>
        <w:pStyle w:val="H1G"/>
        <w:rPr>
          <w:lang w:val="fr-FR"/>
        </w:rPr>
      </w:pPr>
      <w:r w:rsidRPr="005A76D3">
        <w:rPr>
          <w:lang w:val="fr-FR"/>
        </w:rPr>
        <w:tab/>
      </w:r>
      <w:r w:rsidRPr="005A76D3">
        <w:rPr>
          <w:lang w:val="fr-FR"/>
        </w:rPr>
        <w:tab/>
        <w:t>Chapitre 1.6</w:t>
      </w:r>
    </w:p>
    <w:p w14:paraId="42588737"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1.6.5.4</w:t>
      </w:r>
      <w:r w:rsidRPr="005A76D3">
        <w:rPr>
          <w:lang w:val="fr-FR"/>
        </w:rPr>
        <w:tab/>
        <w:t>Remplacer « </w:t>
      </w:r>
      <w:r w:rsidRPr="005A76D3">
        <w:rPr>
          <w:i/>
          <w:iCs/>
          <w:lang w:val="fr-FR"/>
        </w:rPr>
        <w:t>Réservé</w:t>
      </w:r>
      <w:r w:rsidRPr="005A76D3">
        <w:rPr>
          <w:lang w:val="fr-FR"/>
        </w:rPr>
        <w:t> » par « Pour ce qui concerne la construction des véhicules AT, les prescriptions de la partie 9 en vigueur jusqu'au 31 décembre 2024, pourront être appliquées jusqu'au 31 décembre 2026. ».</w:t>
      </w:r>
    </w:p>
    <w:p w14:paraId="594827EA" w14:textId="77777777" w:rsidR="00C21BDD" w:rsidRPr="005A76D3" w:rsidRDefault="00C21BDD" w:rsidP="00C21BDD">
      <w:pPr>
        <w:pStyle w:val="SingleTxtG"/>
        <w:tabs>
          <w:tab w:val="clear" w:pos="1701"/>
        </w:tabs>
        <w:rPr>
          <w:i/>
          <w:iCs/>
          <w:lang w:val="fr-FR"/>
        </w:rPr>
      </w:pPr>
      <w:r w:rsidRPr="005A76D3">
        <w:rPr>
          <w:i/>
          <w:iCs/>
          <w:lang w:val="fr-FR"/>
        </w:rPr>
        <w:t>(Document de référence : document informel INF.6, proposition 4)</w:t>
      </w:r>
    </w:p>
    <w:p w14:paraId="40301B2B" w14:textId="77777777" w:rsidR="00C21BDD" w:rsidRPr="005A76D3" w:rsidRDefault="00C21BDD" w:rsidP="00C21BDD">
      <w:pPr>
        <w:pStyle w:val="SingleTxtG"/>
        <w:tabs>
          <w:tab w:val="clear" w:pos="1701"/>
        </w:tabs>
        <w:ind w:left="2268" w:hanging="1134"/>
        <w:rPr>
          <w:lang w:val="fr-FR"/>
        </w:rPr>
      </w:pPr>
      <w:r w:rsidRPr="005A76D3">
        <w:rPr>
          <w:lang w:val="fr-FR"/>
        </w:rPr>
        <w:t>1.6.5</w:t>
      </w:r>
      <w:r w:rsidRPr="005A76D3">
        <w:rPr>
          <w:lang w:val="fr-FR"/>
        </w:rPr>
        <w:tab/>
        <w:t>Ajouter la nouvelle disposition transitoire suivante :</w:t>
      </w:r>
    </w:p>
    <w:p w14:paraId="108F0E53" w14:textId="77777777" w:rsidR="00C21BDD" w:rsidRPr="005A76D3" w:rsidRDefault="00C21BDD" w:rsidP="00C21BDD">
      <w:pPr>
        <w:pStyle w:val="SingleTxtG"/>
        <w:ind w:left="2268" w:hanging="1134"/>
        <w:rPr>
          <w:lang w:val="fr-FR"/>
        </w:rPr>
      </w:pPr>
      <w:r w:rsidRPr="005A76D3">
        <w:rPr>
          <w:lang w:val="fr-FR"/>
        </w:rPr>
        <w:t>« 1.6.5.28</w:t>
      </w:r>
      <w:r w:rsidRPr="005A76D3">
        <w:rPr>
          <w:lang w:val="fr-FR"/>
        </w:rPr>
        <w:tab/>
        <w:t>Les véhicules immatriculés pour la première fois (ou mis en circulation, si l’immatriculation n’est pas obligatoire) avant le 1</w:t>
      </w:r>
      <w:r w:rsidRPr="005A76D3">
        <w:rPr>
          <w:vertAlign w:val="superscript"/>
          <w:lang w:val="fr-FR"/>
        </w:rPr>
        <w:t>er</w:t>
      </w:r>
      <w:r w:rsidRPr="005A76D3">
        <w:rPr>
          <w:lang w:val="fr-FR"/>
        </w:rPr>
        <w:t xml:space="preserve"> janvier 2027, agréés en tant que véhicules AT, qui ne sont pas conformes aux dispositions du 9.2.4.3.1 en ce qui concerne les moteurs, peuvent encore être utilisés. »</w:t>
      </w:r>
    </w:p>
    <w:p w14:paraId="5B25477D" w14:textId="77777777" w:rsidR="00C21BDD" w:rsidRPr="005A76D3" w:rsidRDefault="00C21BDD" w:rsidP="00C21BDD">
      <w:pPr>
        <w:pStyle w:val="SingleTxtG"/>
        <w:tabs>
          <w:tab w:val="clear" w:pos="1701"/>
        </w:tabs>
        <w:rPr>
          <w:i/>
          <w:iCs/>
          <w:lang w:val="fr-FR"/>
        </w:rPr>
      </w:pPr>
      <w:r w:rsidRPr="005A76D3">
        <w:rPr>
          <w:i/>
          <w:iCs/>
          <w:lang w:val="fr-FR"/>
        </w:rPr>
        <w:t>(Document de référence : ECE/TRANS/WP.15/2024/7, tel que modifié)</w:t>
      </w:r>
    </w:p>
    <w:p w14:paraId="40346F3C" w14:textId="77777777" w:rsidR="00C21BDD" w:rsidRPr="005A76D3" w:rsidRDefault="00C21BDD" w:rsidP="00C21BDD">
      <w:pPr>
        <w:pStyle w:val="H1G"/>
        <w:rPr>
          <w:lang w:val="fr-FR"/>
        </w:rPr>
      </w:pPr>
      <w:r w:rsidRPr="005A76D3">
        <w:rPr>
          <w:lang w:val="fr-FR"/>
        </w:rPr>
        <w:tab/>
      </w:r>
      <w:r w:rsidRPr="005A76D3">
        <w:rPr>
          <w:lang w:val="fr-FR"/>
        </w:rPr>
        <w:tab/>
        <w:t>Chapitre 4.1</w:t>
      </w:r>
    </w:p>
    <w:p w14:paraId="369C2F0F"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4.1.4.1, P200</w:t>
      </w:r>
      <w:r w:rsidRPr="005A76D3">
        <w:rPr>
          <w:lang w:val="fr-FR"/>
        </w:rPr>
        <w:tab/>
        <w:t>Dans l'ensemble de l'instruction d'emballage, y compris les tableaux 1 à 3, placer les notes de bas de page directement sous l'instruction d'emballage, sur les pages où elles apparaissent et les renuméroter de manière séquentielle, comme a) à i).</w:t>
      </w:r>
    </w:p>
    <w:p w14:paraId="20C61942"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ab/>
        <w:t>Au point 5) b), au-dessous de la première et deuxième formules, après « où », ajouter un deux-points et démarrer une nouvelle ligne.</w:t>
      </w:r>
    </w:p>
    <w:p w14:paraId="6AC3C567"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ab/>
        <w:t>Au point 5) c), au-dessous de la formule, après « où », ajouter un deux-points et démarrer une nouvelle ligne.</w:t>
      </w:r>
    </w:p>
    <w:p w14:paraId="7378E4BE"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ab/>
        <w:t>Au point 10) z, au-dessous de la première et deuxième formules, après « où », ajouter un deux-points et démarrer une nouvelle ligne.</w:t>
      </w:r>
    </w:p>
    <w:p w14:paraId="7FEC558A"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ab/>
        <w:t>Au point 10) ab, renuméroter i) à iii) en tant que a) à c).</w:t>
      </w:r>
    </w:p>
    <w:p w14:paraId="289A8D8A"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ab/>
        <w:t>Au point 10) ad, renuméroter i) et ii) en tant que a) et b) et renuméroter la liste en remplaçant les tirets par les lettres i) et ii).</w:t>
      </w:r>
    </w:p>
    <w:p w14:paraId="4C34AB18"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ab/>
        <w:t>Au point 13) 2.2, renuméroter la liste en remplaçant les tirets par les lettres a) à e).</w:t>
      </w:r>
    </w:p>
    <w:p w14:paraId="1B9487E5"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ab/>
        <w:t>Au point 13) 2.3, renuméroter la liste de premier niveau en remplaçant les tirets par les lettres a) à e) et la liste de deuxième niveau en remplaçant les tirets par les lettres i) et ii).</w:t>
      </w:r>
    </w:p>
    <w:p w14:paraId="2C2E1D4E" w14:textId="77777777" w:rsidR="00C21BDD" w:rsidRPr="005A76D3" w:rsidRDefault="00C21BDD" w:rsidP="00C21BDD">
      <w:pPr>
        <w:pStyle w:val="SingleTxtG"/>
        <w:rPr>
          <w:i/>
          <w:iCs/>
        </w:rPr>
      </w:pPr>
      <w:r w:rsidRPr="005A76D3">
        <w:rPr>
          <w:i/>
          <w:iCs/>
        </w:rPr>
        <w:t>(Le premier amendement annule et remplace tous les amendements concernant l'emplacement et la renumérotation des notes de bas de page dans l'instruction d'emballage P200 dans le document ECE/TRANS/WP.15/265.)</w:t>
      </w:r>
    </w:p>
    <w:p w14:paraId="00270D43" w14:textId="77777777" w:rsidR="00C21BDD" w:rsidRPr="005A76D3" w:rsidRDefault="00C21BDD" w:rsidP="00C21BDD">
      <w:pPr>
        <w:pStyle w:val="SingleTxtG"/>
        <w:ind w:left="2268" w:hanging="1134"/>
        <w:rPr>
          <w:i/>
          <w:iCs/>
        </w:rPr>
      </w:pPr>
      <w:r w:rsidRPr="005A76D3">
        <w:rPr>
          <w:i/>
          <w:iCs/>
        </w:rPr>
        <w:t>(Document de référence : document informel INF.8)</w:t>
      </w:r>
    </w:p>
    <w:p w14:paraId="7534613C" w14:textId="77777777" w:rsidR="00C21BDD" w:rsidRPr="005A76D3" w:rsidRDefault="00C21BDD" w:rsidP="00C21BDD">
      <w:pPr>
        <w:pStyle w:val="H1G"/>
        <w:rPr>
          <w:lang w:val="fr-FR"/>
        </w:rPr>
      </w:pPr>
      <w:r w:rsidRPr="005A76D3">
        <w:rPr>
          <w:lang w:val="fr-FR"/>
        </w:rPr>
        <w:tab/>
      </w:r>
      <w:r w:rsidRPr="005A76D3">
        <w:rPr>
          <w:lang w:val="fr-FR"/>
        </w:rPr>
        <w:tab/>
        <w:t>Chapitre 5.3</w:t>
      </w:r>
    </w:p>
    <w:p w14:paraId="758326D8" w14:textId="77777777" w:rsidR="00C21BDD" w:rsidRPr="005A76D3" w:rsidRDefault="00C21BDD" w:rsidP="00C21BDD">
      <w:pPr>
        <w:pStyle w:val="SingleTxtG"/>
        <w:ind w:left="2268" w:hanging="1134"/>
        <w:rPr>
          <w:lang w:val="fr-FR"/>
        </w:rPr>
      </w:pPr>
      <w:r w:rsidRPr="005A76D3">
        <w:rPr>
          <w:lang w:val="fr-FR"/>
        </w:rPr>
        <w:t>5.3.2.1.1</w:t>
      </w:r>
      <w:r w:rsidRPr="005A76D3">
        <w:rPr>
          <w:lang w:val="fr-FR"/>
        </w:rPr>
        <w:tab/>
        <w:t>Au deuxième paragraphe, dernière phrase, à la fin, ajouter « ou au No ONU 3475, selon le cas ».</w:t>
      </w:r>
    </w:p>
    <w:p w14:paraId="437611D9" w14:textId="77777777" w:rsidR="00C21BDD" w:rsidRPr="005A76D3" w:rsidRDefault="00C21BDD" w:rsidP="00C21BDD">
      <w:pPr>
        <w:pStyle w:val="SingleTxtG"/>
        <w:tabs>
          <w:tab w:val="clear" w:pos="1701"/>
          <w:tab w:val="clear" w:pos="2268"/>
          <w:tab w:val="clear" w:pos="2835"/>
        </w:tabs>
        <w:ind w:left="2268" w:hanging="1134"/>
        <w:rPr>
          <w:i/>
          <w:iCs/>
          <w:lang w:val="fr-FR"/>
        </w:rPr>
      </w:pPr>
      <w:r w:rsidRPr="005A76D3">
        <w:rPr>
          <w:i/>
          <w:iCs/>
          <w:lang w:val="fr-FR"/>
        </w:rPr>
        <w:t>(Document de référence : ECE/TRANS/WP.15/2024/2, amendement de conséquence)</w:t>
      </w:r>
    </w:p>
    <w:p w14:paraId="23978288"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lastRenderedPageBreak/>
        <w:t>5.3.2.1.3</w:t>
      </w:r>
      <w:r w:rsidRPr="005A76D3">
        <w:rPr>
          <w:lang w:val="fr-FR"/>
        </w:rPr>
        <w:tab/>
        <w:t>Remplacer « 1203 ou 1223 » par « 1203, 1223 ou 3475 » et modifier la fin du paragraphe pour lire :</w:t>
      </w:r>
    </w:p>
    <w:p w14:paraId="067766F0"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 … et le numéro ONU prescrits :</w:t>
      </w:r>
    </w:p>
    <w:p w14:paraId="2DB4BC43" w14:textId="0342ACB8"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a)</w:t>
      </w:r>
      <w:r w:rsidRPr="005A76D3">
        <w:rPr>
          <w:lang w:val="fr-FR"/>
        </w:rPr>
        <w:tab/>
      </w:r>
      <w:r w:rsidR="005F0B51" w:rsidRPr="005A76D3">
        <w:rPr>
          <w:lang w:val="fr-FR"/>
        </w:rPr>
        <w:t>P</w:t>
      </w:r>
      <w:r w:rsidRPr="005A76D3">
        <w:rPr>
          <w:lang w:val="fr-FR"/>
        </w:rPr>
        <w:t>our le No ONU 3475 ; ou</w:t>
      </w:r>
    </w:p>
    <w:p w14:paraId="09A71D3A" w14:textId="120E85D6"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b)</w:t>
      </w:r>
      <w:r w:rsidRPr="005A76D3">
        <w:rPr>
          <w:lang w:val="fr-FR"/>
        </w:rPr>
        <w:tab/>
      </w:r>
      <w:r w:rsidR="005F0B51" w:rsidRPr="005A76D3">
        <w:rPr>
          <w:lang w:val="fr-FR"/>
        </w:rPr>
        <w:t>P</w:t>
      </w:r>
      <w:r w:rsidRPr="005A76D3">
        <w:rPr>
          <w:lang w:val="fr-FR"/>
        </w:rPr>
        <w:t>our la matière la plus dangereuse transportée, c'est à dire la matière ayant le point d'éclair le plus bas, en l’absence de matière du No ONU 3475. »</w:t>
      </w:r>
    </w:p>
    <w:p w14:paraId="6B18E71A" w14:textId="77777777" w:rsidR="00C21BDD" w:rsidRPr="005A76D3" w:rsidRDefault="00C21BDD" w:rsidP="00C21BDD">
      <w:pPr>
        <w:pStyle w:val="SingleTxtG"/>
        <w:tabs>
          <w:tab w:val="clear" w:pos="1701"/>
        </w:tabs>
        <w:rPr>
          <w:i/>
          <w:iCs/>
          <w:lang w:val="fr-FR"/>
        </w:rPr>
      </w:pPr>
      <w:r w:rsidRPr="005A76D3">
        <w:rPr>
          <w:i/>
          <w:iCs/>
          <w:lang w:val="fr-FR"/>
        </w:rPr>
        <w:t xml:space="preserve">(Document de référence : </w:t>
      </w:r>
      <w:r w:rsidRPr="005A76D3">
        <w:rPr>
          <w:i/>
          <w:iCs/>
        </w:rPr>
        <w:t>ECE/TRANS/WP.15/2024/2, avec des modifications rédactionnelles</w:t>
      </w:r>
      <w:r w:rsidRPr="005A76D3">
        <w:rPr>
          <w:i/>
          <w:iCs/>
          <w:lang w:val="fr-FR"/>
        </w:rPr>
        <w:t>)</w:t>
      </w:r>
    </w:p>
    <w:p w14:paraId="3566B0A7" w14:textId="77777777" w:rsidR="00C21BDD" w:rsidRPr="005A76D3" w:rsidRDefault="00C21BDD" w:rsidP="00C21BDD">
      <w:pPr>
        <w:pStyle w:val="H1G"/>
        <w:rPr>
          <w:lang w:val="fr-FR"/>
        </w:rPr>
      </w:pPr>
      <w:r w:rsidRPr="005A76D3">
        <w:rPr>
          <w:lang w:val="fr-FR"/>
        </w:rPr>
        <w:tab/>
      </w:r>
      <w:r w:rsidRPr="005A76D3">
        <w:rPr>
          <w:lang w:val="fr-FR"/>
        </w:rPr>
        <w:tab/>
        <w:t>Chapitre 9.2</w:t>
      </w:r>
    </w:p>
    <w:p w14:paraId="3F93D933"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9.2.2.3</w:t>
      </w:r>
      <w:r w:rsidRPr="005A76D3">
        <w:rPr>
          <w:lang w:val="fr-FR"/>
        </w:rPr>
        <w:tab/>
        <w:t>À la fin de la liste, remplacer le point par un point-virgule et ajouter un nouveau tiret pour lire « - De la batterie de démarrage à l’équipement de direction électrique ».</w:t>
      </w:r>
    </w:p>
    <w:p w14:paraId="26004DE6" w14:textId="77777777" w:rsidR="00C21BDD" w:rsidRPr="005A76D3" w:rsidRDefault="00C21BDD" w:rsidP="00C21BDD">
      <w:pPr>
        <w:pStyle w:val="SingleTxtG"/>
        <w:tabs>
          <w:tab w:val="clear" w:pos="1701"/>
        </w:tabs>
        <w:rPr>
          <w:i/>
          <w:iCs/>
          <w:lang w:val="fr-FR"/>
        </w:rPr>
      </w:pPr>
      <w:r w:rsidRPr="005A76D3">
        <w:rPr>
          <w:i/>
          <w:iCs/>
          <w:lang w:val="fr-FR"/>
        </w:rPr>
        <w:t>(Document de référence : ECE/TRANS/WP.15/2024/4)</w:t>
      </w:r>
    </w:p>
    <w:p w14:paraId="74B93842"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9.2.5.1 (actuel 9.2.4.8.1)</w:t>
      </w:r>
      <w:r w:rsidRPr="005A76D3">
        <w:rPr>
          <w:lang w:val="fr-FR"/>
        </w:rPr>
        <w:tab/>
        <w:t>Remplacer « 9.2.4.8.2 à 9.2.4.8.6 » par « 9.2.5.2 à 9.2.5.6 ».</w:t>
      </w:r>
    </w:p>
    <w:p w14:paraId="00B035AA"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9.2.5.2 (actuel 9.2.4.8.2)</w:t>
      </w:r>
      <w:r w:rsidRPr="005A76D3">
        <w:rPr>
          <w:lang w:val="fr-FR"/>
        </w:rPr>
        <w:tab/>
        <w:t>Remplacer « 9.2.4.3 et 9.2.4.5 » par « 9.2.4.2 et 9.2.4.3.2 ».</w:t>
      </w:r>
    </w:p>
    <w:p w14:paraId="03076DA3"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9.2.5.4 (actuel 9.2.4.8.4)</w:t>
      </w:r>
      <w:r w:rsidRPr="005A76D3">
        <w:rPr>
          <w:lang w:val="fr-FR"/>
        </w:rPr>
        <w:tab/>
        <w:t>Dans la première phrase, remplacer « 9.2.4.8.3 b) et c) » par « 9.2.5.3 b) et c) ».</w:t>
      </w:r>
    </w:p>
    <w:p w14:paraId="4F05C681" w14:textId="77777777" w:rsidR="00C21BDD" w:rsidRPr="005A76D3" w:rsidRDefault="00C21BDD" w:rsidP="00C21BDD">
      <w:pPr>
        <w:pStyle w:val="SingleTxtG"/>
        <w:tabs>
          <w:tab w:val="clear" w:pos="1701"/>
        </w:tabs>
        <w:rPr>
          <w:i/>
          <w:iCs/>
          <w:lang w:val="fr-FR"/>
        </w:rPr>
      </w:pPr>
      <w:r w:rsidRPr="005A76D3">
        <w:rPr>
          <w:i/>
          <w:iCs/>
          <w:lang w:val="fr-FR"/>
        </w:rPr>
        <w:t>(Document de référence : ECE/TRANS/WP.15/2024/8)</w:t>
      </w:r>
    </w:p>
    <w:p w14:paraId="2B9D225C" w14:textId="77777777" w:rsidR="00C21BDD" w:rsidRPr="005A76D3" w:rsidRDefault="00C21BDD" w:rsidP="00C21BDD">
      <w:pPr>
        <w:pStyle w:val="H1G"/>
        <w:rPr>
          <w:lang w:val="fr-FR"/>
        </w:rPr>
      </w:pPr>
      <w:r w:rsidRPr="005A76D3">
        <w:rPr>
          <w:lang w:val="fr-FR"/>
        </w:rPr>
        <w:tab/>
      </w:r>
      <w:r w:rsidRPr="005A76D3">
        <w:rPr>
          <w:lang w:val="fr-FR"/>
        </w:rPr>
        <w:tab/>
        <w:t>Chapitre 9.3</w:t>
      </w:r>
    </w:p>
    <w:p w14:paraId="463BE655"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9.3.2.2</w:t>
      </w:r>
      <w:r w:rsidRPr="005A76D3">
        <w:rPr>
          <w:lang w:val="fr-FR"/>
        </w:rPr>
        <w:tab/>
        <w:t>Remplacer « 9.2.4.8.1, 9.2.4.8.2, 9.2.4.8.5 et 9.2.4.8.6 » par « 9.2.5.1, 9.2.5.2, 9.2.5.5 et 9.2.5.6 ».</w:t>
      </w:r>
    </w:p>
    <w:p w14:paraId="03002C97" w14:textId="77777777" w:rsidR="00C21BDD" w:rsidRPr="005A76D3" w:rsidRDefault="00C21BDD" w:rsidP="00C21BDD">
      <w:pPr>
        <w:pStyle w:val="SingleTxtG"/>
        <w:tabs>
          <w:tab w:val="clear" w:pos="1701"/>
        </w:tabs>
        <w:rPr>
          <w:i/>
          <w:iCs/>
          <w:lang w:val="fr-FR"/>
        </w:rPr>
      </w:pPr>
      <w:r w:rsidRPr="005A76D3">
        <w:rPr>
          <w:i/>
          <w:iCs/>
          <w:lang w:val="fr-FR"/>
        </w:rPr>
        <w:t>(Document de référence : ECE/TRANS/WP.15/2024/8)</w:t>
      </w:r>
    </w:p>
    <w:p w14:paraId="38BB4AF0" w14:textId="77777777" w:rsidR="00C21BDD" w:rsidRPr="005A76D3" w:rsidRDefault="00C21BDD" w:rsidP="00C21BDD">
      <w:pPr>
        <w:pStyle w:val="H1G"/>
        <w:rPr>
          <w:lang w:val="fr-FR"/>
        </w:rPr>
      </w:pPr>
      <w:r w:rsidRPr="005A76D3">
        <w:rPr>
          <w:lang w:val="fr-FR"/>
        </w:rPr>
        <w:tab/>
      </w:r>
      <w:r w:rsidRPr="005A76D3">
        <w:rPr>
          <w:lang w:val="fr-FR"/>
        </w:rPr>
        <w:tab/>
        <w:t>Chapitre 9.7</w:t>
      </w:r>
    </w:p>
    <w:p w14:paraId="0436A7DE"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9.7.7.1</w:t>
      </w:r>
      <w:r w:rsidRPr="005A76D3">
        <w:rPr>
          <w:lang w:val="fr-FR"/>
        </w:rPr>
        <w:tab/>
        <w:t>Au premier paragraphe, remplacer « 9.2.4.8.1, 9.2.4.8.2, 9.2.4.8.5 » par « 9.2.5.1, 9.2.5.2, 9.2.5.5 ».</w:t>
      </w:r>
    </w:p>
    <w:p w14:paraId="3FD2AF7D"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ab/>
        <w:t>Au deuxième paragraphe, remplacer « 9.2.4.8.3 et 9.2.4.8.4 » par « 9.2.5.3 et 9.2.5.4 ».</w:t>
      </w:r>
    </w:p>
    <w:p w14:paraId="10A31EF6" w14:textId="77777777" w:rsidR="00C21BDD" w:rsidRPr="005A76D3" w:rsidRDefault="00C21BDD" w:rsidP="00C21BDD">
      <w:pPr>
        <w:pStyle w:val="SingleTxtG"/>
        <w:tabs>
          <w:tab w:val="clear" w:pos="1701"/>
        </w:tabs>
        <w:rPr>
          <w:i/>
          <w:iCs/>
          <w:lang w:val="fr-FR"/>
        </w:rPr>
      </w:pPr>
      <w:r w:rsidRPr="005A76D3">
        <w:rPr>
          <w:i/>
          <w:iCs/>
          <w:lang w:val="fr-FR"/>
        </w:rPr>
        <w:t>(Document de référence : ECE/TRANS/WP.15/2024/8)</w:t>
      </w:r>
    </w:p>
    <w:p w14:paraId="5CE780F5"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9.7.8.1</w:t>
      </w:r>
      <w:r w:rsidRPr="005A76D3">
        <w:rPr>
          <w:lang w:val="fr-FR"/>
        </w:rPr>
        <w:tab/>
        <w:t>Modifier la première phrase pour lire « Les installations électriques modifiées ou ajoutées sur les véhicules doivent satisfaire aux prescriptions pertinentes du chapitre 9.2 le cas échéant (voir le tableau du 9.2.1.1). ». Supprimer le deuxième paragraphe.</w:t>
      </w:r>
    </w:p>
    <w:p w14:paraId="384B1CAF" w14:textId="77777777" w:rsidR="00C21BDD" w:rsidRPr="005A76D3" w:rsidRDefault="00C21BDD" w:rsidP="00C21BDD">
      <w:pPr>
        <w:pStyle w:val="SingleTxtG"/>
        <w:tabs>
          <w:tab w:val="clear" w:pos="1701"/>
        </w:tabs>
        <w:rPr>
          <w:i/>
          <w:iCs/>
          <w:lang w:val="fr-FR"/>
        </w:rPr>
      </w:pPr>
      <w:r w:rsidRPr="005A76D3">
        <w:rPr>
          <w:i/>
          <w:iCs/>
          <w:lang w:val="fr-FR"/>
        </w:rPr>
        <w:t>(Document de référence : ECE/TRANS/WP.15/2024/5, tel que modifié)</w:t>
      </w:r>
    </w:p>
    <w:p w14:paraId="34982BB5" w14:textId="77777777" w:rsidR="00C21BDD" w:rsidRPr="005A76D3" w:rsidRDefault="00C21BDD" w:rsidP="00C21BDD">
      <w:pPr>
        <w:pStyle w:val="H1G"/>
        <w:rPr>
          <w:lang w:val="fr-FR"/>
        </w:rPr>
      </w:pPr>
      <w:r w:rsidRPr="005A76D3">
        <w:rPr>
          <w:lang w:val="fr-FR"/>
        </w:rPr>
        <w:tab/>
      </w:r>
      <w:r w:rsidRPr="005A76D3">
        <w:rPr>
          <w:lang w:val="fr-FR"/>
        </w:rPr>
        <w:tab/>
        <w:t>Chapitre 9.8</w:t>
      </w:r>
    </w:p>
    <w:p w14:paraId="4CD19931" w14:textId="77777777" w:rsidR="00C21BDD" w:rsidRPr="005A76D3" w:rsidRDefault="00C21BDD" w:rsidP="00C21BDD">
      <w:pPr>
        <w:pStyle w:val="SingleTxtG"/>
        <w:tabs>
          <w:tab w:val="clear" w:pos="1701"/>
          <w:tab w:val="clear" w:pos="2268"/>
          <w:tab w:val="clear" w:pos="2835"/>
        </w:tabs>
        <w:ind w:left="2268" w:hanging="1134"/>
        <w:rPr>
          <w:lang w:val="fr-FR"/>
        </w:rPr>
      </w:pPr>
      <w:r w:rsidRPr="005A76D3">
        <w:rPr>
          <w:lang w:val="fr-FR"/>
        </w:rPr>
        <w:t>9.8.6.1</w:t>
      </w:r>
      <w:r w:rsidRPr="005A76D3">
        <w:rPr>
          <w:lang w:val="fr-FR"/>
        </w:rPr>
        <w:tab/>
        <w:t>Remplacer « 9.2.4.8.1, 9.2.4.8.2, 9.2.4.8.5, 9.2.4.8.6 » par « 9.2.5.1, 9.2.5.2, 9.2.5.5, 9.2.5.6 ».</w:t>
      </w:r>
    </w:p>
    <w:p w14:paraId="1FEECFDC" w14:textId="77777777" w:rsidR="00C21BDD" w:rsidRPr="005A76D3" w:rsidRDefault="00C21BDD" w:rsidP="00C21BDD">
      <w:pPr>
        <w:pStyle w:val="SingleTxtG"/>
        <w:tabs>
          <w:tab w:val="clear" w:pos="1701"/>
        </w:tabs>
        <w:rPr>
          <w:i/>
          <w:iCs/>
          <w:lang w:val="fr-FR"/>
        </w:rPr>
      </w:pPr>
      <w:r w:rsidRPr="005A76D3">
        <w:rPr>
          <w:i/>
          <w:iCs/>
          <w:lang w:val="fr-FR"/>
        </w:rPr>
        <w:t>(Document de référence : ECE/TRANS/WP.15/2024/8)</w:t>
      </w:r>
    </w:p>
    <w:p w14:paraId="27A8E358" w14:textId="77777777" w:rsidR="00C21BDD" w:rsidRPr="005A76D3" w:rsidRDefault="00C21BDD" w:rsidP="00C21BDD">
      <w:pPr>
        <w:pStyle w:val="H1G"/>
        <w:rPr>
          <w:lang w:val="fr-FR"/>
        </w:rPr>
      </w:pPr>
      <w:r w:rsidRPr="005A76D3">
        <w:rPr>
          <w:lang w:val="fr-FR"/>
        </w:rPr>
        <w:lastRenderedPageBreak/>
        <w:tab/>
      </w:r>
      <w:r w:rsidRPr="005A76D3">
        <w:rPr>
          <w:lang w:val="fr-FR"/>
        </w:rPr>
        <w:tab/>
        <w:t>Document informel INF.12, partie A, adopté avec les modifications suivantes :</w:t>
      </w:r>
    </w:p>
    <w:p w14:paraId="15267832" w14:textId="77777777" w:rsidR="00C21BDD" w:rsidRPr="005A76D3" w:rsidRDefault="00C21BDD" w:rsidP="00C21BDD">
      <w:pPr>
        <w:pStyle w:val="SingleTxtG"/>
        <w:ind w:left="2268" w:hanging="1134"/>
      </w:pPr>
      <w:r w:rsidRPr="005A76D3">
        <w:t>Supprimer tous les crochets.</w:t>
      </w:r>
    </w:p>
    <w:p w14:paraId="7FDDC5BD" w14:textId="77777777" w:rsidR="00C21BDD" w:rsidRPr="005A76D3" w:rsidRDefault="00C21BDD" w:rsidP="00C21BDD">
      <w:pPr>
        <w:pStyle w:val="SingleTxtG"/>
        <w:tabs>
          <w:tab w:val="clear" w:pos="1701"/>
          <w:tab w:val="clear" w:pos="2268"/>
          <w:tab w:val="clear" w:pos="2835"/>
        </w:tabs>
        <w:ind w:left="2268" w:hanging="1134"/>
        <w:rPr>
          <w:lang w:val="fr-FR"/>
        </w:rPr>
      </w:pPr>
      <w:r w:rsidRPr="005A76D3">
        <w:t>1.8.6.3.1</w:t>
      </w:r>
      <w:r w:rsidRPr="005A76D3">
        <w:tab/>
        <w:t>Remplacer « </w:t>
      </w:r>
      <w:r w:rsidRPr="005A76D3">
        <w:rPr>
          <w:lang w:val="fr-FR"/>
        </w:rPr>
        <w:t>EN ISO/IEC » par « EN ISO/CEI ».</w:t>
      </w:r>
    </w:p>
    <w:p w14:paraId="79F7F0F9" w14:textId="02BC53BC" w:rsidR="00C21BDD" w:rsidRPr="005A76D3" w:rsidRDefault="00C21BDD" w:rsidP="00C21BDD">
      <w:pPr>
        <w:pStyle w:val="SingleTxtG"/>
        <w:tabs>
          <w:tab w:val="clear" w:pos="1701"/>
          <w:tab w:val="clear" w:pos="2268"/>
          <w:tab w:val="clear" w:pos="2835"/>
        </w:tabs>
        <w:ind w:left="2268" w:hanging="1134"/>
      </w:pPr>
      <w:r w:rsidRPr="005A76D3">
        <w:t>6.2.4.1</w:t>
      </w:r>
      <w:r w:rsidRPr="005A76D3">
        <w:tab/>
        <w:t xml:space="preserve">Supprimer les amendements liés à la norme </w:t>
      </w:r>
      <w:r w:rsidRPr="005A76D3">
        <w:rPr>
          <w:lang w:eastAsia="en-US"/>
        </w:rPr>
        <w:t>EN ISO 17871.</w:t>
      </w:r>
    </w:p>
    <w:p w14:paraId="37E4707A" w14:textId="77777777" w:rsidR="00C21BDD" w:rsidRPr="005A76D3" w:rsidRDefault="00C21BDD" w:rsidP="00C21BDD">
      <w:pPr>
        <w:pStyle w:val="SingleTxtG"/>
        <w:tabs>
          <w:tab w:val="clear" w:pos="1701"/>
          <w:tab w:val="clear" w:pos="2268"/>
          <w:tab w:val="clear" w:pos="2835"/>
        </w:tabs>
        <w:suppressAutoHyphens/>
        <w:ind w:left="2268" w:hanging="1134"/>
        <w:rPr>
          <w:lang w:eastAsia="en-US"/>
        </w:rPr>
      </w:pPr>
      <w:r w:rsidRPr="005A76D3">
        <w:rPr>
          <w:lang w:eastAsia="en-US"/>
        </w:rPr>
        <w:t>6.8.2.6.2</w:t>
      </w:r>
      <w:r w:rsidRPr="005A76D3">
        <w:rPr>
          <w:lang w:eastAsia="en-US"/>
        </w:rPr>
        <w:tab/>
        <w:t>Dans la nouvelle ligne pour « EN 12972:2018 + A1:2024 », dans la colonne (3), avant « 6.8.2.4 » ajouter « 6.8.2.3, ».</w:t>
      </w:r>
    </w:p>
    <w:p w14:paraId="51BBC113" w14:textId="77777777" w:rsidR="00C21BDD" w:rsidRPr="005A76D3" w:rsidRDefault="00C21BDD" w:rsidP="00C21BDD">
      <w:pPr>
        <w:pStyle w:val="SingleTxtG"/>
        <w:tabs>
          <w:tab w:val="clear" w:pos="1701"/>
          <w:tab w:val="clear" w:pos="2268"/>
          <w:tab w:val="clear" w:pos="2835"/>
        </w:tabs>
        <w:suppressAutoHyphens/>
        <w:ind w:left="2268" w:hanging="1134"/>
        <w:rPr>
          <w:i/>
          <w:iCs/>
          <w:lang w:eastAsia="en-US"/>
        </w:rPr>
      </w:pPr>
      <w:r w:rsidRPr="005A76D3">
        <w:rPr>
          <w:i/>
          <w:iCs/>
          <w:lang w:eastAsia="en-US"/>
        </w:rPr>
        <w:t>(Amendement de conséquence)</w:t>
      </w:r>
    </w:p>
    <w:p w14:paraId="2AEADE0E" w14:textId="0DE516E3" w:rsidR="00C21BDD" w:rsidRPr="005A76D3" w:rsidRDefault="00C21BDD" w:rsidP="00C21BDD">
      <w:pPr>
        <w:pStyle w:val="SingleTxtG"/>
        <w:tabs>
          <w:tab w:val="clear" w:pos="1701"/>
          <w:tab w:val="clear" w:pos="2268"/>
          <w:tab w:val="clear" w:pos="2835"/>
        </w:tabs>
        <w:suppressAutoHyphens/>
        <w:ind w:left="2268" w:hanging="1134"/>
        <w:rPr>
          <w:lang w:eastAsia="en-US"/>
        </w:rPr>
      </w:pPr>
      <w:r w:rsidRPr="005A76D3">
        <w:rPr>
          <w:lang w:eastAsia="en-US"/>
        </w:rPr>
        <w:t>6.11</w:t>
      </w:r>
      <w:r w:rsidRPr="005A76D3">
        <w:rPr>
          <w:lang w:eastAsia="en-US"/>
        </w:rPr>
        <w:tab/>
        <w:t>La modification n’applique pas au texte français.</w:t>
      </w:r>
    </w:p>
    <w:p w14:paraId="0F5584FF" w14:textId="5D8411D4" w:rsidR="00C21BDD" w:rsidRPr="005A76D3" w:rsidRDefault="00C21BDD" w:rsidP="00C21BDD">
      <w:pPr>
        <w:pStyle w:val="H1G"/>
        <w:rPr>
          <w:lang w:val="fr-FR"/>
        </w:rPr>
      </w:pPr>
      <w:r w:rsidRPr="005A76D3">
        <w:rPr>
          <w:lang w:val="fr-FR"/>
        </w:rPr>
        <w:tab/>
      </w:r>
      <w:r w:rsidRPr="005A76D3">
        <w:rPr>
          <w:lang w:val="fr-FR"/>
        </w:rPr>
        <w:tab/>
        <w:t xml:space="preserve">Document </w:t>
      </w:r>
      <w:r w:rsidRPr="005A76D3">
        <w:t>ECE/TRANS/WP.15/264</w:t>
      </w:r>
      <w:r w:rsidRPr="005A76D3">
        <w:rPr>
          <w:lang w:val="fr-FR"/>
        </w:rPr>
        <w:t>, annexe III, adopté avec les modifications suivantes :</w:t>
      </w:r>
    </w:p>
    <w:p w14:paraId="5EDBF02B" w14:textId="2EACE15C" w:rsidR="00C21BDD" w:rsidRPr="005A76D3" w:rsidRDefault="00C21BDD" w:rsidP="00C21BDD">
      <w:pPr>
        <w:pStyle w:val="SingleTxtG"/>
        <w:tabs>
          <w:tab w:val="clear" w:pos="1701"/>
          <w:tab w:val="clear" w:pos="2268"/>
          <w:tab w:val="clear" w:pos="2835"/>
        </w:tabs>
        <w:ind w:left="2268" w:hanging="1134"/>
      </w:pPr>
      <w:r w:rsidRPr="005A76D3">
        <w:t>1.6.5.26</w:t>
      </w:r>
      <w:r w:rsidRPr="005A76D3">
        <w:tab/>
        <w:t>Remplacer « [1</w:t>
      </w:r>
      <w:r w:rsidRPr="005A76D3">
        <w:rPr>
          <w:vertAlign w:val="superscript"/>
        </w:rPr>
        <w:t>er</w:t>
      </w:r>
      <w:r w:rsidRPr="005A76D3">
        <w:t xml:space="preserve"> avril 2026] » par « 1</w:t>
      </w:r>
      <w:r w:rsidRPr="005A76D3">
        <w:rPr>
          <w:vertAlign w:val="superscript"/>
        </w:rPr>
        <w:t>er</w:t>
      </w:r>
      <w:r w:rsidRPr="005A76D3">
        <w:t xml:space="preserve"> janvier 2027 ».</w:t>
      </w:r>
    </w:p>
    <w:p w14:paraId="3699910A" w14:textId="394E5D1D" w:rsidR="00C21BDD" w:rsidRPr="005A76D3" w:rsidRDefault="00C21BDD" w:rsidP="00C21BDD">
      <w:pPr>
        <w:pStyle w:val="SingleTxtG"/>
        <w:tabs>
          <w:tab w:val="clear" w:pos="1701"/>
          <w:tab w:val="clear" w:pos="2268"/>
          <w:tab w:val="clear" w:pos="2835"/>
        </w:tabs>
        <w:ind w:left="2268" w:hanging="1134"/>
      </w:pPr>
      <w:r w:rsidRPr="005A76D3">
        <w:t>1.6.5.27</w:t>
      </w:r>
      <w:r w:rsidRPr="005A76D3">
        <w:tab/>
        <w:t>Remplacer « [1</w:t>
      </w:r>
      <w:r w:rsidRPr="005A76D3">
        <w:rPr>
          <w:vertAlign w:val="superscript"/>
        </w:rPr>
        <w:t>er</w:t>
      </w:r>
      <w:r w:rsidRPr="005A76D3">
        <w:t xml:space="preserve"> avril 2026] » par « 1</w:t>
      </w:r>
      <w:r w:rsidRPr="005A76D3">
        <w:rPr>
          <w:vertAlign w:val="superscript"/>
        </w:rPr>
        <w:t>er</w:t>
      </w:r>
      <w:r w:rsidRPr="005A76D3">
        <w:t xml:space="preserve"> janvier 2027 ».</w:t>
      </w:r>
    </w:p>
    <w:p w14:paraId="3C5E0A4B" w14:textId="77777777" w:rsidR="00C21BDD" w:rsidRPr="005A76D3" w:rsidRDefault="00C21BDD" w:rsidP="00C21BDD">
      <w:pPr>
        <w:pStyle w:val="SingleTxtG"/>
        <w:ind w:left="2268" w:hanging="1134"/>
      </w:pPr>
      <w:r w:rsidRPr="005A76D3">
        <w:t>Les amendements au chapitre 1.8 sont remplacés par ceux du document informel INF.12.</w:t>
      </w:r>
    </w:p>
    <w:p w14:paraId="7EBDBB08" w14:textId="77777777" w:rsidR="00C21BDD" w:rsidRPr="005A76D3" w:rsidRDefault="00C21BDD" w:rsidP="00C21BDD">
      <w:pPr>
        <w:pStyle w:val="SingleTxtG"/>
        <w:tabs>
          <w:tab w:val="clear" w:pos="1701"/>
          <w:tab w:val="clear" w:pos="2268"/>
          <w:tab w:val="clear" w:pos="2835"/>
        </w:tabs>
        <w:ind w:left="2268" w:hanging="1134"/>
      </w:pPr>
      <w:r w:rsidRPr="005A76D3">
        <w:t>Les amendements aux chapitres 6.2 et 6.8 sont retirés.</w:t>
      </w:r>
    </w:p>
    <w:p w14:paraId="4FBD0F4D" w14:textId="3ADF3912" w:rsidR="00C21BDD" w:rsidRPr="005A76D3" w:rsidRDefault="00C21BDD" w:rsidP="00C21BDD">
      <w:pPr>
        <w:pStyle w:val="SingleTxtG"/>
        <w:tabs>
          <w:tab w:val="clear" w:pos="1701"/>
          <w:tab w:val="clear" w:pos="2268"/>
          <w:tab w:val="clear" w:pos="2835"/>
        </w:tabs>
        <w:ind w:left="2268" w:hanging="1134"/>
      </w:pPr>
      <w:r w:rsidRPr="005A76D3">
        <w:t>9.2.1.1</w:t>
      </w:r>
      <w:r w:rsidRPr="005A76D3">
        <w:tab/>
        <w:t xml:space="preserve">À la deuxième puce, remplacer </w:t>
      </w:r>
      <w:r w:rsidRPr="005A76D3">
        <w:rPr>
          <w:lang w:val="fr-FR"/>
        </w:rPr>
        <w:t>« véhicules à moteur immatriculés pour la première fois après le [31 mars 2026]. » par « véhicules à moteur utilisant d’autres carburants que l’hydrogène immatriculés pour la première fois après le 31 décembre 2026. »</w:t>
      </w:r>
      <w:r w:rsidRPr="005A76D3">
        <w:t>.</w:t>
      </w:r>
    </w:p>
    <w:p w14:paraId="2300DE4E" w14:textId="77777777" w:rsidR="00C21BDD" w:rsidRPr="005A76D3" w:rsidRDefault="00C21BDD" w:rsidP="00C21BDD">
      <w:pPr>
        <w:pStyle w:val="SingleTxtG"/>
        <w:tabs>
          <w:tab w:val="clear" w:pos="1701"/>
          <w:tab w:val="clear" w:pos="2268"/>
          <w:tab w:val="clear" w:pos="2835"/>
        </w:tabs>
        <w:ind w:left="2268" w:hanging="1134"/>
      </w:pPr>
      <w:r w:rsidRPr="005A76D3">
        <w:tab/>
        <w:t>Modifier la troisième puce pour lire :</w:t>
      </w:r>
    </w:p>
    <w:p w14:paraId="735D2E4D" w14:textId="77777777" w:rsidR="00C21BDD" w:rsidRPr="005A76D3" w:rsidRDefault="00C21BDD" w:rsidP="00C21BDD">
      <w:pPr>
        <w:pStyle w:val="SingleTxtG"/>
        <w:tabs>
          <w:tab w:val="clear" w:pos="1701"/>
          <w:tab w:val="clear" w:pos="2268"/>
          <w:tab w:val="clear" w:pos="2835"/>
        </w:tabs>
        <w:ind w:left="2268" w:hanging="1134"/>
      </w:pPr>
      <w:r w:rsidRPr="005A76D3">
        <w:t>« </w:t>
      </w:r>
      <w:r w:rsidRPr="005A76D3">
        <w:tab/>
        <w:t xml:space="preserve">• </w:t>
      </w:r>
      <w:r w:rsidRPr="005A76D3">
        <w:rPr>
          <w:lang w:val="fr-FR"/>
        </w:rPr>
        <w:t>Remplacer la ligne pour 9.2.4.4 par :</w:t>
      </w:r>
    </w:p>
    <w:tbl>
      <w:tblPr>
        <w:tblStyle w:val="Grilledutableau"/>
        <w:tblW w:w="7371" w:type="dxa"/>
        <w:tblInd w:w="1129" w:type="dxa"/>
        <w:tblLook w:val="04A0" w:firstRow="1" w:lastRow="0" w:firstColumn="1" w:lastColumn="0" w:noHBand="0" w:noVBand="1"/>
      </w:tblPr>
      <w:tblGrid>
        <w:gridCol w:w="851"/>
        <w:gridCol w:w="1843"/>
        <w:gridCol w:w="567"/>
        <w:gridCol w:w="567"/>
        <w:gridCol w:w="567"/>
        <w:gridCol w:w="567"/>
        <w:gridCol w:w="2409"/>
      </w:tblGrid>
      <w:tr w:rsidR="00C21BDD" w:rsidRPr="005A76D3" w14:paraId="68F357EE" w14:textId="77777777" w:rsidTr="00242FD9">
        <w:tc>
          <w:tcPr>
            <w:tcW w:w="851" w:type="dxa"/>
            <w:tcBorders>
              <w:top w:val="single" w:sz="4" w:space="0" w:color="auto"/>
              <w:left w:val="single" w:sz="4" w:space="0" w:color="auto"/>
              <w:bottom w:val="single" w:sz="4" w:space="0" w:color="auto"/>
              <w:right w:val="single" w:sz="4" w:space="0" w:color="auto"/>
            </w:tcBorders>
          </w:tcPr>
          <w:p w14:paraId="58C62340" w14:textId="77777777" w:rsidR="00C21BDD" w:rsidRPr="005A76D3" w:rsidRDefault="00C21BDD" w:rsidP="00242FD9">
            <w:pPr>
              <w:ind w:left="139"/>
            </w:pPr>
            <w:r w:rsidRPr="005A76D3">
              <w:t>9.2.4.3</w:t>
            </w:r>
          </w:p>
        </w:tc>
        <w:tc>
          <w:tcPr>
            <w:tcW w:w="1843" w:type="dxa"/>
            <w:tcBorders>
              <w:top w:val="single" w:sz="4" w:space="0" w:color="auto"/>
              <w:left w:val="single" w:sz="4" w:space="0" w:color="auto"/>
              <w:bottom w:val="single" w:sz="4" w:space="0" w:color="auto"/>
              <w:right w:val="single" w:sz="4" w:space="0" w:color="auto"/>
            </w:tcBorders>
          </w:tcPr>
          <w:p w14:paraId="44434204" w14:textId="77777777" w:rsidR="00C21BDD" w:rsidRPr="005A76D3" w:rsidRDefault="00C21BDD" w:rsidP="00242FD9">
            <w:pPr>
              <w:ind w:left="139"/>
            </w:pPr>
            <w:r w:rsidRPr="005A76D3">
              <w:t>Moteur à combustion interne</w:t>
            </w:r>
          </w:p>
        </w:tc>
        <w:tc>
          <w:tcPr>
            <w:tcW w:w="567" w:type="dxa"/>
            <w:tcBorders>
              <w:top w:val="single" w:sz="4" w:space="0" w:color="auto"/>
              <w:left w:val="single" w:sz="4" w:space="0" w:color="auto"/>
              <w:bottom w:val="single" w:sz="4" w:space="0" w:color="auto"/>
              <w:right w:val="single" w:sz="4" w:space="0" w:color="auto"/>
            </w:tcBorders>
          </w:tcPr>
          <w:p w14:paraId="63485F47" w14:textId="77777777" w:rsidR="00C21BDD" w:rsidRPr="005A76D3" w:rsidRDefault="00C21BDD" w:rsidP="00242FD9">
            <w:pPr>
              <w:ind w:left="139"/>
            </w:pPr>
            <w:r w:rsidRPr="005A76D3">
              <w:t>X</w:t>
            </w:r>
          </w:p>
        </w:tc>
        <w:tc>
          <w:tcPr>
            <w:tcW w:w="567" w:type="dxa"/>
            <w:tcBorders>
              <w:top w:val="single" w:sz="4" w:space="0" w:color="auto"/>
              <w:left w:val="single" w:sz="4" w:space="0" w:color="auto"/>
              <w:bottom w:val="single" w:sz="4" w:space="0" w:color="auto"/>
              <w:right w:val="single" w:sz="4" w:space="0" w:color="auto"/>
            </w:tcBorders>
          </w:tcPr>
          <w:p w14:paraId="6A7C2019" w14:textId="77777777" w:rsidR="00C21BDD" w:rsidRPr="005A76D3" w:rsidRDefault="00C21BDD" w:rsidP="00242FD9">
            <w:pPr>
              <w:ind w:left="139"/>
            </w:pPr>
            <w:r w:rsidRPr="005A76D3">
              <w:t>X</w:t>
            </w:r>
          </w:p>
        </w:tc>
        <w:tc>
          <w:tcPr>
            <w:tcW w:w="567" w:type="dxa"/>
            <w:tcBorders>
              <w:top w:val="single" w:sz="4" w:space="0" w:color="auto"/>
              <w:left w:val="single" w:sz="4" w:space="0" w:color="auto"/>
              <w:bottom w:val="single" w:sz="4" w:space="0" w:color="auto"/>
              <w:right w:val="single" w:sz="4" w:space="0" w:color="auto"/>
            </w:tcBorders>
          </w:tcPr>
          <w:p w14:paraId="36E86235" w14:textId="77777777" w:rsidR="00C21BDD" w:rsidRPr="005A76D3" w:rsidRDefault="00C21BDD" w:rsidP="00242FD9">
            <w:pPr>
              <w:ind w:left="139"/>
            </w:pPr>
            <w:proofErr w:type="spellStart"/>
            <w:r w:rsidRPr="005A76D3">
              <w:t>X</w:t>
            </w:r>
            <w:r w:rsidRPr="005A76D3">
              <w:rPr>
                <w:vertAlign w:val="superscript"/>
              </w:rPr>
              <w:t>k</w:t>
            </w:r>
            <w:proofErr w:type="spellEnd"/>
          </w:p>
        </w:tc>
        <w:tc>
          <w:tcPr>
            <w:tcW w:w="567" w:type="dxa"/>
            <w:tcBorders>
              <w:top w:val="single" w:sz="4" w:space="0" w:color="auto"/>
              <w:left w:val="single" w:sz="4" w:space="0" w:color="auto"/>
              <w:bottom w:val="single" w:sz="4" w:space="0" w:color="auto"/>
              <w:right w:val="single" w:sz="4" w:space="0" w:color="auto"/>
            </w:tcBorders>
          </w:tcPr>
          <w:p w14:paraId="0C0C6027" w14:textId="77777777" w:rsidR="00C21BDD" w:rsidRPr="005A76D3" w:rsidRDefault="00C21BDD" w:rsidP="00242FD9">
            <w:pPr>
              <w:ind w:left="139"/>
            </w:pPr>
            <w:r w:rsidRPr="005A76D3">
              <w:t>X</w:t>
            </w:r>
          </w:p>
        </w:tc>
        <w:tc>
          <w:tcPr>
            <w:tcW w:w="2409" w:type="dxa"/>
            <w:tcBorders>
              <w:top w:val="single" w:sz="4" w:space="0" w:color="auto"/>
              <w:left w:val="single" w:sz="4" w:space="0" w:color="auto"/>
              <w:bottom w:val="single" w:sz="4" w:space="0" w:color="auto"/>
              <w:right w:val="single" w:sz="4" w:space="0" w:color="auto"/>
            </w:tcBorders>
          </w:tcPr>
          <w:p w14:paraId="51D163ED" w14:textId="77777777" w:rsidR="00C21BDD" w:rsidRPr="005A76D3" w:rsidRDefault="00C21BDD" w:rsidP="00242FD9">
            <w:pPr>
              <w:ind w:left="139"/>
              <w:rPr>
                <w:vertAlign w:val="superscript"/>
              </w:rPr>
            </w:pPr>
            <w:r w:rsidRPr="005A76D3">
              <w:rPr>
                <w:vertAlign w:val="superscript"/>
                <w:lang w:val="fr-FR"/>
              </w:rPr>
              <w:t>k</w:t>
            </w:r>
            <w:r w:rsidRPr="005A76D3">
              <w:rPr>
                <w:lang w:val="fr-FR"/>
              </w:rPr>
              <w:t xml:space="preserve"> Applicable aux véhicules à moteur immatriculés pour la première fois après le 31 décembre 2026.</w:t>
            </w:r>
          </w:p>
        </w:tc>
      </w:tr>
      <w:tr w:rsidR="00C21BDD" w:rsidRPr="005A76D3" w14:paraId="24B19747" w14:textId="77777777" w:rsidTr="00242FD9">
        <w:tc>
          <w:tcPr>
            <w:tcW w:w="851" w:type="dxa"/>
            <w:tcBorders>
              <w:top w:val="single" w:sz="4" w:space="0" w:color="auto"/>
              <w:left w:val="single" w:sz="4" w:space="0" w:color="auto"/>
              <w:bottom w:val="single" w:sz="4" w:space="0" w:color="auto"/>
              <w:right w:val="single" w:sz="4" w:space="0" w:color="auto"/>
            </w:tcBorders>
          </w:tcPr>
          <w:p w14:paraId="5A8147AF" w14:textId="77777777" w:rsidR="00C21BDD" w:rsidRPr="005A76D3" w:rsidRDefault="00C21BDD" w:rsidP="00242FD9">
            <w:pPr>
              <w:ind w:left="139"/>
            </w:pPr>
            <w:r w:rsidRPr="005A76D3">
              <w:t>9.2.4.3.1</w:t>
            </w:r>
          </w:p>
        </w:tc>
        <w:tc>
          <w:tcPr>
            <w:tcW w:w="1843" w:type="dxa"/>
            <w:tcBorders>
              <w:top w:val="single" w:sz="4" w:space="0" w:color="auto"/>
              <w:left w:val="single" w:sz="4" w:space="0" w:color="auto"/>
              <w:bottom w:val="single" w:sz="4" w:space="0" w:color="auto"/>
              <w:right w:val="single" w:sz="4" w:space="0" w:color="auto"/>
            </w:tcBorders>
          </w:tcPr>
          <w:p w14:paraId="2CA7F8F0" w14:textId="77777777" w:rsidR="00C21BDD" w:rsidRPr="005A76D3" w:rsidRDefault="00C21BDD" w:rsidP="00242FD9">
            <w:pPr>
              <w:ind w:left="139"/>
            </w:pPr>
            <w:r w:rsidRPr="005A76D3">
              <w:t>Moteur</w:t>
            </w:r>
          </w:p>
        </w:tc>
        <w:tc>
          <w:tcPr>
            <w:tcW w:w="567" w:type="dxa"/>
            <w:tcBorders>
              <w:top w:val="single" w:sz="4" w:space="0" w:color="auto"/>
              <w:left w:val="single" w:sz="4" w:space="0" w:color="auto"/>
              <w:bottom w:val="single" w:sz="4" w:space="0" w:color="auto"/>
              <w:right w:val="single" w:sz="4" w:space="0" w:color="auto"/>
            </w:tcBorders>
            <w:hideMark/>
          </w:tcPr>
          <w:p w14:paraId="4305EC66" w14:textId="77777777" w:rsidR="00C21BDD" w:rsidRPr="005A76D3" w:rsidRDefault="00C21BDD" w:rsidP="00242FD9">
            <w:pPr>
              <w:ind w:left="139"/>
            </w:pPr>
            <w:r w:rsidRPr="005A76D3">
              <w:t>X</w:t>
            </w:r>
          </w:p>
        </w:tc>
        <w:tc>
          <w:tcPr>
            <w:tcW w:w="567" w:type="dxa"/>
            <w:tcBorders>
              <w:top w:val="single" w:sz="4" w:space="0" w:color="auto"/>
              <w:left w:val="single" w:sz="4" w:space="0" w:color="auto"/>
              <w:bottom w:val="single" w:sz="4" w:space="0" w:color="auto"/>
              <w:right w:val="single" w:sz="4" w:space="0" w:color="auto"/>
            </w:tcBorders>
            <w:hideMark/>
          </w:tcPr>
          <w:p w14:paraId="554ADD65" w14:textId="77777777" w:rsidR="00C21BDD" w:rsidRPr="005A76D3" w:rsidRDefault="00C21BDD" w:rsidP="00242FD9">
            <w:pPr>
              <w:ind w:left="139"/>
            </w:pPr>
            <w:r w:rsidRPr="005A76D3">
              <w:t>X</w:t>
            </w:r>
          </w:p>
        </w:tc>
        <w:tc>
          <w:tcPr>
            <w:tcW w:w="567" w:type="dxa"/>
            <w:tcBorders>
              <w:top w:val="single" w:sz="4" w:space="0" w:color="auto"/>
              <w:left w:val="single" w:sz="4" w:space="0" w:color="auto"/>
              <w:bottom w:val="single" w:sz="4" w:space="0" w:color="auto"/>
              <w:right w:val="single" w:sz="4" w:space="0" w:color="auto"/>
            </w:tcBorders>
            <w:hideMark/>
          </w:tcPr>
          <w:p w14:paraId="341C4B73" w14:textId="77777777" w:rsidR="00C21BDD" w:rsidRPr="005A76D3" w:rsidRDefault="00C21BDD" w:rsidP="00242FD9">
            <w:pPr>
              <w:ind w:left="139"/>
            </w:pPr>
            <w:proofErr w:type="spellStart"/>
            <w:r w:rsidRPr="005A76D3">
              <w:t>X</w:t>
            </w:r>
            <w:r w:rsidRPr="005A76D3">
              <w:rPr>
                <w:vertAlign w:val="superscript"/>
              </w:rPr>
              <w:t>k</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C8759DD" w14:textId="77777777" w:rsidR="00C21BDD" w:rsidRPr="005A76D3" w:rsidRDefault="00C21BDD" w:rsidP="00242FD9">
            <w:pPr>
              <w:ind w:left="139"/>
            </w:pPr>
            <w:r w:rsidRPr="005A76D3">
              <w:t>X</w:t>
            </w:r>
          </w:p>
        </w:tc>
        <w:tc>
          <w:tcPr>
            <w:tcW w:w="2409" w:type="dxa"/>
            <w:tcBorders>
              <w:top w:val="single" w:sz="4" w:space="0" w:color="auto"/>
              <w:left w:val="single" w:sz="4" w:space="0" w:color="auto"/>
              <w:bottom w:val="single" w:sz="4" w:space="0" w:color="auto"/>
              <w:right w:val="single" w:sz="4" w:space="0" w:color="auto"/>
            </w:tcBorders>
            <w:hideMark/>
          </w:tcPr>
          <w:p w14:paraId="2F8F3A05" w14:textId="77777777" w:rsidR="00C21BDD" w:rsidRPr="005A76D3" w:rsidRDefault="00C21BDD" w:rsidP="00242FD9">
            <w:pPr>
              <w:ind w:left="139"/>
              <w:rPr>
                <w:i/>
                <w:iCs/>
              </w:rPr>
            </w:pPr>
            <w:r w:rsidRPr="005A76D3">
              <w:rPr>
                <w:vertAlign w:val="superscript"/>
                <w:lang w:val="fr-FR"/>
              </w:rPr>
              <w:t>k</w:t>
            </w:r>
            <w:r w:rsidRPr="005A76D3">
              <w:rPr>
                <w:lang w:val="fr-FR"/>
              </w:rPr>
              <w:t xml:space="preserve"> Applicable aux véhicules à moteur immatriculés pour la première fois après le 31 décembre 2026.</w:t>
            </w:r>
          </w:p>
        </w:tc>
      </w:tr>
      <w:tr w:rsidR="00C21BDD" w:rsidRPr="005A76D3" w14:paraId="799A5BD9" w14:textId="77777777" w:rsidTr="00242FD9">
        <w:tc>
          <w:tcPr>
            <w:tcW w:w="851" w:type="dxa"/>
            <w:tcBorders>
              <w:top w:val="single" w:sz="4" w:space="0" w:color="auto"/>
              <w:left w:val="single" w:sz="4" w:space="0" w:color="auto"/>
              <w:bottom w:val="single" w:sz="4" w:space="0" w:color="auto"/>
              <w:right w:val="single" w:sz="4" w:space="0" w:color="auto"/>
            </w:tcBorders>
          </w:tcPr>
          <w:p w14:paraId="4C0540E1" w14:textId="77777777" w:rsidR="00C21BDD" w:rsidRPr="005A76D3" w:rsidRDefault="00C21BDD" w:rsidP="00242FD9">
            <w:pPr>
              <w:ind w:left="139"/>
            </w:pPr>
            <w:r w:rsidRPr="005A76D3">
              <w:t>9.2.4.3.2</w:t>
            </w:r>
          </w:p>
          <w:p w14:paraId="0096D986" w14:textId="77777777" w:rsidR="00C21BDD" w:rsidRPr="005A76D3" w:rsidRDefault="00C21BDD" w:rsidP="00242FD9">
            <w:pPr>
              <w:ind w:left="139"/>
            </w:pPr>
          </w:p>
        </w:tc>
        <w:tc>
          <w:tcPr>
            <w:tcW w:w="1843" w:type="dxa"/>
            <w:tcBorders>
              <w:top w:val="single" w:sz="4" w:space="0" w:color="auto"/>
              <w:left w:val="single" w:sz="4" w:space="0" w:color="auto"/>
              <w:bottom w:val="single" w:sz="4" w:space="0" w:color="auto"/>
              <w:right w:val="single" w:sz="4" w:space="0" w:color="auto"/>
            </w:tcBorders>
          </w:tcPr>
          <w:p w14:paraId="36239EBB" w14:textId="77777777" w:rsidR="00C21BDD" w:rsidRPr="005A76D3" w:rsidRDefault="00C21BDD" w:rsidP="00242FD9">
            <w:pPr>
              <w:ind w:left="139"/>
            </w:pPr>
            <w:r w:rsidRPr="005A76D3">
              <w:t>Dispositif d’échappement</w:t>
            </w:r>
          </w:p>
        </w:tc>
        <w:tc>
          <w:tcPr>
            <w:tcW w:w="567" w:type="dxa"/>
            <w:tcBorders>
              <w:top w:val="single" w:sz="4" w:space="0" w:color="auto"/>
              <w:left w:val="single" w:sz="4" w:space="0" w:color="auto"/>
              <w:bottom w:val="single" w:sz="4" w:space="0" w:color="auto"/>
              <w:right w:val="single" w:sz="4" w:space="0" w:color="auto"/>
            </w:tcBorders>
          </w:tcPr>
          <w:p w14:paraId="0F8D367E" w14:textId="77777777" w:rsidR="00C21BDD" w:rsidRPr="005A76D3" w:rsidRDefault="00C21BDD" w:rsidP="00242FD9">
            <w:pPr>
              <w:ind w:left="139"/>
            </w:pPr>
            <w:r w:rsidRPr="005A76D3">
              <w:t>X</w:t>
            </w:r>
          </w:p>
        </w:tc>
        <w:tc>
          <w:tcPr>
            <w:tcW w:w="567" w:type="dxa"/>
            <w:tcBorders>
              <w:top w:val="single" w:sz="4" w:space="0" w:color="auto"/>
              <w:left w:val="single" w:sz="4" w:space="0" w:color="auto"/>
              <w:bottom w:val="single" w:sz="4" w:space="0" w:color="auto"/>
              <w:right w:val="single" w:sz="4" w:space="0" w:color="auto"/>
            </w:tcBorders>
          </w:tcPr>
          <w:p w14:paraId="37703473" w14:textId="77777777" w:rsidR="00C21BDD" w:rsidRPr="005A76D3" w:rsidRDefault="00C21BDD" w:rsidP="00242FD9">
            <w:pPr>
              <w:ind w:left="139"/>
            </w:pPr>
            <w:r w:rsidRPr="005A76D3">
              <w:t>X</w:t>
            </w:r>
          </w:p>
        </w:tc>
        <w:tc>
          <w:tcPr>
            <w:tcW w:w="567" w:type="dxa"/>
            <w:tcBorders>
              <w:top w:val="single" w:sz="4" w:space="0" w:color="auto"/>
              <w:left w:val="single" w:sz="4" w:space="0" w:color="auto"/>
              <w:bottom w:val="single" w:sz="4" w:space="0" w:color="auto"/>
              <w:right w:val="single" w:sz="4" w:space="0" w:color="auto"/>
            </w:tcBorders>
          </w:tcPr>
          <w:p w14:paraId="6698EDDA" w14:textId="77777777" w:rsidR="00C21BDD" w:rsidRPr="005A76D3" w:rsidRDefault="00C21BDD" w:rsidP="00242FD9">
            <w:pPr>
              <w:ind w:left="139"/>
            </w:pPr>
          </w:p>
        </w:tc>
        <w:tc>
          <w:tcPr>
            <w:tcW w:w="567" w:type="dxa"/>
            <w:tcBorders>
              <w:top w:val="single" w:sz="4" w:space="0" w:color="auto"/>
              <w:left w:val="single" w:sz="4" w:space="0" w:color="auto"/>
              <w:bottom w:val="single" w:sz="4" w:space="0" w:color="auto"/>
              <w:right w:val="single" w:sz="4" w:space="0" w:color="auto"/>
            </w:tcBorders>
          </w:tcPr>
          <w:p w14:paraId="13E9A861" w14:textId="77777777" w:rsidR="00C21BDD" w:rsidRPr="005A76D3" w:rsidRDefault="00C21BDD" w:rsidP="00242FD9">
            <w:pPr>
              <w:ind w:left="139"/>
            </w:pPr>
            <w:r w:rsidRPr="005A76D3">
              <w:t>X</w:t>
            </w:r>
          </w:p>
        </w:tc>
        <w:tc>
          <w:tcPr>
            <w:tcW w:w="2409" w:type="dxa"/>
            <w:tcBorders>
              <w:top w:val="single" w:sz="4" w:space="0" w:color="auto"/>
              <w:left w:val="single" w:sz="4" w:space="0" w:color="auto"/>
              <w:bottom w:val="single" w:sz="4" w:space="0" w:color="auto"/>
              <w:right w:val="single" w:sz="4" w:space="0" w:color="auto"/>
            </w:tcBorders>
          </w:tcPr>
          <w:p w14:paraId="05ED3F19" w14:textId="77777777" w:rsidR="00C21BDD" w:rsidRPr="005A76D3" w:rsidRDefault="00C21BDD" w:rsidP="00242FD9">
            <w:pPr>
              <w:ind w:left="139"/>
            </w:pPr>
          </w:p>
        </w:tc>
      </w:tr>
    </w:tbl>
    <w:p w14:paraId="31C295C2" w14:textId="77777777" w:rsidR="00C21BDD" w:rsidRPr="005A76D3" w:rsidRDefault="00C21BDD" w:rsidP="00C21BDD">
      <w:pPr>
        <w:pStyle w:val="SingleTxtG"/>
        <w:tabs>
          <w:tab w:val="clear" w:pos="1701"/>
          <w:tab w:val="clear" w:pos="2268"/>
          <w:tab w:val="clear" w:pos="2835"/>
        </w:tabs>
        <w:ind w:left="2268" w:hanging="1134"/>
      </w:pPr>
      <w:r w:rsidRPr="005A76D3">
        <w:t>» </w:t>
      </w:r>
    </w:p>
    <w:p w14:paraId="10F80C1F" w14:textId="4D8884E6" w:rsidR="00C21BDD" w:rsidRPr="005A76D3" w:rsidRDefault="00C21BDD" w:rsidP="00C21BDD">
      <w:pPr>
        <w:pStyle w:val="SingleTxtG"/>
        <w:tabs>
          <w:tab w:val="clear" w:pos="1701"/>
          <w:tab w:val="clear" w:pos="2268"/>
          <w:tab w:val="clear" w:pos="2835"/>
        </w:tabs>
        <w:ind w:left="2268" w:hanging="1134"/>
      </w:pPr>
      <w:r w:rsidRPr="005A76D3">
        <w:tab/>
        <w:t>Modifier les cinquième et sixième puces pour lire :</w:t>
      </w:r>
    </w:p>
    <w:p w14:paraId="16F5B02B" w14:textId="77777777" w:rsidR="00C21BDD" w:rsidRPr="005A76D3" w:rsidRDefault="00C21BDD" w:rsidP="00C21BDD">
      <w:pPr>
        <w:pStyle w:val="SingleTxtG"/>
        <w:tabs>
          <w:tab w:val="clear" w:pos="1701"/>
          <w:tab w:val="clear" w:pos="2268"/>
          <w:tab w:val="clear" w:pos="2835"/>
        </w:tabs>
        <w:ind w:left="2268" w:hanging="1134"/>
      </w:pPr>
      <w:r w:rsidRPr="005A76D3">
        <w:t>« </w:t>
      </w:r>
      <w:r w:rsidRPr="005A76D3">
        <w:tab/>
        <w:t xml:space="preserve">• </w:t>
      </w:r>
      <w:r w:rsidRPr="005A76D3">
        <w:rPr>
          <w:lang w:val="fr-FR"/>
        </w:rPr>
        <w:t xml:space="preserve">Remplacer la ligne pour 9.2.4.6 par </w:t>
      </w:r>
      <w:r w:rsidRPr="005A76D3">
        <w:t>:</w:t>
      </w:r>
    </w:p>
    <w:tbl>
      <w:tblPr>
        <w:tblStyle w:val="Grilledutableau"/>
        <w:tblW w:w="0" w:type="auto"/>
        <w:tblInd w:w="1129" w:type="dxa"/>
        <w:tblCellMar>
          <w:top w:w="28" w:type="dxa"/>
          <w:left w:w="57" w:type="dxa"/>
          <w:bottom w:w="28" w:type="dxa"/>
          <w:right w:w="57" w:type="dxa"/>
        </w:tblCellMar>
        <w:tblLook w:val="04A0" w:firstRow="1" w:lastRow="0" w:firstColumn="1" w:lastColumn="0" w:noHBand="0" w:noVBand="1"/>
      </w:tblPr>
      <w:tblGrid>
        <w:gridCol w:w="993"/>
        <w:gridCol w:w="2551"/>
        <w:gridCol w:w="436"/>
        <w:gridCol w:w="437"/>
        <w:gridCol w:w="437"/>
        <w:gridCol w:w="437"/>
        <w:gridCol w:w="2126"/>
      </w:tblGrid>
      <w:tr w:rsidR="00C21BDD" w:rsidRPr="005A76D3" w14:paraId="19A3259F" w14:textId="77777777" w:rsidTr="00242FD9">
        <w:tc>
          <w:tcPr>
            <w:tcW w:w="993" w:type="dxa"/>
          </w:tcPr>
          <w:p w14:paraId="6A743038" w14:textId="77777777" w:rsidR="00C21BDD" w:rsidRPr="005A76D3" w:rsidRDefault="00C21BDD" w:rsidP="00242FD9">
            <w:r w:rsidRPr="005A76D3">
              <w:t>9.2.4.4</w:t>
            </w:r>
          </w:p>
        </w:tc>
        <w:tc>
          <w:tcPr>
            <w:tcW w:w="2551" w:type="dxa"/>
          </w:tcPr>
          <w:p w14:paraId="066AC2F1" w14:textId="77777777" w:rsidR="00C21BDD" w:rsidRPr="005A76D3" w:rsidRDefault="00C21BDD" w:rsidP="00242FD9">
            <w:r w:rsidRPr="005A76D3">
              <w:rPr>
                <w:lang w:val="fr-FR"/>
              </w:rPr>
              <w:t>Chaîne de traction électrique</w:t>
            </w:r>
          </w:p>
        </w:tc>
        <w:tc>
          <w:tcPr>
            <w:tcW w:w="436" w:type="dxa"/>
            <w:vAlign w:val="center"/>
          </w:tcPr>
          <w:p w14:paraId="48C54EEC" w14:textId="77777777" w:rsidR="00C21BDD" w:rsidRPr="005A76D3" w:rsidRDefault="00C21BDD" w:rsidP="00242FD9">
            <w:pPr>
              <w:jc w:val="center"/>
            </w:pPr>
          </w:p>
        </w:tc>
        <w:tc>
          <w:tcPr>
            <w:tcW w:w="437" w:type="dxa"/>
            <w:vAlign w:val="center"/>
          </w:tcPr>
          <w:p w14:paraId="5471967D" w14:textId="77777777" w:rsidR="00C21BDD" w:rsidRPr="005A76D3" w:rsidRDefault="00C21BDD" w:rsidP="00242FD9">
            <w:pPr>
              <w:jc w:val="center"/>
            </w:pPr>
          </w:p>
        </w:tc>
        <w:tc>
          <w:tcPr>
            <w:tcW w:w="437" w:type="dxa"/>
            <w:vAlign w:val="center"/>
          </w:tcPr>
          <w:p w14:paraId="24A722B0" w14:textId="77777777" w:rsidR="00C21BDD" w:rsidRPr="005A76D3" w:rsidRDefault="00C21BDD" w:rsidP="00242FD9">
            <w:pPr>
              <w:jc w:val="center"/>
            </w:pPr>
          </w:p>
        </w:tc>
        <w:tc>
          <w:tcPr>
            <w:tcW w:w="437" w:type="dxa"/>
            <w:vAlign w:val="center"/>
          </w:tcPr>
          <w:p w14:paraId="3AEA7548" w14:textId="77777777" w:rsidR="00C21BDD" w:rsidRPr="005A76D3" w:rsidRDefault="00C21BDD" w:rsidP="00242FD9">
            <w:pPr>
              <w:jc w:val="center"/>
            </w:pPr>
          </w:p>
        </w:tc>
        <w:tc>
          <w:tcPr>
            <w:tcW w:w="2126" w:type="dxa"/>
          </w:tcPr>
          <w:p w14:paraId="4FA21F9A" w14:textId="77777777" w:rsidR="00C21BDD" w:rsidRPr="005A76D3" w:rsidRDefault="00C21BDD" w:rsidP="00242FD9"/>
        </w:tc>
      </w:tr>
      <w:tr w:rsidR="00C21BDD" w:rsidRPr="005A76D3" w14:paraId="5DA54AF5" w14:textId="77777777" w:rsidTr="00242FD9">
        <w:tc>
          <w:tcPr>
            <w:tcW w:w="993" w:type="dxa"/>
          </w:tcPr>
          <w:p w14:paraId="22E713F7" w14:textId="77777777" w:rsidR="00C21BDD" w:rsidRPr="005A76D3" w:rsidRDefault="00C21BDD" w:rsidP="00242FD9">
            <w:r w:rsidRPr="005A76D3">
              <w:t>9.2.4.4.1</w:t>
            </w:r>
          </w:p>
        </w:tc>
        <w:tc>
          <w:tcPr>
            <w:tcW w:w="2551" w:type="dxa"/>
          </w:tcPr>
          <w:p w14:paraId="15F59DFC" w14:textId="77777777" w:rsidR="00C21BDD" w:rsidRPr="005A76D3" w:rsidRDefault="00C21BDD" w:rsidP="00242FD9">
            <w:r w:rsidRPr="005A76D3">
              <w:t>Dispositions générales</w:t>
            </w:r>
          </w:p>
        </w:tc>
        <w:tc>
          <w:tcPr>
            <w:tcW w:w="436" w:type="dxa"/>
            <w:vAlign w:val="center"/>
          </w:tcPr>
          <w:p w14:paraId="0ABA8951" w14:textId="77777777" w:rsidR="00C21BDD" w:rsidRPr="005A76D3" w:rsidRDefault="00C21BDD" w:rsidP="00242FD9">
            <w:pPr>
              <w:jc w:val="center"/>
            </w:pPr>
          </w:p>
        </w:tc>
        <w:tc>
          <w:tcPr>
            <w:tcW w:w="437" w:type="dxa"/>
            <w:vAlign w:val="center"/>
          </w:tcPr>
          <w:p w14:paraId="3132A7D1" w14:textId="77777777" w:rsidR="00C21BDD" w:rsidRPr="005A76D3" w:rsidRDefault="00C21BDD" w:rsidP="00242FD9">
            <w:pPr>
              <w:jc w:val="center"/>
            </w:pPr>
          </w:p>
        </w:tc>
        <w:tc>
          <w:tcPr>
            <w:tcW w:w="437" w:type="dxa"/>
            <w:vAlign w:val="center"/>
          </w:tcPr>
          <w:p w14:paraId="7F5CCA06" w14:textId="77777777" w:rsidR="00C21BDD" w:rsidRPr="005A76D3" w:rsidRDefault="00C21BDD" w:rsidP="00242FD9">
            <w:pPr>
              <w:jc w:val="center"/>
            </w:pPr>
            <w:r w:rsidRPr="005A76D3">
              <w:t>X</w:t>
            </w:r>
          </w:p>
        </w:tc>
        <w:tc>
          <w:tcPr>
            <w:tcW w:w="437" w:type="dxa"/>
            <w:vAlign w:val="center"/>
          </w:tcPr>
          <w:p w14:paraId="25BF44DD" w14:textId="77777777" w:rsidR="00C21BDD" w:rsidRPr="005A76D3" w:rsidRDefault="00C21BDD" w:rsidP="00242FD9">
            <w:pPr>
              <w:jc w:val="center"/>
            </w:pPr>
            <w:r w:rsidRPr="005A76D3">
              <w:t>X</w:t>
            </w:r>
          </w:p>
        </w:tc>
        <w:tc>
          <w:tcPr>
            <w:tcW w:w="2126" w:type="dxa"/>
          </w:tcPr>
          <w:p w14:paraId="35C18F5A" w14:textId="77777777" w:rsidR="00C21BDD" w:rsidRPr="005A76D3" w:rsidRDefault="00C21BDD" w:rsidP="00242FD9"/>
        </w:tc>
      </w:tr>
      <w:tr w:rsidR="00C21BDD" w:rsidRPr="005A76D3" w14:paraId="3F8FA9BE" w14:textId="77777777" w:rsidTr="00242FD9">
        <w:tc>
          <w:tcPr>
            <w:tcW w:w="993" w:type="dxa"/>
          </w:tcPr>
          <w:p w14:paraId="29397BFC" w14:textId="77777777" w:rsidR="00C21BDD" w:rsidRPr="005A76D3" w:rsidRDefault="00C21BDD" w:rsidP="00242FD9">
            <w:r w:rsidRPr="005A76D3">
              <w:t>9.2.4.4.2</w:t>
            </w:r>
          </w:p>
        </w:tc>
        <w:tc>
          <w:tcPr>
            <w:tcW w:w="2551" w:type="dxa"/>
          </w:tcPr>
          <w:p w14:paraId="1D564A5E" w14:textId="77777777" w:rsidR="00C21BDD" w:rsidRPr="005A76D3" w:rsidRDefault="00C21BDD" w:rsidP="00242FD9">
            <w:r w:rsidRPr="005A76D3">
              <w:t>Système rechargeable de stockage de l’énergie électrique</w:t>
            </w:r>
          </w:p>
        </w:tc>
        <w:tc>
          <w:tcPr>
            <w:tcW w:w="436" w:type="dxa"/>
            <w:vAlign w:val="center"/>
          </w:tcPr>
          <w:p w14:paraId="126FA722" w14:textId="77777777" w:rsidR="00C21BDD" w:rsidRPr="005A76D3" w:rsidRDefault="00C21BDD" w:rsidP="00242FD9">
            <w:pPr>
              <w:jc w:val="center"/>
            </w:pPr>
          </w:p>
        </w:tc>
        <w:tc>
          <w:tcPr>
            <w:tcW w:w="437" w:type="dxa"/>
            <w:vAlign w:val="center"/>
          </w:tcPr>
          <w:p w14:paraId="606B728E" w14:textId="77777777" w:rsidR="00C21BDD" w:rsidRPr="005A76D3" w:rsidRDefault="00C21BDD" w:rsidP="00242FD9">
            <w:pPr>
              <w:jc w:val="center"/>
            </w:pPr>
          </w:p>
        </w:tc>
        <w:tc>
          <w:tcPr>
            <w:tcW w:w="437" w:type="dxa"/>
            <w:vAlign w:val="center"/>
          </w:tcPr>
          <w:p w14:paraId="15169C10" w14:textId="77777777" w:rsidR="00C21BDD" w:rsidRPr="005A76D3" w:rsidRDefault="00C21BDD" w:rsidP="00242FD9">
            <w:pPr>
              <w:jc w:val="center"/>
              <w:rPr>
                <w:vertAlign w:val="superscript"/>
              </w:rPr>
            </w:pPr>
            <w:proofErr w:type="spellStart"/>
            <w:r w:rsidRPr="005A76D3">
              <w:t>X</w:t>
            </w:r>
            <w:r w:rsidRPr="005A76D3">
              <w:rPr>
                <w:vertAlign w:val="superscript"/>
              </w:rPr>
              <w:t>k</w:t>
            </w:r>
            <w:proofErr w:type="spellEnd"/>
          </w:p>
        </w:tc>
        <w:tc>
          <w:tcPr>
            <w:tcW w:w="437" w:type="dxa"/>
            <w:vAlign w:val="center"/>
          </w:tcPr>
          <w:p w14:paraId="1F6DC990" w14:textId="77777777" w:rsidR="00C21BDD" w:rsidRPr="005A76D3" w:rsidRDefault="00C21BDD" w:rsidP="00242FD9">
            <w:pPr>
              <w:jc w:val="center"/>
            </w:pPr>
            <w:r w:rsidRPr="005A76D3">
              <w:t>X</w:t>
            </w:r>
          </w:p>
        </w:tc>
        <w:tc>
          <w:tcPr>
            <w:tcW w:w="2126" w:type="dxa"/>
          </w:tcPr>
          <w:p w14:paraId="51DA522F" w14:textId="77777777" w:rsidR="00C21BDD" w:rsidRPr="005A76D3" w:rsidRDefault="00C21BDD" w:rsidP="00242FD9">
            <w:r w:rsidRPr="005A76D3">
              <w:rPr>
                <w:vertAlign w:val="superscript"/>
                <w:lang w:val="fr-FR"/>
              </w:rPr>
              <w:t>k</w:t>
            </w:r>
            <w:r w:rsidRPr="005A76D3">
              <w:rPr>
                <w:lang w:val="fr-FR"/>
              </w:rPr>
              <w:t xml:space="preserve"> Applicable aux véhicules à moteur immatriculés pour la première fois après le 31 décembre 2026.</w:t>
            </w:r>
          </w:p>
        </w:tc>
      </w:tr>
      <w:tr w:rsidR="00C21BDD" w:rsidRPr="005A76D3" w14:paraId="374D5C8B" w14:textId="77777777" w:rsidTr="00242FD9">
        <w:tc>
          <w:tcPr>
            <w:tcW w:w="993" w:type="dxa"/>
          </w:tcPr>
          <w:p w14:paraId="056FC19B" w14:textId="77777777" w:rsidR="00C21BDD" w:rsidRPr="005A76D3" w:rsidRDefault="00C21BDD" w:rsidP="00242FD9">
            <w:r w:rsidRPr="005A76D3">
              <w:t>9.2.4.4.3</w:t>
            </w:r>
          </w:p>
        </w:tc>
        <w:tc>
          <w:tcPr>
            <w:tcW w:w="2551" w:type="dxa"/>
          </w:tcPr>
          <w:p w14:paraId="2B631A25" w14:textId="77777777" w:rsidR="00C21BDD" w:rsidRPr="005A76D3" w:rsidRDefault="00C21BDD" w:rsidP="00242FD9">
            <w:r w:rsidRPr="005A76D3">
              <w:t>Mesures de lutte contre la propagation thermique</w:t>
            </w:r>
          </w:p>
        </w:tc>
        <w:tc>
          <w:tcPr>
            <w:tcW w:w="436" w:type="dxa"/>
            <w:vAlign w:val="center"/>
          </w:tcPr>
          <w:p w14:paraId="13EED82F" w14:textId="77777777" w:rsidR="00C21BDD" w:rsidRPr="005A76D3" w:rsidRDefault="00C21BDD" w:rsidP="00242FD9">
            <w:pPr>
              <w:jc w:val="center"/>
            </w:pPr>
          </w:p>
        </w:tc>
        <w:tc>
          <w:tcPr>
            <w:tcW w:w="437" w:type="dxa"/>
            <w:vAlign w:val="center"/>
          </w:tcPr>
          <w:p w14:paraId="4CE83547" w14:textId="77777777" w:rsidR="00C21BDD" w:rsidRPr="005A76D3" w:rsidRDefault="00C21BDD" w:rsidP="00242FD9">
            <w:pPr>
              <w:jc w:val="center"/>
            </w:pPr>
          </w:p>
        </w:tc>
        <w:tc>
          <w:tcPr>
            <w:tcW w:w="437" w:type="dxa"/>
            <w:vAlign w:val="center"/>
          </w:tcPr>
          <w:p w14:paraId="0350B319" w14:textId="77777777" w:rsidR="00C21BDD" w:rsidRPr="005A76D3" w:rsidRDefault="00C21BDD" w:rsidP="00242FD9">
            <w:pPr>
              <w:jc w:val="center"/>
            </w:pPr>
          </w:p>
        </w:tc>
        <w:tc>
          <w:tcPr>
            <w:tcW w:w="437" w:type="dxa"/>
            <w:vAlign w:val="center"/>
          </w:tcPr>
          <w:p w14:paraId="49F37270" w14:textId="77777777" w:rsidR="00C21BDD" w:rsidRPr="005A76D3" w:rsidRDefault="00C21BDD" w:rsidP="00242FD9">
            <w:pPr>
              <w:jc w:val="center"/>
            </w:pPr>
            <w:r w:rsidRPr="005A76D3">
              <w:t>X</w:t>
            </w:r>
          </w:p>
        </w:tc>
        <w:tc>
          <w:tcPr>
            <w:tcW w:w="2126" w:type="dxa"/>
          </w:tcPr>
          <w:p w14:paraId="1B7A20E9" w14:textId="77777777" w:rsidR="00C21BDD" w:rsidRPr="005A76D3" w:rsidRDefault="00C21BDD" w:rsidP="00242FD9"/>
        </w:tc>
      </w:tr>
      <w:tr w:rsidR="00C21BDD" w:rsidRPr="005A76D3" w14:paraId="5F246FD7" w14:textId="77777777" w:rsidTr="00242FD9">
        <w:tc>
          <w:tcPr>
            <w:tcW w:w="993" w:type="dxa"/>
          </w:tcPr>
          <w:p w14:paraId="2DE4086E" w14:textId="77777777" w:rsidR="00C21BDD" w:rsidRPr="005A76D3" w:rsidRDefault="00C21BDD" w:rsidP="00242FD9">
            <w:r w:rsidRPr="005A76D3">
              <w:t>9.2.4.4.4</w:t>
            </w:r>
          </w:p>
        </w:tc>
        <w:tc>
          <w:tcPr>
            <w:tcW w:w="2551" w:type="dxa"/>
          </w:tcPr>
          <w:p w14:paraId="202425D3" w14:textId="77777777" w:rsidR="00C21BDD" w:rsidRPr="005A76D3" w:rsidRDefault="00C21BDD" w:rsidP="00242FD9">
            <w:r w:rsidRPr="005A76D3">
              <w:t>Prise de charge du véhicule</w:t>
            </w:r>
          </w:p>
        </w:tc>
        <w:tc>
          <w:tcPr>
            <w:tcW w:w="436" w:type="dxa"/>
            <w:vAlign w:val="center"/>
          </w:tcPr>
          <w:p w14:paraId="25CBDC88" w14:textId="77777777" w:rsidR="00C21BDD" w:rsidRPr="005A76D3" w:rsidRDefault="00C21BDD" w:rsidP="00242FD9">
            <w:pPr>
              <w:jc w:val="center"/>
            </w:pPr>
          </w:p>
        </w:tc>
        <w:tc>
          <w:tcPr>
            <w:tcW w:w="437" w:type="dxa"/>
            <w:vAlign w:val="center"/>
          </w:tcPr>
          <w:p w14:paraId="18D80ED2" w14:textId="77777777" w:rsidR="00C21BDD" w:rsidRPr="005A76D3" w:rsidRDefault="00C21BDD" w:rsidP="00242FD9">
            <w:pPr>
              <w:jc w:val="center"/>
            </w:pPr>
          </w:p>
        </w:tc>
        <w:tc>
          <w:tcPr>
            <w:tcW w:w="437" w:type="dxa"/>
            <w:vAlign w:val="center"/>
          </w:tcPr>
          <w:p w14:paraId="33BD57B8" w14:textId="77777777" w:rsidR="00C21BDD" w:rsidRPr="005A76D3" w:rsidRDefault="00C21BDD" w:rsidP="00242FD9">
            <w:pPr>
              <w:jc w:val="center"/>
            </w:pPr>
          </w:p>
        </w:tc>
        <w:tc>
          <w:tcPr>
            <w:tcW w:w="437" w:type="dxa"/>
            <w:vAlign w:val="center"/>
          </w:tcPr>
          <w:p w14:paraId="01DB07FD" w14:textId="77777777" w:rsidR="00C21BDD" w:rsidRPr="005A76D3" w:rsidRDefault="00C21BDD" w:rsidP="00242FD9">
            <w:pPr>
              <w:jc w:val="center"/>
            </w:pPr>
            <w:r w:rsidRPr="005A76D3">
              <w:t>X</w:t>
            </w:r>
          </w:p>
        </w:tc>
        <w:tc>
          <w:tcPr>
            <w:tcW w:w="2126" w:type="dxa"/>
          </w:tcPr>
          <w:p w14:paraId="4ACE15BA" w14:textId="77777777" w:rsidR="00C21BDD" w:rsidRPr="005A76D3" w:rsidRDefault="00C21BDD" w:rsidP="00242FD9"/>
        </w:tc>
      </w:tr>
    </w:tbl>
    <w:p w14:paraId="13E371D6" w14:textId="77777777" w:rsidR="00C21BDD" w:rsidRPr="005A76D3" w:rsidRDefault="00C21BDD" w:rsidP="00C21BDD">
      <w:pPr>
        <w:pStyle w:val="SingleTxtG"/>
        <w:tabs>
          <w:tab w:val="clear" w:pos="1701"/>
          <w:tab w:val="clear" w:pos="2268"/>
          <w:tab w:val="clear" w:pos="2835"/>
        </w:tabs>
        <w:ind w:left="2268" w:hanging="1134"/>
      </w:pPr>
      <w:r w:rsidRPr="005A76D3">
        <w:t>» </w:t>
      </w:r>
    </w:p>
    <w:p w14:paraId="1792D358" w14:textId="77777777" w:rsidR="00C21BDD" w:rsidRPr="005A76D3" w:rsidRDefault="00C21BDD" w:rsidP="00C21BDD">
      <w:pPr>
        <w:pStyle w:val="SingleTxtG"/>
        <w:tabs>
          <w:tab w:val="clear" w:pos="1701"/>
          <w:tab w:val="clear" w:pos="2268"/>
          <w:tab w:val="clear" w:pos="2835"/>
        </w:tabs>
        <w:ind w:left="2268" w:hanging="1134"/>
      </w:pPr>
      <w:r w:rsidRPr="005A76D3">
        <w:lastRenderedPageBreak/>
        <w:t>9.2.2.1</w:t>
      </w:r>
      <w:r w:rsidRPr="005A76D3">
        <w:tab/>
        <w:t>Supprimer l’amendement entre crochets.</w:t>
      </w:r>
    </w:p>
    <w:p w14:paraId="76C29E13" w14:textId="2818584E" w:rsidR="00C21BDD" w:rsidRPr="005A76D3" w:rsidRDefault="00C21BDD" w:rsidP="00C21BDD">
      <w:pPr>
        <w:pStyle w:val="SingleTxtG"/>
        <w:tabs>
          <w:tab w:val="clear" w:pos="1701"/>
          <w:tab w:val="clear" w:pos="2268"/>
          <w:tab w:val="clear" w:pos="2835"/>
        </w:tabs>
        <w:ind w:left="2268" w:hanging="1134"/>
      </w:pPr>
      <w:r w:rsidRPr="005A76D3">
        <w:t>9.2.4.3</w:t>
      </w:r>
      <w:r w:rsidRPr="005A76D3">
        <w:tab/>
        <w:t xml:space="preserve">À la quatrième puce, au point e), remplacer </w:t>
      </w:r>
      <w:bookmarkStart w:id="3" w:name="_Hlk150410091"/>
      <w:r w:rsidRPr="005A76D3">
        <w:t>« </w:t>
      </w:r>
      <w:bookmarkEnd w:id="3"/>
      <w:r w:rsidRPr="005A76D3">
        <w:t>[aux prescriptions techniques de la partie 7 de la phase 2 du Règlement technique mondial n° 13</w:t>
      </w:r>
      <w:r w:rsidRPr="005A76D3">
        <w:rPr>
          <w:vertAlign w:val="superscript"/>
        </w:rPr>
        <w:t>10</w:t>
      </w:r>
      <w:r w:rsidRPr="005A76D3">
        <w:t xml:space="preserve">] » par « aux prescriptions techniques de la partie 7 du </w:t>
      </w:r>
      <w:r w:rsidRPr="005A76D3">
        <w:rPr>
          <w:lang w:val="fr-FR"/>
        </w:rPr>
        <w:t>Règlement technique mondial n° 13</w:t>
      </w:r>
      <w:r w:rsidRPr="005A76D3">
        <w:rPr>
          <w:vertAlign w:val="superscript"/>
          <w:lang w:val="fr-FR"/>
        </w:rPr>
        <w:t>10</w:t>
      </w:r>
      <w:r w:rsidRPr="005A76D3">
        <w:rPr>
          <w:lang w:val="fr-FR"/>
        </w:rPr>
        <w:t>, amendement 1 »</w:t>
      </w:r>
    </w:p>
    <w:p w14:paraId="23372734" w14:textId="77777777" w:rsidR="00C21BDD" w:rsidRPr="005A76D3" w:rsidRDefault="00C21BDD" w:rsidP="00C21BDD">
      <w:pPr>
        <w:pStyle w:val="SingleTxtG"/>
        <w:tabs>
          <w:tab w:val="clear" w:pos="1701"/>
          <w:tab w:val="clear" w:pos="2268"/>
          <w:tab w:val="clear" w:pos="2835"/>
        </w:tabs>
        <w:ind w:left="2268" w:hanging="1134"/>
      </w:pPr>
      <w:r w:rsidRPr="005A76D3">
        <w:t>9.2.4.3.1</w:t>
      </w:r>
      <w:r w:rsidRPr="005A76D3">
        <w:tab/>
        <w:t>Ajouter un titre pour lire “</w:t>
      </w:r>
      <w:r w:rsidRPr="005A76D3">
        <w:rPr>
          <w:i/>
          <w:iCs/>
        </w:rPr>
        <w:t>Moteur</w:t>
      </w:r>
      <w:r w:rsidRPr="005A76D3">
        <w:t>”. Au point c), remplacer « [de la phase 2 du Règlement technique mondial n° 13</w:t>
      </w:r>
      <w:r w:rsidRPr="005A76D3">
        <w:rPr>
          <w:vertAlign w:val="superscript"/>
        </w:rPr>
        <w:t>10</w:t>
      </w:r>
      <w:r w:rsidRPr="005A76D3">
        <w:t>] » par « </w:t>
      </w:r>
      <w:r w:rsidRPr="005A76D3">
        <w:rPr>
          <w:lang w:val="fr-FR"/>
        </w:rPr>
        <w:t>du Règlement technique mondial n° 13</w:t>
      </w:r>
      <w:r w:rsidRPr="005A76D3">
        <w:rPr>
          <w:vertAlign w:val="superscript"/>
          <w:lang w:val="fr-FR"/>
        </w:rPr>
        <w:t>10</w:t>
      </w:r>
      <w:r w:rsidRPr="005A76D3">
        <w:rPr>
          <w:lang w:val="fr-FR"/>
        </w:rPr>
        <w:t>, amendement 1 »</w:t>
      </w:r>
    </w:p>
    <w:p w14:paraId="15E7C9BD" w14:textId="49006122" w:rsidR="00C21BDD" w:rsidRPr="005A76D3" w:rsidRDefault="00C21BDD" w:rsidP="00C21BDD">
      <w:pPr>
        <w:pStyle w:val="SingleTxtG"/>
        <w:tabs>
          <w:tab w:val="clear" w:pos="1701"/>
          <w:tab w:val="clear" w:pos="2268"/>
          <w:tab w:val="clear" w:pos="2835"/>
        </w:tabs>
        <w:ind w:left="2268" w:hanging="1134"/>
      </w:pPr>
      <w:r w:rsidRPr="005A76D3">
        <w:t>9.2.4.4</w:t>
      </w:r>
      <w:r w:rsidRPr="005A76D3">
        <w:tab/>
        <w:t>Transférer le premier paragraphe sous le titre du 9.2.4.4.1 directement au-dessous du titre du 9.2.4.4.</w:t>
      </w:r>
    </w:p>
    <w:p w14:paraId="783314F3" w14:textId="77777777" w:rsidR="00C21BDD" w:rsidRPr="005A76D3" w:rsidRDefault="00C21BDD" w:rsidP="00C21BDD">
      <w:pPr>
        <w:pStyle w:val="SingleTxtG"/>
        <w:tabs>
          <w:tab w:val="clear" w:pos="1701"/>
          <w:tab w:val="clear" w:pos="2268"/>
          <w:tab w:val="clear" w:pos="2835"/>
        </w:tabs>
        <w:ind w:left="2268" w:hanging="1134"/>
      </w:pPr>
      <w:r w:rsidRPr="005A76D3">
        <w:t>9.2.4.4.1</w:t>
      </w:r>
      <w:r w:rsidRPr="005A76D3">
        <w:tab/>
        <w:t>Au dernier paragraphe, à la fin, ajouter « </w:t>
      </w:r>
      <w:r w:rsidRPr="005A76D3">
        <w:rPr>
          <w:lang w:val="fr-FR"/>
        </w:rPr>
        <w:t>, tel que modifié au minimum par la série 03 d’amendements »</w:t>
      </w:r>
      <w:r w:rsidRPr="001B528F">
        <w:t>.</w:t>
      </w:r>
    </w:p>
    <w:p w14:paraId="5AB79E72" w14:textId="77777777" w:rsidR="00C21BDD" w:rsidRPr="005A76D3" w:rsidRDefault="00C21BDD" w:rsidP="00C21BDD">
      <w:pPr>
        <w:pStyle w:val="SingleTxtG"/>
        <w:tabs>
          <w:tab w:val="clear" w:pos="1701"/>
          <w:tab w:val="clear" w:pos="2268"/>
          <w:tab w:val="clear" w:pos="2835"/>
        </w:tabs>
        <w:ind w:left="2268" w:hanging="1134"/>
      </w:pPr>
      <w:r w:rsidRPr="005A76D3">
        <w:t>9.2.4.4.2</w:t>
      </w:r>
      <w:r w:rsidRPr="005A76D3">
        <w:tab/>
        <w:t>Au paragraphe au-dessous de la première note, deuxième phrase, supprimer les crochets, supprimer les parenthèses, remplacer « par exemple » par « tel qu’un » et, à la fin, ajouter « tel que modifié au minimum par la série 03 d’amendements ».</w:t>
      </w:r>
    </w:p>
    <w:p w14:paraId="5146521B" w14:textId="77777777" w:rsidR="00C21BDD" w:rsidRPr="005A76D3" w:rsidRDefault="00C21BDD" w:rsidP="00C21BDD">
      <w:pPr>
        <w:pStyle w:val="SingleTxtG"/>
        <w:tabs>
          <w:tab w:val="clear" w:pos="1701"/>
          <w:tab w:val="clear" w:pos="2268"/>
          <w:tab w:val="clear" w:pos="2835"/>
        </w:tabs>
        <w:ind w:left="2268" w:hanging="1134"/>
      </w:pPr>
      <w:r w:rsidRPr="005A76D3">
        <w:t>9.2.4.4.3</w:t>
      </w:r>
      <w:r w:rsidRPr="005A76D3">
        <w:tab/>
        <w:t>Dans la première phrase après le titre, remplacer « éviter tout danger » par « limiter les dangers ». Supprimer la phrase entre crochets.</w:t>
      </w:r>
    </w:p>
    <w:p w14:paraId="11C8B5B8" w14:textId="77777777" w:rsidR="00C21BDD" w:rsidRPr="005A76D3" w:rsidRDefault="00C21BDD" w:rsidP="00C21BDD">
      <w:pPr>
        <w:pStyle w:val="SingleTxtG"/>
        <w:tabs>
          <w:tab w:val="clear" w:pos="1701"/>
          <w:tab w:val="clear" w:pos="2268"/>
          <w:tab w:val="clear" w:pos="2835"/>
        </w:tabs>
        <w:ind w:left="2268" w:hanging="1134"/>
        <w:rPr>
          <w:lang w:val="fr-FR"/>
        </w:rPr>
      </w:pPr>
      <w:r w:rsidRPr="005A76D3">
        <w:t>9.2.4.4</w:t>
      </w:r>
      <w:r w:rsidRPr="005A76D3">
        <w:tab/>
      </w:r>
      <w:r w:rsidRPr="005A76D3">
        <w:rPr>
          <w:lang w:val="fr-FR"/>
        </w:rPr>
        <w:t>Ajouter un nouveau 9.2.4.4.4 pour lire comme suit :</w:t>
      </w:r>
    </w:p>
    <w:p w14:paraId="5BF01A80" w14:textId="77777777" w:rsidR="00C21BDD" w:rsidRPr="005A76D3" w:rsidRDefault="00C21BDD" w:rsidP="00C21BDD">
      <w:pPr>
        <w:pStyle w:val="SingleTxtG"/>
        <w:tabs>
          <w:tab w:val="clear" w:pos="1701"/>
        </w:tabs>
        <w:ind w:left="2268" w:hanging="1134"/>
        <w:rPr>
          <w:lang w:val="fr-FR"/>
        </w:rPr>
      </w:pPr>
      <w:r w:rsidRPr="005A76D3">
        <w:rPr>
          <w:lang w:val="fr-FR"/>
        </w:rPr>
        <w:t>« 9.2.4.4.4</w:t>
      </w:r>
      <w:r w:rsidRPr="005A76D3">
        <w:rPr>
          <w:lang w:val="fr-FR"/>
        </w:rPr>
        <w:tab/>
      </w:r>
      <w:r w:rsidRPr="005A76D3">
        <w:rPr>
          <w:i/>
          <w:iCs/>
          <w:lang w:val="fr-FR"/>
        </w:rPr>
        <w:t>Prise de charge du véhicule</w:t>
      </w:r>
    </w:p>
    <w:p w14:paraId="2535855B" w14:textId="77777777" w:rsidR="00C21BDD" w:rsidRPr="005A76D3" w:rsidRDefault="00C21BDD" w:rsidP="00C21BDD">
      <w:pPr>
        <w:pStyle w:val="SingleTxtG"/>
        <w:tabs>
          <w:tab w:val="clear" w:pos="1701"/>
        </w:tabs>
        <w:ind w:left="2268" w:hanging="1134"/>
        <w:rPr>
          <w:lang w:val="fr-FR"/>
        </w:rPr>
      </w:pPr>
      <w:r w:rsidRPr="005A76D3">
        <w:rPr>
          <w:lang w:val="fr-FR"/>
        </w:rPr>
        <w:tab/>
        <w:t>La prise de charge du véhicule doit être dotée d'une fonction de détection thermique qui limite ou interrompt le transfert de courant conformément à la norme ISO 17409:2020, lorsque la température dépasse les valeurs nominales des composants ou les limites requises par les normes de produit applicables, voir par exemple la norme CEI 62196-3-1:2020. »</w:t>
      </w:r>
    </w:p>
    <w:p w14:paraId="1149BA45" w14:textId="77777777" w:rsidR="00C21BDD" w:rsidRPr="005A76D3" w:rsidRDefault="00C21BDD" w:rsidP="00C21BDD">
      <w:pPr>
        <w:pStyle w:val="SingleTxtG"/>
        <w:tabs>
          <w:tab w:val="clear" w:pos="1701"/>
          <w:tab w:val="clear" w:pos="2268"/>
          <w:tab w:val="clear" w:pos="2835"/>
        </w:tabs>
        <w:ind w:left="2268" w:hanging="1134"/>
      </w:pPr>
      <w:r w:rsidRPr="005A76D3">
        <w:t>9.2.4.5.2</w:t>
      </w:r>
      <w:r w:rsidRPr="005A76D3">
        <w:tab/>
        <w:t>Dans la deuxième phrase, remplacer « de la [phase 2 du Règlement technique mondial n° 13</w:t>
      </w:r>
      <w:r w:rsidRPr="005A76D3">
        <w:rPr>
          <w:vertAlign w:val="superscript"/>
        </w:rPr>
        <w:t>10</w:t>
      </w:r>
      <w:r w:rsidRPr="005A76D3">
        <w:t xml:space="preserve"> s’appliquent] » par « du </w:t>
      </w:r>
      <w:r w:rsidRPr="005A76D3">
        <w:rPr>
          <w:lang w:val="fr-FR"/>
        </w:rPr>
        <w:t>Règlement technique mondial n° 13</w:t>
      </w:r>
      <w:r w:rsidRPr="005A76D3">
        <w:rPr>
          <w:vertAlign w:val="superscript"/>
          <w:lang w:val="fr-FR"/>
        </w:rPr>
        <w:t>10</w:t>
      </w:r>
      <w:r w:rsidRPr="005A76D3">
        <w:rPr>
          <w:lang w:val="fr-FR"/>
        </w:rPr>
        <w:t>, amendement 1</w:t>
      </w:r>
      <w:r w:rsidRPr="005A76D3">
        <w:t xml:space="preserve"> s’appliquent »</w:t>
      </w:r>
    </w:p>
    <w:p w14:paraId="547BA41C" w14:textId="77777777" w:rsidR="00C21BDD" w:rsidRPr="005A76D3" w:rsidRDefault="00C21BDD" w:rsidP="00C21BDD">
      <w:pPr>
        <w:pStyle w:val="SingleTxtG"/>
        <w:tabs>
          <w:tab w:val="clear" w:pos="1701"/>
          <w:tab w:val="clear" w:pos="2268"/>
          <w:tab w:val="clear" w:pos="2835"/>
        </w:tabs>
        <w:ind w:left="2268" w:hanging="1134"/>
      </w:pPr>
      <w:r w:rsidRPr="005A76D3">
        <w:t>9.2.4.5.3</w:t>
      </w:r>
      <w:r w:rsidRPr="005A76D3">
        <w:tab/>
        <w:t>Supprimer les crochets</w:t>
      </w:r>
    </w:p>
    <w:p w14:paraId="2653A51C" w14:textId="77777777" w:rsidR="00C21BDD" w:rsidRPr="005A76D3" w:rsidRDefault="00C21BDD" w:rsidP="00C21BDD">
      <w:pPr>
        <w:pStyle w:val="SingleTxtG"/>
        <w:tabs>
          <w:tab w:val="clear" w:pos="1701"/>
          <w:tab w:val="clear" w:pos="2268"/>
          <w:tab w:val="clear" w:pos="2835"/>
        </w:tabs>
        <w:ind w:left="2268" w:hanging="1134"/>
      </w:pPr>
      <w:r w:rsidRPr="005A76D3">
        <w:t>9.2.4</w:t>
      </w:r>
      <w:r w:rsidRPr="005A76D3">
        <w:tab/>
        <w:t>Au dernier amendement au 9.2.4, supprimer les crochets.</w:t>
      </w:r>
    </w:p>
    <w:p w14:paraId="71F1DBF7" w14:textId="77777777" w:rsidR="00C21BDD" w:rsidRPr="005A76D3" w:rsidRDefault="00C21BDD" w:rsidP="00C21BDD">
      <w:pPr>
        <w:pStyle w:val="SingleTxtG"/>
        <w:tabs>
          <w:tab w:val="clear" w:pos="1701"/>
        </w:tabs>
        <w:rPr>
          <w:i/>
          <w:iCs/>
          <w:lang w:val="fr-FR"/>
        </w:rPr>
      </w:pPr>
      <w:r w:rsidRPr="005A76D3">
        <w:rPr>
          <w:i/>
          <w:iCs/>
          <w:lang w:val="fr-FR"/>
        </w:rPr>
        <w:t>(Documents de référence : ECE/TRANS/WP.15/2024/8, tel que modifié, document informel INF.6, tel que modifié, document informel INF.10, tel que modifié, et discussions pendant la session)</w:t>
      </w:r>
    </w:p>
    <w:p w14:paraId="016D0D7A" w14:textId="77777777" w:rsidR="00C21BDD" w:rsidRPr="005A76D3" w:rsidRDefault="00C21BDD">
      <w:pPr>
        <w:rPr>
          <w:b/>
          <w:sz w:val="28"/>
          <w:lang w:val="fr-FR"/>
        </w:rPr>
      </w:pPr>
      <w:r w:rsidRPr="005A76D3">
        <w:rPr>
          <w:lang w:val="fr-FR"/>
        </w:rPr>
        <w:br w:type="page"/>
      </w:r>
    </w:p>
    <w:p w14:paraId="0E9A9F99" w14:textId="77777777" w:rsidR="00C21BDD" w:rsidRPr="005A76D3" w:rsidRDefault="00C21BDD" w:rsidP="00C21BDD">
      <w:pPr>
        <w:pStyle w:val="HChG"/>
        <w:rPr>
          <w:lang w:val="fr-FR"/>
        </w:rPr>
      </w:pPr>
      <w:r w:rsidRPr="005A76D3">
        <w:rPr>
          <w:lang w:val="fr-FR"/>
        </w:rPr>
        <w:lastRenderedPageBreak/>
        <w:t>Annexe II</w:t>
      </w:r>
    </w:p>
    <w:p w14:paraId="669086CB" w14:textId="5988D715" w:rsidR="00C21BDD" w:rsidRPr="005A76D3" w:rsidRDefault="00C21BDD" w:rsidP="00C21BDD">
      <w:pPr>
        <w:pStyle w:val="HChG"/>
        <w:rPr>
          <w:lang w:val="fr-FR"/>
        </w:rPr>
      </w:pPr>
      <w:r w:rsidRPr="005A76D3">
        <w:rPr>
          <w:lang w:val="fr-FR"/>
        </w:rPr>
        <w:tab/>
      </w:r>
      <w:r w:rsidRPr="005A76D3">
        <w:rPr>
          <w:lang w:val="fr-FR"/>
        </w:rPr>
        <w:tab/>
        <w:t>Projet d’amendements aux annexes A et B de l’ADR pour entrée en vigueur le 1er janvier 2027</w:t>
      </w:r>
    </w:p>
    <w:p w14:paraId="51900185" w14:textId="77777777" w:rsidR="00C21BDD" w:rsidRPr="005A76D3" w:rsidRDefault="00C21BDD" w:rsidP="00C21BDD">
      <w:pPr>
        <w:pStyle w:val="H1G"/>
        <w:rPr>
          <w:lang w:val="fr-FR"/>
        </w:rPr>
      </w:pPr>
      <w:r w:rsidRPr="005A76D3">
        <w:rPr>
          <w:lang w:val="fr-FR"/>
        </w:rPr>
        <w:tab/>
      </w:r>
      <w:r w:rsidRPr="005A76D3">
        <w:rPr>
          <w:lang w:val="fr-FR"/>
        </w:rPr>
        <w:tab/>
        <w:t>Chapitre 6.2</w:t>
      </w:r>
    </w:p>
    <w:p w14:paraId="1C973B1D" w14:textId="109C916D" w:rsidR="00C21BDD" w:rsidRPr="005A76D3" w:rsidRDefault="00C21BDD" w:rsidP="00C21BDD">
      <w:pPr>
        <w:pStyle w:val="SingleTxtG"/>
        <w:ind w:left="2268" w:right="566" w:hanging="1134"/>
        <w:rPr>
          <w:lang w:val="fr-FR"/>
        </w:rPr>
      </w:pPr>
      <w:r w:rsidRPr="005A76D3">
        <w:rPr>
          <w:bCs/>
          <w:lang w:val="fr-FR"/>
        </w:rPr>
        <w:t>6.2.4.1</w:t>
      </w:r>
      <w:r w:rsidRPr="005A76D3">
        <w:rPr>
          <w:bCs/>
          <w:lang w:val="fr-FR"/>
        </w:rPr>
        <w:tab/>
      </w:r>
      <w:r w:rsidRPr="005A76D3">
        <w:rPr>
          <w:bCs/>
          <w:lang w:val="fr-FR"/>
        </w:rPr>
        <w:tab/>
      </w:r>
      <w:r w:rsidRPr="005A76D3">
        <w:rPr>
          <w:lang w:val="fr-FR"/>
        </w:rPr>
        <w:t>Pour la ligne relative à la norme « EN ISO 17871:2020 », dans la colonne (4), remplacer « Jusqu’à nouvel ordre » par « Entre le 1er janvier 2025 et le 31 décembre 2028 ». Après cette ligne, ajouter la nouvelle ligne suivante : </w:t>
      </w:r>
    </w:p>
    <w:tbl>
      <w:tblPr>
        <w:tblW w:w="822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542"/>
        <w:gridCol w:w="1012"/>
        <w:gridCol w:w="956"/>
        <w:gridCol w:w="725"/>
      </w:tblGrid>
      <w:tr w:rsidR="00C21BDD" w:rsidRPr="005A76D3" w14:paraId="57E6B6D0" w14:textId="77777777" w:rsidTr="00242FD9">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C37B4F" w14:textId="77777777" w:rsidR="00C21BDD" w:rsidRPr="005A76D3" w:rsidRDefault="00C21BDD" w:rsidP="00242FD9">
            <w:pPr>
              <w:widowControl w:val="0"/>
              <w:ind w:right="282"/>
              <w:jc w:val="center"/>
              <w:rPr>
                <w:rFonts w:cs="Arial"/>
                <w:lang w:val="fr-FR"/>
              </w:rPr>
            </w:pPr>
            <w:r w:rsidRPr="005A76D3">
              <w:rPr>
                <w:rFonts w:cs="Arial"/>
                <w:lang w:val="fr-FR"/>
              </w:rPr>
              <w:t>(1)</w:t>
            </w:r>
          </w:p>
        </w:tc>
        <w:tc>
          <w:tcPr>
            <w:tcW w:w="3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5E733F" w14:textId="77777777" w:rsidR="00C21BDD" w:rsidRPr="005A76D3" w:rsidRDefault="00C21BDD" w:rsidP="00242FD9">
            <w:pPr>
              <w:widowControl w:val="0"/>
              <w:ind w:right="282"/>
              <w:jc w:val="center"/>
              <w:rPr>
                <w:rFonts w:cs="Arial"/>
                <w:lang w:val="fr-FR"/>
              </w:rPr>
            </w:pPr>
            <w:r w:rsidRPr="005A76D3">
              <w:rPr>
                <w:rFonts w:cs="Arial"/>
                <w:lang w:val="fr-FR"/>
              </w:rPr>
              <w:t>(2)</w:t>
            </w:r>
          </w:p>
        </w:tc>
        <w:tc>
          <w:tcPr>
            <w:tcW w:w="10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7800F1" w14:textId="77777777" w:rsidR="00C21BDD" w:rsidRPr="005A76D3" w:rsidRDefault="00C21BDD" w:rsidP="00242FD9">
            <w:pPr>
              <w:widowControl w:val="0"/>
              <w:ind w:right="282"/>
              <w:jc w:val="center"/>
              <w:rPr>
                <w:rFonts w:cs="Arial"/>
                <w:lang w:val="fr-FR"/>
              </w:rPr>
            </w:pPr>
            <w:r w:rsidRPr="005A76D3">
              <w:rPr>
                <w:rFonts w:cs="Arial"/>
                <w:lang w:val="fr-FR"/>
              </w:rPr>
              <w:t>(3)</w:t>
            </w:r>
          </w:p>
        </w:tc>
        <w:tc>
          <w:tcPr>
            <w:tcW w:w="9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C8FB36" w14:textId="77777777" w:rsidR="00C21BDD" w:rsidRPr="005A76D3" w:rsidRDefault="00C21BDD" w:rsidP="00242FD9">
            <w:pPr>
              <w:widowControl w:val="0"/>
              <w:ind w:right="282"/>
              <w:jc w:val="center"/>
              <w:rPr>
                <w:rFonts w:cs="Arial"/>
                <w:lang w:val="fr-FR"/>
              </w:rPr>
            </w:pPr>
            <w:r w:rsidRPr="005A76D3">
              <w:rPr>
                <w:rFonts w:cs="Arial"/>
                <w:lang w:val="fr-FR"/>
              </w:rPr>
              <w:t>(4)</w:t>
            </w:r>
          </w:p>
        </w:tc>
        <w:tc>
          <w:tcPr>
            <w:tcW w:w="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5A2267" w14:textId="77777777" w:rsidR="00C21BDD" w:rsidRPr="005A76D3" w:rsidRDefault="00C21BDD" w:rsidP="00242FD9">
            <w:pPr>
              <w:widowControl w:val="0"/>
              <w:ind w:right="282"/>
              <w:jc w:val="center"/>
              <w:rPr>
                <w:rFonts w:cs="Arial"/>
                <w:lang w:val="fr-FR"/>
              </w:rPr>
            </w:pPr>
            <w:r w:rsidRPr="005A76D3">
              <w:rPr>
                <w:rFonts w:cs="Arial"/>
                <w:lang w:val="fr-FR"/>
              </w:rPr>
              <w:t>(5)</w:t>
            </w:r>
          </w:p>
        </w:tc>
      </w:tr>
      <w:tr w:rsidR="00C21BDD" w:rsidRPr="005A76D3" w14:paraId="0B708202" w14:textId="77777777" w:rsidTr="00242FD9">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002AE5" w14:textId="77777777" w:rsidR="00C21BDD" w:rsidRPr="005A76D3" w:rsidRDefault="00C21BDD" w:rsidP="00242FD9">
            <w:pPr>
              <w:widowControl w:val="0"/>
              <w:ind w:right="282"/>
              <w:rPr>
                <w:rFonts w:cs="Arial"/>
                <w:lang w:val="fr-FR"/>
              </w:rPr>
            </w:pPr>
            <w:r w:rsidRPr="005A76D3">
              <w:rPr>
                <w:szCs w:val="22"/>
                <w:lang w:val="fr-FR"/>
              </w:rPr>
              <w:t>EN ISO 17871:2020 + A1:[2024]</w:t>
            </w:r>
          </w:p>
        </w:tc>
        <w:tc>
          <w:tcPr>
            <w:tcW w:w="3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7A6B29" w14:textId="77777777" w:rsidR="00C21BDD" w:rsidRPr="005A76D3" w:rsidRDefault="00C21BDD" w:rsidP="00242FD9">
            <w:pPr>
              <w:widowControl w:val="0"/>
              <w:ind w:right="282"/>
              <w:rPr>
                <w:rFonts w:cs="Arial"/>
                <w:i/>
                <w:lang w:val="fr-FR"/>
              </w:rPr>
            </w:pPr>
            <w:r w:rsidRPr="005A76D3">
              <w:rPr>
                <w:lang w:val="fr-FR"/>
              </w:rPr>
              <w:t>Bouteilles à gaz – Robinets de bouteilles à ouverture rapide – Spécifications et essais de type</w:t>
            </w:r>
          </w:p>
        </w:tc>
        <w:tc>
          <w:tcPr>
            <w:tcW w:w="10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6DC0D0" w14:textId="77777777" w:rsidR="00C21BDD" w:rsidRPr="005A76D3" w:rsidRDefault="00C21BDD" w:rsidP="00242FD9">
            <w:pPr>
              <w:widowControl w:val="0"/>
              <w:ind w:right="282"/>
              <w:rPr>
                <w:rFonts w:cs="Arial"/>
                <w:lang w:val="fr-FR"/>
              </w:rPr>
            </w:pPr>
            <w:r w:rsidRPr="005A76D3">
              <w:rPr>
                <w:lang w:val="fr-FR"/>
              </w:rPr>
              <w:t>6.2.3.1, 6.2.3.3 et 6.2.3.4</w:t>
            </w:r>
          </w:p>
        </w:tc>
        <w:tc>
          <w:tcPr>
            <w:tcW w:w="9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8AB8E4" w14:textId="77777777" w:rsidR="00C21BDD" w:rsidRPr="005A76D3" w:rsidRDefault="00C21BDD" w:rsidP="00242FD9">
            <w:pPr>
              <w:widowControl w:val="0"/>
              <w:ind w:right="282"/>
              <w:jc w:val="center"/>
              <w:rPr>
                <w:rFonts w:cs="Arial"/>
                <w:lang w:val="fr-FR"/>
              </w:rPr>
            </w:pPr>
            <w:r w:rsidRPr="005A76D3">
              <w:rPr>
                <w:rFonts w:cs="Arial"/>
                <w:lang w:val="fr-FR"/>
              </w:rPr>
              <w:t>Jusqu’à nouvel ordre</w:t>
            </w:r>
          </w:p>
        </w:tc>
        <w:tc>
          <w:tcPr>
            <w:tcW w:w="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E3C7B0" w14:textId="77777777" w:rsidR="00C21BDD" w:rsidRPr="005A76D3" w:rsidRDefault="00C21BDD" w:rsidP="00242FD9">
            <w:pPr>
              <w:widowControl w:val="0"/>
              <w:ind w:right="282"/>
              <w:rPr>
                <w:rFonts w:cs="Arial"/>
                <w:lang w:val="fr-FR"/>
              </w:rPr>
            </w:pPr>
          </w:p>
        </w:tc>
      </w:tr>
    </w:tbl>
    <w:p w14:paraId="76383CBF" w14:textId="77777777" w:rsidR="00C21BDD" w:rsidRPr="005A76D3" w:rsidRDefault="00C21BDD" w:rsidP="00C21BDD">
      <w:pPr>
        <w:pStyle w:val="SingleTxtG"/>
        <w:spacing w:before="120"/>
        <w:ind w:left="2268" w:hanging="1134"/>
        <w:rPr>
          <w:i/>
          <w:iCs/>
        </w:rPr>
      </w:pPr>
      <w:r w:rsidRPr="005A76D3">
        <w:rPr>
          <w:i/>
          <w:iCs/>
        </w:rPr>
        <w:t>(Document de référence : document informel INF.12, partie A)</w:t>
      </w:r>
    </w:p>
    <w:p w14:paraId="667F6A2A" w14:textId="77777777" w:rsidR="00C21BDD" w:rsidRPr="005A76D3" w:rsidRDefault="00C21BDD" w:rsidP="00C21BDD">
      <w:pPr>
        <w:pStyle w:val="H1G"/>
        <w:rPr>
          <w:lang w:val="fr-FR"/>
        </w:rPr>
      </w:pPr>
      <w:r w:rsidRPr="005A76D3">
        <w:rPr>
          <w:lang w:val="fr-FR"/>
        </w:rPr>
        <w:tab/>
      </w:r>
      <w:r w:rsidRPr="005A76D3">
        <w:rPr>
          <w:lang w:val="fr-FR"/>
        </w:rPr>
        <w:tab/>
        <w:t>Document informel INF.15 adopté.</w:t>
      </w:r>
    </w:p>
    <w:p w14:paraId="75AFA2E7" w14:textId="77777777" w:rsidR="00C21BDD" w:rsidRPr="005A76D3" w:rsidRDefault="00C21BDD">
      <w:pPr>
        <w:rPr>
          <w:b/>
          <w:sz w:val="28"/>
          <w:lang w:val="fr-FR"/>
        </w:rPr>
      </w:pPr>
      <w:r w:rsidRPr="005A76D3">
        <w:rPr>
          <w:lang w:val="fr-FR"/>
        </w:rPr>
        <w:br w:type="page"/>
      </w:r>
    </w:p>
    <w:p w14:paraId="0FFBBF99" w14:textId="77777777" w:rsidR="00C21BDD" w:rsidRPr="005A76D3" w:rsidRDefault="00C21BDD" w:rsidP="00C21BDD">
      <w:pPr>
        <w:pStyle w:val="HChG"/>
        <w:rPr>
          <w:lang w:val="fr-FR"/>
        </w:rPr>
      </w:pPr>
      <w:r w:rsidRPr="005A76D3">
        <w:rPr>
          <w:lang w:val="fr-FR"/>
        </w:rPr>
        <w:lastRenderedPageBreak/>
        <w:t>Annexe III</w:t>
      </w:r>
    </w:p>
    <w:p w14:paraId="4118B3FC" w14:textId="6183C50F" w:rsidR="00C21BDD" w:rsidRPr="005A76D3" w:rsidRDefault="00C21BDD" w:rsidP="00C21BDD">
      <w:pPr>
        <w:pStyle w:val="HChG"/>
      </w:pPr>
      <w:r w:rsidRPr="005A76D3">
        <w:rPr>
          <w:lang w:val="fr-FR"/>
        </w:rPr>
        <w:tab/>
      </w:r>
      <w:r w:rsidRPr="005A76D3">
        <w:rPr>
          <w:lang w:val="fr-FR"/>
        </w:rPr>
        <w:tab/>
        <w:t>Corrections</w:t>
      </w:r>
      <w:r w:rsidRPr="005A76D3">
        <w:t xml:space="preserve"> </w:t>
      </w:r>
      <w:r w:rsidRPr="005A76D3">
        <w:rPr>
          <w:rStyle w:val="ui-provider"/>
        </w:rPr>
        <w:t>au document ECE/TRANS/WP.15/265</w:t>
      </w:r>
    </w:p>
    <w:p w14:paraId="658359B2" w14:textId="77777777" w:rsidR="00C21BDD" w:rsidRPr="005A76D3" w:rsidRDefault="00C21BDD" w:rsidP="00C21BDD">
      <w:pPr>
        <w:pStyle w:val="SingleTxtG"/>
        <w:rPr>
          <w:b/>
          <w:bCs/>
        </w:rPr>
      </w:pPr>
      <w:r w:rsidRPr="005A76D3">
        <w:rPr>
          <w:b/>
          <w:bCs/>
        </w:rPr>
        <w:t>Chapitre 7.3, 7.3.3.2.7, nouveau AP11, points 4 et 4.5</w:t>
      </w:r>
    </w:p>
    <w:p w14:paraId="7B14EA09" w14:textId="77777777" w:rsidR="00C21BDD" w:rsidRPr="005A76D3" w:rsidRDefault="00C21BDD" w:rsidP="00C21BDD">
      <w:pPr>
        <w:pStyle w:val="SingleTxtG"/>
      </w:pPr>
      <w:r w:rsidRPr="005A76D3">
        <w:rPr>
          <w:i/>
          <w:iCs/>
        </w:rPr>
        <w:t xml:space="preserve">Au lieu de </w:t>
      </w:r>
      <w:r w:rsidRPr="005A76D3">
        <w:t xml:space="preserve">EN 12972:2018 </w:t>
      </w:r>
      <w:r w:rsidRPr="005A76D3">
        <w:rPr>
          <w:i/>
          <w:iCs/>
        </w:rPr>
        <w:t xml:space="preserve">lire </w:t>
      </w:r>
      <w:r w:rsidRPr="005A76D3">
        <w:t>EN 12972:2018 + A1:2024</w:t>
      </w:r>
    </w:p>
    <w:p w14:paraId="6C635C72" w14:textId="77777777" w:rsidR="00C21BDD" w:rsidRPr="005A76D3" w:rsidRDefault="00C21BDD" w:rsidP="00C21BDD">
      <w:pPr>
        <w:pStyle w:val="SingleTxtG"/>
        <w:rPr>
          <w:b/>
          <w:bCs/>
        </w:rPr>
      </w:pPr>
      <w:r w:rsidRPr="005A76D3">
        <w:rPr>
          <w:b/>
          <w:bCs/>
        </w:rPr>
        <w:t>Chapitre 9.7, amendement au 9.7.8</w:t>
      </w:r>
    </w:p>
    <w:p w14:paraId="3ADE60F3" w14:textId="77777777" w:rsidR="00C21BDD" w:rsidRPr="005A76D3" w:rsidRDefault="00C21BDD" w:rsidP="00C21BDD">
      <w:pPr>
        <w:pStyle w:val="SingleTxtG"/>
        <w:rPr>
          <w:i/>
          <w:iCs/>
        </w:rPr>
      </w:pPr>
      <w:r w:rsidRPr="005A76D3">
        <w:rPr>
          <w:i/>
          <w:iCs/>
        </w:rPr>
        <w:t>Supprimer</w:t>
      </w:r>
    </w:p>
    <w:p w14:paraId="003A1489" w14:textId="77777777" w:rsidR="00C21BDD" w:rsidRPr="005A76D3" w:rsidRDefault="00C21BDD" w:rsidP="00C21BDD">
      <w:pPr>
        <w:pStyle w:val="SingleTxtG"/>
        <w:tabs>
          <w:tab w:val="clear" w:pos="1701"/>
        </w:tabs>
        <w:rPr>
          <w:i/>
          <w:iCs/>
        </w:rPr>
      </w:pPr>
      <w:r w:rsidRPr="005A76D3">
        <w:rPr>
          <w:i/>
          <w:iCs/>
        </w:rPr>
        <w:t>(Document de référence : ECE/TRANS/WP.15/2024/5, tel que modifié)</w:t>
      </w:r>
    </w:p>
    <w:p w14:paraId="4F327F78" w14:textId="172BAEB6" w:rsidR="00C21BDD" w:rsidRPr="005A76D3" w:rsidRDefault="00C21BDD" w:rsidP="00C21BDD">
      <w:pPr>
        <w:pStyle w:val="H1G"/>
        <w:rPr>
          <w:lang w:val="fr-FR"/>
        </w:rPr>
      </w:pPr>
      <w:r w:rsidRPr="005A76D3">
        <w:rPr>
          <w:lang w:val="fr-FR"/>
        </w:rPr>
        <w:tab/>
      </w:r>
      <w:r w:rsidRPr="005A76D3">
        <w:rPr>
          <w:lang w:val="fr-FR"/>
        </w:rPr>
        <w:tab/>
        <w:t>Document informel INF.12, partie B adopté avec la correction suivante pour la version française :</w:t>
      </w:r>
    </w:p>
    <w:p w14:paraId="5F51052C" w14:textId="77777777" w:rsidR="00C21BDD" w:rsidRPr="00AC264C" w:rsidRDefault="00C21BDD" w:rsidP="00C21BDD">
      <w:pPr>
        <w:pStyle w:val="SingleTxtG"/>
      </w:pPr>
      <w:r w:rsidRPr="005A76D3">
        <w:t>Dans le texte du 2.1.5.2 tel que corrigé, dans la troisième phrase, au lieu de « et au sodium ionique » lire « ou au sodium ionique » (deux fois).</w:t>
      </w:r>
    </w:p>
    <w:p w14:paraId="2C95797D" w14:textId="101BD5AB" w:rsidR="00076A76" w:rsidRPr="00C21BDD" w:rsidRDefault="00C21BDD" w:rsidP="00C21BDD">
      <w:pPr>
        <w:spacing w:before="240"/>
        <w:jc w:val="center"/>
        <w:rPr>
          <w:u w:val="single"/>
          <w:lang w:val="fr-FR"/>
        </w:rPr>
      </w:pPr>
      <w:r>
        <w:rPr>
          <w:u w:val="single"/>
          <w:lang w:val="fr-FR"/>
        </w:rPr>
        <w:tab/>
      </w:r>
      <w:r>
        <w:rPr>
          <w:u w:val="single"/>
          <w:lang w:val="fr-FR"/>
        </w:rPr>
        <w:tab/>
      </w:r>
      <w:r>
        <w:rPr>
          <w:u w:val="single"/>
          <w:lang w:val="fr-FR"/>
        </w:rPr>
        <w:tab/>
      </w:r>
    </w:p>
    <w:p w14:paraId="5962E5A6" w14:textId="77777777" w:rsidR="00C1626B" w:rsidRPr="00A72344" w:rsidRDefault="00C1626B" w:rsidP="00076A76"/>
    <w:sectPr w:rsidR="00C1626B" w:rsidRPr="00A72344" w:rsidSect="00A72344">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C3B95" w14:textId="77777777" w:rsidR="00E92D9E" w:rsidRDefault="00E92D9E" w:rsidP="00F95C08">
      <w:pPr>
        <w:spacing w:line="240" w:lineRule="auto"/>
      </w:pPr>
    </w:p>
  </w:endnote>
  <w:endnote w:type="continuationSeparator" w:id="0">
    <w:p w14:paraId="1BF7DE8C" w14:textId="77777777" w:rsidR="00E92D9E" w:rsidRPr="00AC3823" w:rsidRDefault="00E92D9E" w:rsidP="00AC3823">
      <w:pPr>
        <w:pStyle w:val="Pieddepage"/>
      </w:pPr>
    </w:p>
  </w:endnote>
  <w:endnote w:type="continuationNotice" w:id="1">
    <w:p w14:paraId="0D11D464" w14:textId="77777777" w:rsidR="00E92D9E" w:rsidRDefault="00E92D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54AE" w14:textId="77777777" w:rsidR="00A72344" w:rsidRPr="00A72344" w:rsidRDefault="00A72344" w:rsidP="00A72344">
    <w:pPr>
      <w:pStyle w:val="Pieddepage"/>
      <w:tabs>
        <w:tab w:val="right" w:pos="9638"/>
      </w:tabs>
      <w:rPr>
        <w:sz w:val="18"/>
      </w:rPr>
    </w:pPr>
    <w:r w:rsidRPr="00A72344">
      <w:rPr>
        <w:b/>
        <w:sz w:val="18"/>
      </w:rPr>
      <w:fldChar w:fldCharType="begin"/>
    </w:r>
    <w:r w:rsidRPr="00A72344">
      <w:rPr>
        <w:b/>
        <w:sz w:val="18"/>
      </w:rPr>
      <w:instrText xml:space="preserve"> PAGE  \* MERGEFORMAT </w:instrText>
    </w:r>
    <w:r w:rsidRPr="00A72344">
      <w:rPr>
        <w:b/>
        <w:sz w:val="18"/>
      </w:rPr>
      <w:fldChar w:fldCharType="separate"/>
    </w:r>
    <w:r w:rsidRPr="00A72344">
      <w:rPr>
        <w:b/>
        <w:noProof/>
        <w:sz w:val="18"/>
      </w:rPr>
      <w:t>2</w:t>
    </w:r>
    <w:r w:rsidRPr="00A7234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CE58" w14:textId="77777777" w:rsidR="00A72344" w:rsidRPr="00A72344" w:rsidRDefault="00A72344" w:rsidP="00A72344">
    <w:pPr>
      <w:pStyle w:val="Pieddepage"/>
      <w:tabs>
        <w:tab w:val="right" w:pos="9638"/>
      </w:tabs>
      <w:rPr>
        <w:b/>
        <w:sz w:val="18"/>
      </w:rPr>
    </w:pPr>
    <w:r>
      <w:tab/>
    </w:r>
    <w:r w:rsidRPr="00A72344">
      <w:rPr>
        <w:b/>
        <w:sz w:val="18"/>
      </w:rPr>
      <w:fldChar w:fldCharType="begin"/>
    </w:r>
    <w:r w:rsidRPr="00A72344">
      <w:rPr>
        <w:b/>
        <w:sz w:val="18"/>
      </w:rPr>
      <w:instrText xml:space="preserve"> PAGE  \* MERGEFORMAT </w:instrText>
    </w:r>
    <w:r w:rsidRPr="00A72344">
      <w:rPr>
        <w:b/>
        <w:sz w:val="18"/>
      </w:rPr>
      <w:fldChar w:fldCharType="separate"/>
    </w:r>
    <w:r w:rsidRPr="00A72344">
      <w:rPr>
        <w:b/>
        <w:noProof/>
        <w:sz w:val="18"/>
      </w:rPr>
      <w:t>3</w:t>
    </w:r>
    <w:r w:rsidRPr="00A7234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7FCE" w14:textId="7ADAC011" w:rsidR="000D3EE9" w:rsidRPr="003F488C" w:rsidRDefault="003F488C" w:rsidP="003F488C">
    <w:pPr>
      <w:pStyle w:val="Pieddepage"/>
      <w:tabs>
        <w:tab w:val="left" w:pos="6520"/>
        <w:tab w:val="right" w:pos="9638"/>
      </w:tabs>
      <w:spacing w:before="120"/>
      <w:rPr>
        <w:sz w:val="20"/>
      </w:rPr>
    </w:pPr>
    <w:r>
      <w:rPr>
        <w:sz w:val="20"/>
      </w:rPr>
      <w:t>GE.24-06993  (F)</w:t>
    </w:r>
    <w:bookmarkStart w:id="4" w:name="_GoBack"/>
    <w:bookmarkEnd w:id="4"/>
    <w:r>
      <w:rPr>
        <w:sz w:val="20"/>
      </w:rPr>
      <w:tab/>
    </w:r>
    <w:r w:rsidRPr="003F488C">
      <w:rPr>
        <w:noProof/>
        <w:sz w:val="20"/>
        <w:lang w:eastAsia="fr-CH"/>
      </w:rPr>
      <w:drawing>
        <wp:inline distT="0" distB="0" distL="0" distR="0" wp14:anchorId="5594A02C" wp14:editId="41D19678">
          <wp:extent cx="1105200" cy="234000"/>
          <wp:effectExtent l="0" t="0" r="0" b="0"/>
          <wp:docPr id="1"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3A96594B" wp14:editId="4E6D2205">
          <wp:extent cx="628650" cy="628650"/>
          <wp:effectExtent l="0" t="0" r="0" b="0"/>
          <wp:docPr id="9231592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6C86" w14:textId="77777777" w:rsidR="00E92D9E" w:rsidRPr="00AC3823" w:rsidRDefault="00E92D9E" w:rsidP="00AC3823">
      <w:pPr>
        <w:pStyle w:val="Pieddepage"/>
        <w:tabs>
          <w:tab w:val="right" w:pos="2155"/>
        </w:tabs>
        <w:spacing w:after="80" w:line="240" w:lineRule="atLeast"/>
        <w:ind w:left="680"/>
        <w:rPr>
          <w:u w:val="single"/>
        </w:rPr>
      </w:pPr>
      <w:r>
        <w:rPr>
          <w:u w:val="single"/>
        </w:rPr>
        <w:tab/>
      </w:r>
    </w:p>
  </w:footnote>
  <w:footnote w:type="continuationSeparator" w:id="0">
    <w:p w14:paraId="7207B330" w14:textId="77777777" w:rsidR="00E92D9E" w:rsidRPr="00AC3823" w:rsidRDefault="00E92D9E" w:rsidP="00AC3823">
      <w:pPr>
        <w:pStyle w:val="Pieddepage"/>
        <w:tabs>
          <w:tab w:val="right" w:pos="2155"/>
        </w:tabs>
        <w:spacing w:after="80" w:line="240" w:lineRule="atLeast"/>
        <w:ind w:left="680"/>
        <w:rPr>
          <w:u w:val="single"/>
        </w:rPr>
      </w:pPr>
      <w:r>
        <w:rPr>
          <w:u w:val="single"/>
        </w:rPr>
        <w:tab/>
      </w:r>
    </w:p>
  </w:footnote>
  <w:footnote w:type="continuationNotice" w:id="1">
    <w:p w14:paraId="30C94D3B" w14:textId="77777777" w:rsidR="00E92D9E" w:rsidRPr="00AC3823" w:rsidRDefault="00E92D9E">
      <w:pPr>
        <w:spacing w:line="240" w:lineRule="auto"/>
        <w:rPr>
          <w:sz w:val="2"/>
          <w:szCs w:val="2"/>
        </w:rPr>
      </w:pPr>
    </w:p>
  </w:footnote>
  <w:footnote w:id="2">
    <w:p w14:paraId="2CF4D65E" w14:textId="3FA34644" w:rsidR="00C96375" w:rsidRDefault="00C96375" w:rsidP="00C96375">
      <w:pPr>
        <w:pStyle w:val="Notedebasdepage"/>
        <w:widowControl w:val="0"/>
        <w:tabs>
          <w:tab w:val="clear" w:pos="1021"/>
          <w:tab w:val="right" w:pos="1020"/>
        </w:tabs>
        <w:suppressAutoHyphens/>
      </w:pPr>
      <w:r>
        <w:tab/>
      </w:r>
      <w:r>
        <w:rPr>
          <w:rStyle w:val="Appelnotedebasdep"/>
        </w:rPr>
        <w:footnoteRef/>
      </w:r>
      <w:r>
        <w:tab/>
      </w:r>
      <w:r w:rsidR="00AA09E9" w:rsidRPr="00822281">
        <w:t>Diffusé par l</w:t>
      </w:r>
      <w:r w:rsidR="00AA09E9">
        <w:t>’</w:t>
      </w:r>
      <w:r w:rsidR="00AA09E9" w:rsidRPr="00822281">
        <w:t xml:space="preserve">Organisation intergouvernementale pour les transports internationaux ferroviaires (OTIF) sous la cote </w:t>
      </w:r>
      <w:r w:rsidR="00046417" w:rsidRPr="001B528F">
        <w:rPr>
          <w:color w:val="1F497D"/>
          <w:lang w:eastAsia="en-US"/>
        </w:rPr>
        <w:t>OTIF/RID/RC/2024-A</w:t>
      </w:r>
      <w:r w:rsidR="0004641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845B" w14:textId="26ABC986" w:rsidR="00A72344" w:rsidRPr="00A72344" w:rsidRDefault="00383C47">
    <w:pPr>
      <w:pStyle w:val="En-tte"/>
    </w:pPr>
    <w:r>
      <w:fldChar w:fldCharType="begin"/>
    </w:r>
    <w:r>
      <w:instrText xml:space="preserve"> TITLE  \* MERGEFORMAT </w:instrText>
    </w:r>
    <w:r>
      <w:fldChar w:fldCharType="separate"/>
    </w:r>
    <w:r>
      <w:t>ECE/TRANS/WP.15/267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BF1F" w14:textId="7F2CF872" w:rsidR="00A72344" w:rsidRPr="00A72344" w:rsidRDefault="00383C47" w:rsidP="00A72344">
    <w:pPr>
      <w:pStyle w:val="En-tte"/>
      <w:jc w:val="right"/>
    </w:pPr>
    <w:r>
      <w:fldChar w:fldCharType="begin"/>
    </w:r>
    <w:r>
      <w:instrText xml:space="preserve"> TITLE  \* MERGEFORMAT </w:instrText>
    </w:r>
    <w:r>
      <w:fldChar w:fldCharType="separate"/>
    </w:r>
    <w:r>
      <w:t>ECE/TRANS/WP.15/267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17974244">
    <w:abstractNumId w:val="12"/>
  </w:num>
  <w:num w:numId="2" w16cid:durableId="1979214681">
    <w:abstractNumId w:val="11"/>
  </w:num>
  <w:num w:numId="3" w16cid:durableId="432895584">
    <w:abstractNumId w:val="10"/>
  </w:num>
  <w:num w:numId="4" w16cid:durableId="2129006125">
    <w:abstractNumId w:val="8"/>
  </w:num>
  <w:num w:numId="5" w16cid:durableId="967395173">
    <w:abstractNumId w:val="3"/>
  </w:num>
  <w:num w:numId="6" w16cid:durableId="583294644">
    <w:abstractNumId w:val="2"/>
  </w:num>
  <w:num w:numId="7" w16cid:durableId="247889374">
    <w:abstractNumId w:val="1"/>
  </w:num>
  <w:num w:numId="8" w16cid:durableId="932317561">
    <w:abstractNumId w:val="0"/>
  </w:num>
  <w:num w:numId="9" w16cid:durableId="1727215450">
    <w:abstractNumId w:val="9"/>
  </w:num>
  <w:num w:numId="10" w16cid:durableId="1533882416">
    <w:abstractNumId w:val="7"/>
  </w:num>
  <w:num w:numId="11" w16cid:durableId="838302544">
    <w:abstractNumId w:val="6"/>
  </w:num>
  <w:num w:numId="12" w16cid:durableId="992681605">
    <w:abstractNumId w:val="5"/>
  </w:num>
  <w:num w:numId="13" w16cid:durableId="163198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A72344"/>
    <w:rsid w:val="000025C3"/>
    <w:rsid w:val="0001207F"/>
    <w:rsid w:val="00017F94"/>
    <w:rsid w:val="000220CB"/>
    <w:rsid w:val="00023842"/>
    <w:rsid w:val="000334F9"/>
    <w:rsid w:val="0004639C"/>
    <w:rsid w:val="00046417"/>
    <w:rsid w:val="00075DF0"/>
    <w:rsid w:val="00076A76"/>
    <w:rsid w:val="0007796D"/>
    <w:rsid w:val="00092A87"/>
    <w:rsid w:val="000942EE"/>
    <w:rsid w:val="000A52BF"/>
    <w:rsid w:val="000B7790"/>
    <w:rsid w:val="000D3EE9"/>
    <w:rsid w:val="000D62F3"/>
    <w:rsid w:val="000E7E2F"/>
    <w:rsid w:val="00111F2F"/>
    <w:rsid w:val="00133367"/>
    <w:rsid w:val="00141153"/>
    <w:rsid w:val="001419B0"/>
    <w:rsid w:val="001433FD"/>
    <w:rsid w:val="0014365E"/>
    <w:rsid w:val="001541D3"/>
    <w:rsid w:val="00155B8B"/>
    <w:rsid w:val="00156B77"/>
    <w:rsid w:val="00176178"/>
    <w:rsid w:val="00177140"/>
    <w:rsid w:val="001B528F"/>
    <w:rsid w:val="001C2C7A"/>
    <w:rsid w:val="001C4C87"/>
    <w:rsid w:val="001D400F"/>
    <w:rsid w:val="001F525A"/>
    <w:rsid w:val="001F6F08"/>
    <w:rsid w:val="00206889"/>
    <w:rsid w:val="00207260"/>
    <w:rsid w:val="00223272"/>
    <w:rsid w:val="00232168"/>
    <w:rsid w:val="00240333"/>
    <w:rsid w:val="0024779E"/>
    <w:rsid w:val="00264DCE"/>
    <w:rsid w:val="002832AC"/>
    <w:rsid w:val="002833BC"/>
    <w:rsid w:val="00283672"/>
    <w:rsid w:val="002D7C93"/>
    <w:rsid w:val="00336BEA"/>
    <w:rsid w:val="0037241C"/>
    <w:rsid w:val="0037375D"/>
    <w:rsid w:val="003819FF"/>
    <w:rsid w:val="00383C47"/>
    <w:rsid w:val="003A442D"/>
    <w:rsid w:val="003B41E0"/>
    <w:rsid w:val="003F1ED9"/>
    <w:rsid w:val="003F3EE9"/>
    <w:rsid w:val="003F488C"/>
    <w:rsid w:val="00404DD7"/>
    <w:rsid w:val="00441C3B"/>
    <w:rsid w:val="0044370C"/>
    <w:rsid w:val="00446B0A"/>
    <w:rsid w:val="00446FE5"/>
    <w:rsid w:val="00452396"/>
    <w:rsid w:val="00471288"/>
    <w:rsid w:val="00495128"/>
    <w:rsid w:val="0049687C"/>
    <w:rsid w:val="004A7CA7"/>
    <w:rsid w:val="004B50C2"/>
    <w:rsid w:val="004D0F12"/>
    <w:rsid w:val="004E3B25"/>
    <w:rsid w:val="004E468C"/>
    <w:rsid w:val="004E4D20"/>
    <w:rsid w:val="005316B0"/>
    <w:rsid w:val="005378BF"/>
    <w:rsid w:val="00544AAB"/>
    <w:rsid w:val="005505B7"/>
    <w:rsid w:val="00573BE5"/>
    <w:rsid w:val="00586ED3"/>
    <w:rsid w:val="00596AA9"/>
    <w:rsid w:val="005A76D3"/>
    <w:rsid w:val="005B4D0F"/>
    <w:rsid w:val="005E1A31"/>
    <w:rsid w:val="005F0B51"/>
    <w:rsid w:val="005F4D4F"/>
    <w:rsid w:val="005F7B9C"/>
    <w:rsid w:val="00625C7F"/>
    <w:rsid w:val="006304E0"/>
    <w:rsid w:val="006F0548"/>
    <w:rsid w:val="00703D0F"/>
    <w:rsid w:val="00706363"/>
    <w:rsid w:val="007158BB"/>
    <w:rsid w:val="0071601D"/>
    <w:rsid w:val="007353F6"/>
    <w:rsid w:val="0075410D"/>
    <w:rsid w:val="00757074"/>
    <w:rsid w:val="0078424E"/>
    <w:rsid w:val="007A62E6"/>
    <w:rsid w:val="007B2E14"/>
    <w:rsid w:val="007D61E3"/>
    <w:rsid w:val="007D6881"/>
    <w:rsid w:val="007E42F2"/>
    <w:rsid w:val="007E76C9"/>
    <w:rsid w:val="007F43B9"/>
    <w:rsid w:val="0080684C"/>
    <w:rsid w:val="00816045"/>
    <w:rsid w:val="008204DA"/>
    <w:rsid w:val="008424C9"/>
    <w:rsid w:val="00844232"/>
    <w:rsid w:val="008535AD"/>
    <w:rsid w:val="00861F66"/>
    <w:rsid w:val="00871C75"/>
    <w:rsid w:val="008767E8"/>
    <w:rsid w:val="008776DC"/>
    <w:rsid w:val="00883605"/>
    <w:rsid w:val="008E6043"/>
    <w:rsid w:val="009215D7"/>
    <w:rsid w:val="009525DA"/>
    <w:rsid w:val="00961E7B"/>
    <w:rsid w:val="009705C8"/>
    <w:rsid w:val="0098507E"/>
    <w:rsid w:val="009B740E"/>
    <w:rsid w:val="009C1CF4"/>
    <w:rsid w:val="009C52F1"/>
    <w:rsid w:val="009F02C9"/>
    <w:rsid w:val="009F443D"/>
    <w:rsid w:val="00A138C6"/>
    <w:rsid w:val="00A30353"/>
    <w:rsid w:val="00A62D91"/>
    <w:rsid w:val="00A70381"/>
    <w:rsid w:val="00A72344"/>
    <w:rsid w:val="00A8010E"/>
    <w:rsid w:val="00A90D54"/>
    <w:rsid w:val="00AA09E9"/>
    <w:rsid w:val="00AA113A"/>
    <w:rsid w:val="00AA28D8"/>
    <w:rsid w:val="00AC264C"/>
    <w:rsid w:val="00AC3823"/>
    <w:rsid w:val="00AD4C78"/>
    <w:rsid w:val="00AE323C"/>
    <w:rsid w:val="00AF1A34"/>
    <w:rsid w:val="00AF774C"/>
    <w:rsid w:val="00B00181"/>
    <w:rsid w:val="00B00B0D"/>
    <w:rsid w:val="00B100B7"/>
    <w:rsid w:val="00B1700C"/>
    <w:rsid w:val="00B22DE0"/>
    <w:rsid w:val="00B247C1"/>
    <w:rsid w:val="00B40927"/>
    <w:rsid w:val="00B50E25"/>
    <w:rsid w:val="00B64918"/>
    <w:rsid w:val="00B719A2"/>
    <w:rsid w:val="00B765F7"/>
    <w:rsid w:val="00B833C8"/>
    <w:rsid w:val="00B97B87"/>
    <w:rsid w:val="00BA0CA9"/>
    <w:rsid w:val="00C02897"/>
    <w:rsid w:val="00C1626B"/>
    <w:rsid w:val="00C17632"/>
    <w:rsid w:val="00C21BDD"/>
    <w:rsid w:val="00C553A0"/>
    <w:rsid w:val="00C66A47"/>
    <w:rsid w:val="00C67E2C"/>
    <w:rsid w:val="00C7616F"/>
    <w:rsid w:val="00C96375"/>
    <w:rsid w:val="00CA307F"/>
    <w:rsid w:val="00CB16B5"/>
    <w:rsid w:val="00CE0608"/>
    <w:rsid w:val="00CE205C"/>
    <w:rsid w:val="00CE7F3F"/>
    <w:rsid w:val="00D237F4"/>
    <w:rsid w:val="00D3439C"/>
    <w:rsid w:val="00D44CF3"/>
    <w:rsid w:val="00D46C8C"/>
    <w:rsid w:val="00D65E6D"/>
    <w:rsid w:val="00DB1831"/>
    <w:rsid w:val="00DD3BFD"/>
    <w:rsid w:val="00DD5C82"/>
    <w:rsid w:val="00DE239D"/>
    <w:rsid w:val="00DF3FAA"/>
    <w:rsid w:val="00DF431C"/>
    <w:rsid w:val="00DF6678"/>
    <w:rsid w:val="00E368F7"/>
    <w:rsid w:val="00E4161E"/>
    <w:rsid w:val="00E428C8"/>
    <w:rsid w:val="00E71522"/>
    <w:rsid w:val="00E858F8"/>
    <w:rsid w:val="00E92D9E"/>
    <w:rsid w:val="00EC031B"/>
    <w:rsid w:val="00EF2E22"/>
    <w:rsid w:val="00F0592C"/>
    <w:rsid w:val="00F06ED4"/>
    <w:rsid w:val="00F108FE"/>
    <w:rsid w:val="00F17BC4"/>
    <w:rsid w:val="00F43289"/>
    <w:rsid w:val="00F660DF"/>
    <w:rsid w:val="00F95C08"/>
    <w:rsid w:val="00FC6F94"/>
    <w:rsid w:val="00FD1581"/>
    <w:rsid w:val="00FF77F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6FFD2"/>
  <w15:docId w15:val="{40BBF6B2-0990-49D8-82AE-82244466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F7"/>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qFormat/>
    <w:rsid w:val="0001207F"/>
  </w:style>
  <w:style w:type="character" w:customStyle="1" w:styleId="HChGChar">
    <w:name w:val="_ H _Ch_G Char"/>
    <w:link w:val="HChG"/>
    <w:rsid w:val="0001207F"/>
    <w:rPr>
      <w:b/>
      <w:sz w:val="28"/>
    </w:rPr>
  </w:style>
  <w:style w:type="character" w:customStyle="1" w:styleId="H1GChar">
    <w:name w:val="_ H_1_G Char"/>
    <w:link w:val="H1G"/>
    <w:qFormat/>
    <w:rsid w:val="00207260"/>
    <w:rPr>
      <w:b/>
      <w:sz w:val="24"/>
    </w:rPr>
  </w:style>
  <w:style w:type="character" w:customStyle="1" w:styleId="H23GChar">
    <w:name w:val="_ H_2/3_G Char"/>
    <w:link w:val="H23G"/>
    <w:rsid w:val="007F43B9"/>
    <w:rPr>
      <w:b/>
    </w:rPr>
  </w:style>
  <w:style w:type="paragraph" w:styleId="Rvision">
    <w:name w:val="Revision"/>
    <w:hidden/>
    <w:uiPriority w:val="99"/>
    <w:semiHidden/>
    <w:rsid w:val="006304E0"/>
    <w:pPr>
      <w:spacing w:line="240" w:lineRule="auto"/>
    </w:pPr>
  </w:style>
  <w:style w:type="character" w:customStyle="1" w:styleId="ui-provider">
    <w:name w:val="ui-provider"/>
    <w:basedOn w:val="Policepardfaut"/>
    <w:rsid w:val="00E4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 w:id="18752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sion\United%20Nations\UNOG_DCM-Macros%20-%20UNECE\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Sabrina Mansion</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8DB0A-CA07-425D-B42F-0C8666C37185}"/>
</file>

<file path=customXml/itemProps2.xml><?xml version="1.0" encoding="utf-8"?>
<ds:datastoreItem xmlns:ds="http://schemas.openxmlformats.org/officeDocument/2006/customXml" ds:itemID="{9BC14563-ACB7-44AD-B0EF-E55148CFDD3D}">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81307320-C528-4032-AB5A-73B861CDA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TRANS_WP1_24_F.dotm</Template>
  <TotalTime>1</TotalTime>
  <Pages>17</Pages>
  <Words>6155</Words>
  <Characters>33118</Characters>
  <Application>Microsoft Office Word</Application>
  <DocSecurity>0</DocSecurity>
  <Lines>704</Lines>
  <Paragraphs>409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ECE/TRANS/WP.15/267</vt:lpstr>
      <vt:lpstr>ECE/EX/22</vt:lpstr>
    </vt:vector>
  </TitlesOfParts>
  <Company>DCM</Company>
  <LinksUpToDate>false</LinksUpToDate>
  <CharactersWithSpaces>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ECE/TRANS/WP.15/267</dc:title>
  <dc:subject>FINAL</dc:subject>
  <dc:creator>Sabrina Mansion</dc:creator>
  <cp:keywords/>
  <dc:description/>
  <cp:lastModifiedBy>Julien OKRZESIK</cp:lastModifiedBy>
  <cp:revision>3</cp:revision>
  <cp:lastPrinted>2024-04-17T10:23:00Z</cp:lastPrinted>
  <dcterms:created xsi:type="dcterms:W3CDTF">2024-04-17T10:22:00Z</dcterms:created>
  <dcterms:modified xsi:type="dcterms:W3CDTF">2024-04-17T10:26:00Z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