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8459B" w14:paraId="6679B379" w14:textId="77777777" w:rsidTr="00B20551">
        <w:trPr>
          <w:cantSplit/>
          <w:trHeight w:hRule="exact" w:val="851"/>
        </w:trPr>
        <w:tc>
          <w:tcPr>
            <w:tcW w:w="1276" w:type="dxa"/>
            <w:tcBorders>
              <w:bottom w:val="single" w:sz="4" w:space="0" w:color="auto"/>
            </w:tcBorders>
            <w:vAlign w:val="bottom"/>
          </w:tcPr>
          <w:p w14:paraId="54D0AB50" w14:textId="77777777" w:rsidR="009E6CB7" w:rsidRPr="00011231" w:rsidRDefault="009E6CB7" w:rsidP="00B20551">
            <w:pPr>
              <w:spacing w:after="80"/>
            </w:pPr>
          </w:p>
        </w:tc>
        <w:tc>
          <w:tcPr>
            <w:tcW w:w="2268" w:type="dxa"/>
            <w:tcBorders>
              <w:bottom w:val="single" w:sz="4" w:space="0" w:color="auto"/>
            </w:tcBorders>
            <w:vAlign w:val="bottom"/>
          </w:tcPr>
          <w:p w14:paraId="64490DBA" w14:textId="77777777" w:rsidR="009E6CB7" w:rsidRPr="0038459B" w:rsidRDefault="009E6CB7" w:rsidP="00B20551">
            <w:pPr>
              <w:spacing w:after="80" w:line="300" w:lineRule="exact"/>
              <w:rPr>
                <w:b/>
                <w:sz w:val="24"/>
                <w:szCs w:val="24"/>
              </w:rPr>
            </w:pPr>
            <w:r w:rsidRPr="0038459B">
              <w:rPr>
                <w:sz w:val="28"/>
                <w:szCs w:val="28"/>
              </w:rPr>
              <w:t>United Nations</w:t>
            </w:r>
          </w:p>
        </w:tc>
        <w:tc>
          <w:tcPr>
            <w:tcW w:w="6095" w:type="dxa"/>
            <w:gridSpan w:val="2"/>
            <w:tcBorders>
              <w:bottom w:val="single" w:sz="4" w:space="0" w:color="auto"/>
            </w:tcBorders>
            <w:vAlign w:val="bottom"/>
          </w:tcPr>
          <w:p w14:paraId="61A08776" w14:textId="674D93D2" w:rsidR="009E6CB7" w:rsidRPr="0038459B" w:rsidRDefault="0089518A" w:rsidP="0089518A">
            <w:pPr>
              <w:jc w:val="right"/>
            </w:pPr>
            <w:r w:rsidRPr="0038459B">
              <w:rPr>
                <w:sz w:val="40"/>
              </w:rPr>
              <w:t>ECE</w:t>
            </w:r>
            <w:r w:rsidRPr="0038459B">
              <w:t>/TRANS/WP.15/267</w:t>
            </w:r>
          </w:p>
        </w:tc>
      </w:tr>
      <w:tr w:rsidR="009E6CB7" w:rsidRPr="0038459B" w14:paraId="77886CEB" w14:textId="77777777" w:rsidTr="00B20551">
        <w:trPr>
          <w:cantSplit/>
          <w:trHeight w:hRule="exact" w:val="2835"/>
        </w:trPr>
        <w:tc>
          <w:tcPr>
            <w:tcW w:w="1276" w:type="dxa"/>
            <w:tcBorders>
              <w:top w:val="single" w:sz="4" w:space="0" w:color="auto"/>
              <w:bottom w:val="single" w:sz="12" w:space="0" w:color="auto"/>
            </w:tcBorders>
          </w:tcPr>
          <w:p w14:paraId="65E72197" w14:textId="77777777" w:rsidR="009E6CB7" w:rsidRPr="0038459B" w:rsidRDefault="00686A48" w:rsidP="00B20551">
            <w:pPr>
              <w:spacing w:before="120"/>
            </w:pPr>
            <w:r w:rsidRPr="0038459B">
              <w:rPr>
                <w:noProof/>
                <w:lang w:eastAsia="fr-CH"/>
              </w:rPr>
              <w:drawing>
                <wp:inline distT="0" distB="0" distL="0" distR="0" wp14:anchorId="491CDD7D" wp14:editId="7369E5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0088A0" w14:textId="77777777" w:rsidR="009E6CB7" w:rsidRPr="0038459B" w:rsidRDefault="009E6CB7" w:rsidP="00B20551">
            <w:pPr>
              <w:spacing w:before="120" w:line="420" w:lineRule="exact"/>
              <w:rPr>
                <w:sz w:val="40"/>
                <w:szCs w:val="40"/>
              </w:rPr>
            </w:pPr>
            <w:r w:rsidRPr="0038459B">
              <w:rPr>
                <w:b/>
                <w:sz w:val="40"/>
                <w:szCs w:val="40"/>
              </w:rPr>
              <w:t>Economic and Social Council</w:t>
            </w:r>
          </w:p>
        </w:tc>
        <w:tc>
          <w:tcPr>
            <w:tcW w:w="2835" w:type="dxa"/>
            <w:tcBorders>
              <w:top w:val="single" w:sz="4" w:space="0" w:color="auto"/>
              <w:bottom w:val="single" w:sz="12" w:space="0" w:color="auto"/>
            </w:tcBorders>
          </w:tcPr>
          <w:p w14:paraId="0097A566" w14:textId="77777777" w:rsidR="009E6CB7" w:rsidRPr="0038459B" w:rsidRDefault="0089518A" w:rsidP="0089518A">
            <w:pPr>
              <w:spacing w:before="240" w:line="240" w:lineRule="exact"/>
            </w:pPr>
            <w:r w:rsidRPr="0038459B">
              <w:t>Distr.: General</w:t>
            </w:r>
          </w:p>
          <w:p w14:paraId="3D647808" w14:textId="3105ED9F" w:rsidR="0089518A" w:rsidRPr="0038459B" w:rsidRDefault="0089518A" w:rsidP="0089518A">
            <w:pPr>
              <w:spacing w:line="240" w:lineRule="exact"/>
            </w:pPr>
            <w:r w:rsidRPr="0038459B">
              <w:t>1</w:t>
            </w:r>
            <w:r w:rsidR="00642A33" w:rsidRPr="0038459B">
              <w:t>7</w:t>
            </w:r>
            <w:r w:rsidRPr="0038459B">
              <w:t xml:space="preserve"> April 2024</w:t>
            </w:r>
          </w:p>
          <w:p w14:paraId="6E85D98C" w14:textId="323EE302" w:rsidR="0089518A" w:rsidRPr="0038459B" w:rsidRDefault="004A5F41" w:rsidP="0089518A">
            <w:pPr>
              <w:spacing w:line="240" w:lineRule="exact"/>
            </w:pPr>
            <w:r w:rsidRPr="0038459B">
              <w:t>English</w:t>
            </w:r>
          </w:p>
          <w:p w14:paraId="02865C1D" w14:textId="7CF7EC40" w:rsidR="0089518A" w:rsidRPr="0038459B" w:rsidRDefault="0089518A" w:rsidP="0089518A">
            <w:pPr>
              <w:spacing w:line="240" w:lineRule="exact"/>
            </w:pPr>
            <w:r w:rsidRPr="0038459B">
              <w:t>Original: English</w:t>
            </w:r>
            <w:r w:rsidR="004A5F41" w:rsidRPr="0038459B">
              <w:t xml:space="preserve"> and French</w:t>
            </w:r>
          </w:p>
        </w:tc>
      </w:tr>
    </w:tbl>
    <w:p w14:paraId="4DE31A01" w14:textId="77777777" w:rsidR="0089518A" w:rsidRPr="0038459B" w:rsidRDefault="0089518A" w:rsidP="00C411EB">
      <w:pPr>
        <w:spacing w:before="120"/>
        <w:rPr>
          <w:b/>
          <w:sz w:val="28"/>
          <w:szCs w:val="28"/>
        </w:rPr>
      </w:pPr>
      <w:r w:rsidRPr="0038459B">
        <w:rPr>
          <w:b/>
          <w:sz w:val="28"/>
          <w:szCs w:val="28"/>
        </w:rPr>
        <w:t>Economic Commission for Europe</w:t>
      </w:r>
    </w:p>
    <w:p w14:paraId="1C6964CC" w14:textId="77777777" w:rsidR="0089518A" w:rsidRPr="0038459B" w:rsidRDefault="0089518A" w:rsidP="00C411EB">
      <w:pPr>
        <w:spacing w:before="120"/>
        <w:rPr>
          <w:sz w:val="28"/>
          <w:szCs w:val="28"/>
        </w:rPr>
      </w:pPr>
      <w:r w:rsidRPr="0038459B">
        <w:rPr>
          <w:sz w:val="28"/>
          <w:szCs w:val="28"/>
        </w:rPr>
        <w:t>Inland Transport Committee</w:t>
      </w:r>
    </w:p>
    <w:p w14:paraId="124C94B8" w14:textId="77777777" w:rsidR="0089518A" w:rsidRPr="0038459B" w:rsidRDefault="0089518A" w:rsidP="00C411EB">
      <w:pPr>
        <w:spacing w:before="120"/>
        <w:rPr>
          <w:b/>
          <w:sz w:val="24"/>
          <w:szCs w:val="24"/>
        </w:rPr>
      </w:pPr>
      <w:r w:rsidRPr="0038459B">
        <w:rPr>
          <w:b/>
          <w:sz w:val="24"/>
          <w:szCs w:val="24"/>
        </w:rPr>
        <w:t>Working Party on the Transport of Dangerous Goods</w:t>
      </w:r>
    </w:p>
    <w:p w14:paraId="3E8347E9" w14:textId="77777777" w:rsidR="00ED3320" w:rsidRPr="0038459B" w:rsidRDefault="00ED3320" w:rsidP="00ED3320">
      <w:pPr>
        <w:spacing w:before="120"/>
        <w:rPr>
          <w:rFonts w:eastAsia="SimSun"/>
          <w:b/>
        </w:rPr>
      </w:pPr>
      <w:r w:rsidRPr="0038459B">
        <w:rPr>
          <w:rFonts w:eastAsia="SimSun"/>
          <w:b/>
        </w:rPr>
        <w:t xml:space="preserve">115th session </w:t>
      </w:r>
    </w:p>
    <w:p w14:paraId="4D6A99E6" w14:textId="77777777" w:rsidR="00ED3320" w:rsidRPr="0038459B" w:rsidRDefault="00ED3320" w:rsidP="00ED3320">
      <w:pPr>
        <w:rPr>
          <w:rFonts w:eastAsia="SimSun"/>
        </w:rPr>
      </w:pPr>
      <w:r w:rsidRPr="0038459B">
        <w:rPr>
          <w:rFonts w:eastAsia="SimSun"/>
        </w:rPr>
        <w:t>Geneva, 2-5 April 2024</w:t>
      </w:r>
    </w:p>
    <w:p w14:paraId="783B5EF8" w14:textId="6A5F9BBD" w:rsidR="00503854" w:rsidRPr="0038459B" w:rsidRDefault="00503854" w:rsidP="00503854">
      <w:pPr>
        <w:pStyle w:val="HChG"/>
        <w:rPr>
          <w:lang w:eastAsia="en-US"/>
        </w:rPr>
      </w:pPr>
      <w:bookmarkStart w:id="0" w:name="_Toc26263904"/>
      <w:r w:rsidRPr="0038459B">
        <w:rPr>
          <w:lang w:eastAsia="en-US"/>
        </w:rPr>
        <w:tab/>
      </w:r>
      <w:r w:rsidRPr="0038459B">
        <w:rPr>
          <w:lang w:eastAsia="en-US"/>
        </w:rPr>
        <w:tab/>
        <w:t>Report of the Working Party on its 115th session</w:t>
      </w:r>
      <w:bookmarkEnd w:id="0"/>
    </w:p>
    <w:p w14:paraId="18B74788" w14:textId="2B849287" w:rsidR="00503854" w:rsidRPr="0038459B" w:rsidRDefault="00503854" w:rsidP="00503854">
      <w:pPr>
        <w:pStyle w:val="SingleTxtG"/>
        <w:rPr>
          <w:lang w:eastAsia="en-US"/>
        </w:rPr>
      </w:pPr>
      <w:r w:rsidRPr="0038459B">
        <w:rPr>
          <w:lang w:eastAsia="en-US"/>
        </w:rPr>
        <w:t>Held in Geneva from 2 to 5 April 2024</w:t>
      </w:r>
    </w:p>
    <w:p w14:paraId="4A3FF490" w14:textId="77777777" w:rsidR="00F75566" w:rsidRPr="0038459B" w:rsidRDefault="00F75566" w:rsidP="00F75566">
      <w:pPr>
        <w:rPr>
          <w:sz w:val="28"/>
          <w:szCs w:val="28"/>
          <w:lang w:eastAsia="en-US"/>
        </w:rPr>
      </w:pPr>
      <w:r w:rsidRPr="0038459B">
        <w:rPr>
          <w:sz w:val="28"/>
          <w:szCs w:val="28"/>
          <w:lang w:eastAsia="en-US"/>
        </w:rPr>
        <w:t>Contents</w:t>
      </w:r>
    </w:p>
    <w:p w14:paraId="4EA01B75" w14:textId="77777777" w:rsidR="00F75566" w:rsidRPr="0038459B" w:rsidRDefault="00F75566" w:rsidP="00F75566">
      <w:pPr>
        <w:tabs>
          <w:tab w:val="right" w:pos="8929"/>
          <w:tab w:val="right" w:pos="9638"/>
        </w:tabs>
        <w:spacing w:after="120"/>
        <w:ind w:left="283"/>
      </w:pPr>
      <w:r w:rsidRPr="0038459B">
        <w:rPr>
          <w:i/>
          <w:sz w:val="18"/>
        </w:rPr>
        <w:tab/>
        <w:t>Paragraphs</w:t>
      </w:r>
      <w:r w:rsidRPr="0038459B">
        <w:rPr>
          <w:i/>
          <w:sz w:val="18"/>
        </w:rPr>
        <w:tab/>
        <w:t>Page</w:t>
      </w:r>
    </w:p>
    <w:p w14:paraId="4E3C12A8" w14:textId="77777777" w:rsidR="00AA2BAB"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w:t>
      </w:r>
      <w:r w:rsidRPr="0038459B">
        <w:tab/>
      </w:r>
      <w:r w:rsidRPr="0038459B">
        <w:rPr>
          <w:webHidden/>
        </w:rPr>
        <w:t>Attendance</w:t>
      </w:r>
      <w:r w:rsidRPr="0038459B">
        <w:rPr>
          <w:webHidden/>
        </w:rPr>
        <w:tab/>
      </w:r>
      <w:r w:rsidRPr="0038459B">
        <w:rPr>
          <w:webHidden/>
        </w:rPr>
        <w:tab/>
        <w:t>1-5</w:t>
      </w:r>
      <w:r w:rsidRPr="0038459B">
        <w:rPr>
          <w:webHidden/>
        </w:rPr>
        <w:tab/>
      </w:r>
      <w:r w:rsidRPr="0038459B">
        <w:t>3</w:t>
      </w:r>
    </w:p>
    <w:p w14:paraId="6F4A4532" w14:textId="5AFA4529"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II.</w:t>
      </w:r>
      <w:r w:rsidRPr="0038459B">
        <w:tab/>
      </w:r>
      <w:r w:rsidRPr="0038459B">
        <w:rPr>
          <w:webHidden/>
        </w:rPr>
        <w:t>Adoption of the agenda (agenda item 1)</w:t>
      </w:r>
      <w:r w:rsidRPr="0038459B">
        <w:rPr>
          <w:webHidden/>
        </w:rPr>
        <w:tab/>
      </w:r>
      <w:r w:rsidRPr="0038459B">
        <w:rPr>
          <w:webHidden/>
        </w:rPr>
        <w:tab/>
        <w:t>6</w:t>
      </w:r>
      <w:r w:rsidRPr="0038459B">
        <w:rPr>
          <w:webHidden/>
        </w:rPr>
        <w:tab/>
        <w:t>3</w:t>
      </w:r>
    </w:p>
    <w:p w14:paraId="0F4D8C5F"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III.</w:t>
      </w:r>
      <w:r w:rsidRPr="0038459B">
        <w:tab/>
        <w:t>Eighty- sixth session of the Inland Transport Committee (agenda item 2)</w:t>
      </w:r>
      <w:r w:rsidRPr="0038459B">
        <w:rPr>
          <w:webHidden/>
        </w:rPr>
        <w:tab/>
      </w:r>
      <w:r w:rsidRPr="0038459B">
        <w:rPr>
          <w:webHidden/>
        </w:rPr>
        <w:tab/>
        <w:t>7-11</w:t>
      </w:r>
      <w:r w:rsidRPr="0038459B">
        <w:rPr>
          <w:webHidden/>
        </w:rPr>
        <w:tab/>
        <w:t>3</w:t>
      </w:r>
    </w:p>
    <w:p w14:paraId="2D0EE012" w14:textId="77777777" w:rsidR="00F75566" w:rsidRPr="0038459B" w:rsidRDefault="00F75566" w:rsidP="00F75566">
      <w:pPr>
        <w:tabs>
          <w:tab w:val="right" w:pos="850"/>
          <w:tab w:val="left" w:pos="1134"/>
          <w:tab w:val="left" w:pos="1984"/>
          <w:tab w:val="left" w:leader="dot" w:pos="7654"/>
          <w:tab w:val="right" w:pos="8929"/>
          <w:tab w:val="right" w:pos="9638"/>
        </w:tabs>
        <w:spacing w:after="120"/>
        <w:ind w:left="1134" w:hanging="1134"/>
        <w:rPr>
          <w:webHidden/>
        </w:rPr>
      </w:pPr>
      <w:r w:rsidRPr="0038459B">
        <w:tab/>
        <w:t>IV.</w:t>
      </w:r>
      <w:r w:rsidRPr="0038459B">
        <w:tab/>
        <w:t>Status of the Agreement concerning the International Carriage of Dangerous Goods</w:t>
      </w:r>
      <w:r w:rsidRPr="0038459B">
        <w:br/>
        <w:t>by Road (ADR) and related issues (agenda item 3)</w:t>
      </w:r>
      <w:r w:rsidRPr="0038459B">
        <w:rPr>
          <w:webHidden/>
        </w:rPr>
        <w:tab/>
      </w:r>
      <w:r w:rsidRPr="0038459B">
        <w:rPr>
          <w:webHidden/>
        </w:rPr>
        <w:tab/>
        <w:t>12-15</w:t>
      </w:r>
      <w:r w:rsidRPr="0038459B">
        <w:rPr>
          <w:webHidden/>
        </w:rPr>
        <w:tab/>
        <w:t>4</w:t>
      </w:r>
    </w:p>
    <w:p w14:paraId="2EB6D7ED"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A.</w:t>
      </w:r>
      <w:r w:rsidRPr="0038459B">
        <w:tab/>
        <w:t>Status of the Agreement</w:t>
      </w:r>
      <w:r w:rsidRPr="0038459B">
        <w:tab/>
      </w:r>
      <w:r w:rsidRPr="0038459B">
        <w:tab/>
        <w:t>12</w:t>
      </w:r>
      <w:r w:rsidRPr="0038459B">
        <w:tab/>
        <w:t>4</w:t>
      </w:r>
    </w:p>
    <w:p w14:paraId="37865A38"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B.</w:t>
      </w:r>
      <w:r w:rsidRPr="0038459B">
        <w:tab/>
        <w:t>Protocol of amendment of 1993</w:t>
      </w:r>
      <w:r w:rsidRPr="0038459B">
        <w:tab/>
      </w:r>
      <w:r w:rsidRPr="0038459B">
        <w:tab/>
        <w:t>13</w:t>
      </w:r>
      <w:r w:rsidRPr="0038459B">
        <w:tab/>
        <w:t>4</w:t>
      </w:r>
    </w:p>
    <w:p w14:paraId="383FD5E2"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C.</w:t>
      </w:r>
      <w:r w:rsidRPr="0038459B">
        <w:tab/>
        <w:t>Translation of ADR into Arabic</w:t>
      </w:r>
      <w:r w:rsidRPr="0038459B">
        <w:tab/>
      </w:r>
      <w:r w:rsidRPr="0038459B">
        <w:tab/>
        <w:t>14-15</w:t>
      </w:r>
      <w:r w:rsidRPr="0038459B">
        <w:tab/>
        <w:t>4</w:t>
      </w:r>
    </w:p>
    <w:p w14:paraId="03FD1A25"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rPr>
          <w:webHidden/>
        </w:rPr>
      </w:pPr>
      <w:r w:rsidRPr="0038459B">
        <w:tab/>
        <w:t>V.</w:t>
      </w:r>
      <w:r w:rsidRPr="0038459B">
        <w:tab/>
        <w:t>Work of the RID/ADR/ADN Joint Meeting (agenda item 4)</w:t>
      </w:r>
      <w:r w:rsidRPr="0038459B">
        <w:rPr>
          <w:webHidden/>
        </w:rPr>
        <w:tab/>
      </w:r>
      <w:r w:rsidRPr="0038459B">
        <w:rPr>
          <w:webHidden/>
        </w:rPr>
        <w:tab/>
        <w:t>16-29</w:t>
      </w:r>
      <w:r w:rsidRPr="0038459B">
        <w:rPr>
          <w:webHidden/>
        </w:rPr>
        <w:tab/>
        <w:t>4</w:t>
      </w:r>
    </w:p>
    <w:p w14:paraId="1FE0A528"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A.</w:t>
      </w:r>
      <w:r w:rsidRPr="0038459B">
        <w:tab/>
        <w:t>Pending issues</w:t>
      </w:r>
      <w:r w:rsidRPr="0038459B">
        <w:tab/>
      </w:r>
      <w:r w:rsidRPr="0038459B">
        <w:tab/>
        <w:t>16</w:t>
      </w:r>
      <w:r w:rsidRPr="0038459B">
        <w:tab/>
        <w:t>4</w:t>
      </w:r>
    </w:p>
    <w:p w14:paraId="082CAD5A"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B.</w:t>
      </w:r>
      <w:r w:rsidRPr="0038459B">
        <w:tab/>
        <w:t xml:space="preserve">Amendments proposed by the Joint Meeting at its spring 2024 session </w:t>
      </w:r>
      <w:r w:rsidRPr="0038459B">
        <w:br/>
      </w:r>
      <w:r w:rsidRPr="0038459B">
        <w:tab/>
      </w:r>
      <w:r w:rsidRPr="0038459B">
        <w:tab/>
        <w:t>for entry into force on 1 January 2025</w:t>
      </w:r>
      <w:r w:rsidRPr="0038459B">
        <w:tab/>
      </w:r>
      <w:r w:rsidRPr="0038459B">
        <w:tab/>
        <w:t>17-21</w:t>
      </w:r>
      <w:r w:rsidRPr="0038459B">
        <w:tab/>
        <w:t>5</w:t>
      </w:r>
    </w:p>
    <w:p w14:paraId="3503038D"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C.</w:t>
      </w:r>
      <w:r w:rsidRPr="0038459B">
        <w:tab/>
        <w:t>Corrections to amendments already adopted</w:t>
      </w:r>
      <w:r w:rsidRPr="0038459B">
        <w:tab/>
      </w:r>
      <w:r w:rsidRPr="0038459B">
        <w:tab/>
        <w:t>22</w:t>
      </w:r>
      <w:r w:rsidRPr="0038459B">
        <w:tab/>
        <w:t>5</w:t>
      </w:r>
    </w:p>
    <w:p w14:paraId="4FAC185B"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850"/>
      </w:pPr>
      <w:r w:rsidRPr="0038459B">
        <w:tab/>
        <w:t>D.</w:t>
      </w:r>
      <w:r w:rsidRPr="0038459B">
        <w:tab/>
        <w:t xml:space="preserve">Amendments proposed by the Joint Meeting at its spring 2024 session </w:t>
      </w:r>
      <w:r w:rsidRPr="0038459B">
        <w:br/>
      </w:r>
      <w:r w:rsidRPr="0038459B">
        <w:tab/>
      </w:r>
      <w:r w:rsidRPr="0038459B">
        <w:tab/>
        <w:t>for entry into force on 1 January 2027</w:t>
      </w:r>
      <w:r w:rsidRPr="0038459B">
        <w:tab/>
      </w:r>
      <w:r w:rsidRPr="0038459B">
        <w:tab/>
        <w:t>23-25</w:t>
      </w:r>
      <w:r w:rsidRPr="0038459B">
        <w:tab/>
        <w:t>5</w:t>
      </w:r>
    </w:p>
    <w:p w14:paraId="182F36A0"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850"/>
      </w:pPr>
      <w:r w:rsidRPr="0038459B">
        <w:tab/>
        <w:t>E.</w:t>
      </w:r>
      <w:r w:rsidRPr="0038459B">
        <w:tab/>
        <w:t>Definition of a closed vehicle</w:t>
      </w:r>
      <w:r w:rsidRPr="0038459B">
        <w:tab/>
      </w:r>
      <w:r w:rsidRPr="0038459B">
        <w:tab/>
        <w:t>26-28</w:t>
      </w:r>
      <w:r w:rsidRPr="0038459B">
        <w:tab/>
        <w:t>6</w:t>
      </w:r>
    </w:p>
    <w:p w14:paraId="664F4A40"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850"/>
      </w:pPr>
      <w:r w:rsidRPr="0038459B">
        <w:tab/>
        <w:t>F.</w:t>
      </w:r>
      <w:r w:rsidRPr="0038459B">
        <w:tab/>
        <w:t>Informal working group on e-learning</w:t>
      </w:r>
      <w:r w:rsidRPr="0038459B">
        <w:tab/>
      </w:r>
      <w:r w:rsidRPr="0038459B">
        <w:tab/>
        <w:t>29</w:t>
      </w:r>
      <w:r w:rsidRPr="0038459B">
        <w:tab/>
        <w:t>6</w:t>
      </w:r>
    </w:p>
    <w:p w14:paraId="0AE066F3"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rPr>
          <w:webHidden/>
        </w:rPr>
      </w:pPr>
      <w:r w:rsidRPr="0038459B">
        <w:rPr>
          <w:webHidden/>
        </w:rPr>
        <w:tab/>
        <w:t>VI.</w:t>
      </w:r>
      <w:r w:rsidRPr="0038459B">
        <w:rPr>
          <w:webHidden/>
        </w:rPr>
        <w:tab/>
      </w:r>
      <w:r w:rsidRPr="0038459B">
        <w:t>Proposals for amendments to annexes A and B of ADR (agenda item 5)</w:t>
      </w:r>
      <w:r w:rsidRPr="0038459B">
        <w:rPr>
          <w:webHidden/>
        </w:rPr>
        <w:tab/>
      </w:r>
      <w:r w:rsidRPr="0038459B">
        <w:rPr>
          <w:webHidden/>
        </w:rPr>
        <w:tab/>
        <w:t>30-57</w:t>
      </w:r>
      <w:r w:rsidRPr="0038459B">
        <w:rPr>
          <w:webHidden/>
        </w:rPr>
        <w:tab/>
        <w:t>6</w:t>
      </w:r>
    </w:p>
    <w:p w14:paraId="5DDA28C1"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A.</w:t>
      </w:r>
      <w:r w:rsidRPr="0038459B">
        <w:tab/>
        <w:t>Construction and approval of vehicles</w:t>
      </w:r>
      <w:r w:rsidRPr="0038459B">
        <w:tab/>
      </w:r>
      <w:r w:rsidRPr="0038459B">
        <w:tab/>
        <w:t>30-53</w:t>
      </w:r>
      <w:r w:rsidRPr="0038459B">
        <w:tab/>
        <w:t>6</w:t>
      </w:r>
    </w:p>
    <w:p w14:paraId="155A61F6"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985" w:hanging="482"/>
      </w:pPr>
      <w:r w:rsidRPr="0038459B">
        <w:t>1.</w:t>
      </w:r>
      <w:r w:rsidRPr="0038459B">
        <w:tab/>
        <w:t xml:space="preserve">Fire suppression system for engine compartments and thermal </w:t>
      </w:r>
      <w:r w:rsidRPr="0038459B">
        <w:br/>
        <w:t>protection of wheels</w:t>
      </w:r>
      <w:r w:rsidRPr="0038459B">
        <w:tab/>
      </w:r>
      <w:r w:rsidRPr="0038459B">
        <w:tab/>
        <w:t>30-33</w:t>
      </w:r>
      <w:r w:rsidRPr="0038459B">
        <w:tab/>
        <w:t>6</w:t>
      </w:r>
    </w:p>
    <w:p w14:paraId="476CD8C8"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503"/>
      </w:pPr>
      <w:r w:rsidRPr="0038459B">
        <w:t>2.</w:t>
      </w:r>
      <w:r w:rsidRPr="0038459B">
        <w:tab/>
      </w:r>
      <w:r w:rsidRPr="0038459B">
        <w:rPr>
          <w:shd w:val="clear" w:color="000000" w:fill="FFFFFF"/>
        </w:rPr>
        <w:t>Battery electric vehicles and hydrogen fuelled vehicles</w:t>
      </w:r>
      <w:r w:rsidRPr="0038459B">
        <w:tab/>
      </w:r>
      <w:r w:rsidRPr="0038459B">
        <w:tab/>
        <w:t>34-43</w:t>
      </w:r>
      <w:r w:rsidRPr="0038459B">
        <w:tab/>
        <w:t>7</w:t>
      </w:r>
    </w:p>
    <w:p w14:paraId="35C55643"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983" w:hanging="480"/>
      </w:pPr>
      <w:r w:rsidRPr="0038459B">
        <w:t>3.</w:t>
      </w:r>
      <w:r w:rsidRPr="0038459B">
        <w:tab/>
        <w:t>Table in 9.2.1.1</w:t>
      </w:r>
      <w:r w:rsidRPr="0038459B">
        <w:tab/>
      </w:r>
      <w:r w:rsidRPr="0038459B">
        <w:tab/>
        <w:t>44-45</w:t>
      </w:r>
      <w:r w:rsidRPr="0038459B">
        <w:tab/>
        <w:t>7</w:t>
      </w:r>
    </w:p>
    <w:p w14:paraId="6E8B0780"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503"/>
      </w:pPr>
      <w:r w:rsidRPr="0038459B">
        <w:lastRenderedPageBreak/>
        <w:t>4.</w:t>
      </w:r>
      <w:r w:rsidRPr="0038459B">
        <w:tab/>
        <w:t>Circuits exempted from protection by fuse or automatic circuit breaker</w:t>
      </w:r>
      <w:r w:rsidRPr="0038459B">
        <w:tab/>
      </w:r>
      <w:r w:rsidRPr="0038459B">
        <w:tab/>
        <w:t>46</w:t>
      </w:r>
      <w:r w:rsidRPr="0038459B">
        <w:tab/>
        <w:t>8</w:t>
      </w:r>
    </w:p>
    <w:p w14:paraId="66ABBE6C" w14:textId="77777777" w:rsidR="00F75566" w:rsidRPr="0038459B" w:rsidRDefault="00F75566" w:rsidP="00F75566">
      <w:pPr>
        <w:tabs>
          <w:tab w:val="right" w:pos="850"/>
          <w:tab w:val="left" w:pos="1134"/>
          <w:tab w:val="left" w:pos="1560"/>
          <w:tab w:val="left" w:pos="1945"/>
          <w:tab w:val="left" w:pos="1984"/>
          <w:tab w:val="left" w:leader="dot" w:pos="7654"/>
          <w:tab w:val="right" w:pos="8929"/>
          <w:tab w:val="right" w:pos="9638"/>
        </w:tabs>
        <w:spacing w:before="120" w:after="120"/>
        <w:ind w:left="1503"/>
      </w:pPr>
      <w:r w:rsidRPr="0038459B">
        <w:t>5.</w:t>
      </w:r>
      <w:r w:rsidRPr="0038459B">
        <w:tab/>
        <w:t>Application of electrical equipment in Chapter 9.7</w:t>
      </w:r>
      <w:r w:rsidRPr="0038459B">
        <w:tab/>
      </w:r>
      <w:r w:rsidRPr="0038459B">
        <w:tab/>
        <w:t>47-48</w:t>
      </w:r>
      <w:r w:rsidRPr="0038459B">
        <w:tab/>
        <w:t>8</w:t>
      </w:r>
    </w:p>
    <w:p w14:paraId="65B51810" w14:textId="77777777" w:rsidR="00F75566" w:rsidRPr="0038459B" w:rsidRDefault="00F75566" w:rsidP="00F75566">
      <w:pPr>
        <w:tabs>
          <w:tab w:val="right" w:pos="850"/>
          <w:tab w:val="left" w:pos="1134"/>
          <w:tab w:val="left" w:pos="1560"/>
          <w:tab w:val="left" w:pos="1945"/>
          <w:tab w:val="left" w:pos="1984"/>
          <w:tab w:val="left" w:leader="dot" w:pos="7654"/>
          <w:tab w:val="right" w:pos="8929"/>
          <w:tab w:val="right" w:pos="9638"/>
        </w:tabs>
        <w:spacing w:before="120" w:after="120"/>
        <w:ind w:left="1503"/>
      </w:pPr>
      <w:r w:rsidRPr="0038459B">
        <w:t>6.</w:t>
      </w:r>
      <w:r w:rsidRPr="0038459B">
        <w:tab/>
        <w:t>Rear protection of vehicles</w:t>
      </w:r>
      <w:r w:rsidRPr="0038459B">
        <w:tab/>
      </w:r>
      <w:r w:rsidRPr="0038459B">
        <w:tab/>
        <w:t>49-51</w:t>
      </w:r>
      <w:r w:rsidRPr="0038459B">
        <w:tab/>
        <w:t>8</w:t>
      </w:r>
    </w:p>
    <w:p w14:paraId="6F690E0D" w14:textId="77777777" w:rsidR="00F75566" w:rsidRPr="0038459B" w:rsidRDefault="00F75566" w:rsidP="00F75566">
      <w:pPr>
        <w:tabs>
          <w:tab w:val="right" w:pos="850"/>
          <w:tab w:val="left" w:pos="1134"/>
          <w:tab w:val="left" w:pos="1560"/>
          <w:tab w:val="left" w:pos="1945"/>
          <w:tab w:val="left" w:pos="1984"/>
          <w:tab w:val="left" w:leader="dot" w:pos="7654"/>
          <w:tab w:val="right" w:pos="8929"/>
          <w:tab w:val="right" w:pos="9638"/>
        </w:tabs>
        <w:spacing w:before="120" w:after="120"/>
        <w:ind w:left="1503"/>
      </w:pPr>
      <w:r w:rsidRPr="0038459B">
        <w:t>7.</w:t>
      </w:r>
      <w:r w:rsidRPr="0038459B">
        <w:tab/>
        <w:t>Camera monitor systems on EX/III and FL vehicles</w:t>
      </w:r>
      <w:r w:rsidRPr="0038459B">
        <w:tab/>
      </w:r>
      <w:r w:rsidRPr="0038459B">
        <w:tab/>
        <w:t>52-53</w:t>
      </w:r>
      <w:r w:rsidRPr="0038459B">
        <w:tab/>
        <w:t>8</w:t>
      </w:r>
    </w:p>
    <w:p w14:paraId="2C4D0CAC" w14:textId="77777777" w:rsidR="00F75566" w:rsidRPr="0038459B" w:rsidRDefault="00F75566" w:rsidP="00F75566">
      <w:pPr>
        <w:tabs>
          <w:tab w:val="right" w:pos="993"/>
          <w:tab w:val="left" w:pos="1134"/>
          <w:tab w:val="left" w:pos="1560"/>
          <w:tab w:val="left" w:pos="1984"/>
          <w:tab w:val="left" w:leader="dot" w:pos="7654"/>
          <w:tab w:val="right" w:pos="8929"/>
          <w:tab w:val="right" w:pos="9638"/>
        </w:tabs>
        <w:spacing w:before="120" w:after="120"/>
        <w:ind w:left="993"/>
      </w:pPr>
      <w:r w:rsidRPr="0038459B">
        <w:tab/>
        <w:t>B.</w:t>
      </w:r>
      <w:r w:rsidRPr="0038459B">
        <w:tab/>
        <w:t>Miscellaneous proposals</w:t>
      </w:r>
      <w:r w:rsidRPr="0038459B">
        <w:tab/>
      </w:r>
      <w:r w:rsidRPr="0038459B">
        <w:tab/>
        <w:t>54-57</w:t>
      </w:r>
      <w:r w:rsidRPr="0038459B">
        <w:tab/>
        <w:t>8</w:t>
      </w:r>
    </w:p>
    <w:p w14:paraId="22EBF761"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1503"/>
      </w:pPr>
      <w:r w:rsidRPr="0038459B">
        <w:t>1.</w:t>
      </w:r>
      <w:r w:rsidRPr="0038459B">
        <w:tab/>
        <w:t>Layout of packing instruction P200</w:t>
      </w:r>
      <w:r w:rsidRPr="0038459B">
        <w:tab/>
      </w:r>
      <w:r w:rsidRPr="0038459B">
        <w:tab/>
        <w:t>54-55</w:t>
      </w:r>
      <w:r w:rsidRPr="0038459B">
        <w:tab/>
        <w:t>8</w:t>
      </w:r>
    </w:p>
    <w:p w14:paraId="517E165C"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1985" w:hanging="482"/>
      </w:pPr>
      <w:r w:rsidRPr="0038459B">
        <w:t>2.</w:t>
      </w:r>
      <w:r w:rsidRPr="0038459B">
        <w:tab/>
        <w:t>Marking of a tank-vehicle carrying UN numbers 1202, 1203</w:t>
      </w:r>
      <w:r w:rsidRPr="0038459B">
        <w:br/>
        <w:t>and 3475</w:t>
      </w:r>
      <w:r w:rsidRPr="0038459B">
        <w:tab/>
      </w:r>
      <w:r w:rsidRPr="0038459B">
        <w:tab/>
        <w:t>56-57</w:t>
      </w:r>
      <w:r w:rsidRPr="0038459B">
        <w:tab/>
        <w:t>9</w:t>
      </w:r>
    </w:p>
    <w:p w14:paraId="6D2CA441"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VII.</w:t>
      </w:r>
      <w:r w:rsidRPr="0038459B">
        <w:tab/>
        <w:t>Interpretation of ADR (agenda item 6)</w:t>
      </w:r>
      <w:r w:rsidRPr="0038459B">
        <w:tab/>
      </w:r>
      <w:r w:rsidRPr="0038459B">
        <w:tab/>
        <w:t>58-62</w:t>
      </w:r>
      <w:r w:rsidRPr="0038459B">
        <w:tab/>
        <w:t>9</w:t>
      </w:r>
    </w:p>
    <w:p w14:paraId="64A653D6" w14:textId="77777777" w:rsidR="00F75566" w:rsidRPr="0038459B" w:rsidRDefault="00F75566" w:rsidP="00F75566">
      <w:pPr>
        <w:tabs>
          <w:tab w:val="right" w:pos="993"/>
          <w:tab w:val="left" w:pos="1134"/>
          <w:tab w:val="left" w:pos="1560"/>
          <w:tab w:val="left" w:pos="1984"/>
          <w:tab w:val="left" w:leader="dot" w:pos="7654"/>
          <w:tab w:val="right" w:pos="8929"/>
          <w:tab w:val="right" w:pos="9638"/>
        </w:tabs>
        <w:spacing w:before="120" w:after="120"/>
        <w:ind w:left="993"/>
      </w:pPr>
      <w:r w:rsidRPr="0038459B">
        <w:tab/>
        <w:t>A.</w:t>
      </w:r>
      <w:r w:rsidRPr="0038459B">
        <w:tab/>
        <w:t>Application of 1.1.3.1 (a)</w:t>
      </w:r>
      <w:r w:rsidRPr="0038459B">
        <w:tab/>
      </w:r>
      <w:r w:rsidRPr="0038459B">
        <w:tab/>
        <w:t>58-60</w:t>
      </w:r>
      <w:r w:rsidRPr="0038459B">
        <w:tab/>
        <w:t>9</w:t>
      </w:r>
    </w:p>
    <w:p w14:paraId="5BEB2D41" w14:textId="77777777" w:rsidR="00F75566" w:rsidRPr="0038459B" w:rsidRDefault="00F75566" w:rsidP="00F75566">
      <w:pPr>
        <w:tabs>
          <w:tab w:val="right" w:pos="993"/>
          <w:tab w:val="left" w:pos="1134"/>
          <w:tab w:val="left" w:pos="1560"/>
          <w:tab w:val="left" w:pos="1984"/>
          <w:tab w:val="left" w:leader="dot" w:pos="7654"/>
          <w:tab w:val="right" w:pos="8929"/>
          <w:tab w:val="right" w:pos="9638"/>
        </w:tabs>
        <w:spacing w:before="120" w:after="120"/>
        <w:ind w:left="993"/>
      </w:pPr>
      <w:r w:rsidRPr="0038459B">
        <w:tab/>
        <w:t>B.</w:t>
      </w:r>
      <w:r w:rsidRPr="0038459B">
        <w:tab/>
        <w:t>Provision V2 in 7.2.4</w:t>
      </w:r>
      <w:r w:rsidRPr="0038459B">
        <w:tab/>
      </w:r>
      <w:r w:rsidRPr="0038459B">
        <w:tab/>
        <w:t>61-62</w:t>
      </w:r>
      <w:r w:rsidRPr="0038459B">
        <w:tab/>
        <w:t>9</w:t>
      </w:r>
    </w:p>
    <w:p w14:paraId="683401C2"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ind w:left="1134" w:hanging="1134"/>
      </w:pPr>
      <w:r w:rsidRPr="0038459B">
        <w:tab/>
        <w:t>VIII.</w:t>
      </w:r>
      <w:r w:rsidRPr="0038459B">
        <w:tab/>
        <w:t xml:space="preserve">Circular economy, sustainable use of natural resources and </w:t>
      </w:r>
      <w:r w:rsidRPr="0038459B">
        <w:br/>
        <w:t>Sustainable Development Goals (agenda item 7)</w:t>
      </w:r>
      <w:r w:rsidRPr="0038459B">
        <w:tab/>
      </w:r>
      <w:r w:rsidRPr="0038459B">
        <w:tab/>
        <w:t>63-64</w:t>
      </w:r>
      <w:r w:rsidRPr="0038459B">
        <w:tab/>
        <w:t>9</w:t>
      </w:r>
    </w:p>
    <w:p w14:paraId="2E3465F1"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IX.</w:t>
      </w:r>
      <w:r w:rsidRPr="0038459B">
        <w:tab/>
        <w:t>Programme of work (agenda item 8)</w:t>
      </w:r>
      <w:r w:rsidRPr="0038459B">
        <w:tab/>
      </w:r>
      <w:r w:rsidRPr="0038459B">
        <w:tab/>
        <w:t>65-67</w:t>
      </w:r>
      <w:r w:rsidRPr="0038459B">
        <w:tab/>
        <w:t>9</w:t>
      </w:r>
    </w:p>
    <w:p w14:paraId="2B3788B2"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X.</w:t>
      </w:r>
      <w:r w:rsidRPr="0038459B">
        <w:tab/>
        <w:t>Any other business (agenda item 9)</w:t>
      </w:r>
      <w:r w:rsidRPr="0038459B">
        <w:tab/>
      </w:r>
      <w:r w:rsidRPr="0038459B">
        <w:tab/>
        <w:t>68-74</w:t>
      </w:r>
      <w:r w:rsidRPr="0038459B">
        <w:tab/>
        <w:t>10</w:t>
      </w:r>
    </w:p>
    <w:p w14:paraId="0C83ECB5"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A.</w:t>
      </w:r>
      <w:r w:rsidRPr="0038459B">
        <w:tab/>
        <w:t>Standardization of ADR driver exams</w:t>
      </w:r>
      <w:r w:rsidRPr="0038459B">
        <w:tab/>
      </w:r>
      <w:r w:rsidRPr="0038459B">
        <w:tab/>
        <w:t>68-69</w:t>
      </w:r>
      <w:r w:rsidRPr="0038459B">
        <w:tab/>
        <w:t>10</w:t>
      </w:r>
    </w:p>
    <w:p w14:paraId="3C1C9FA4"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B.</w:t>
      </w:r>
      <w:r w:rsidRPr="0038459B">
        <w:tab/>
        <w:t>Terms of reference, rules of procedure and working methods</w:t>
      </w:r>
      <w:r w:rsidRPr="0038459B">
        <w:tab/>
      </w:r>
      <w:r w:rsidRPr="0038459B">
        <w:tab/>
        <w:t>70</w:t>
      </w:r>
      <w:r w:rsidRPr="0038459B">
        <w:tab/>
        <w:t>10</w:t>
      </w:r>
    </w:p>
    <w:p w14:paraId="31251FC9"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C.</w:t>
      </w:r>
      <w:r w:rsidRPr="0038459B">
        <w:tab/>
        <w:t>Request for consultative status</w:t>
      </w:r>
      <w:r w:rsidRPr="0038459B">
        <w:tab/>
      </w:r>
      <w:r w:rsidRPr="0038459B">
        <w:tab/>
        <w:t>71</w:t>
      </w:r>
      <w:r w:rsidRPr="0038459B">
        <w:tab/>
        <w:t>10</w:t>
      </w:r>
    </w:p>
    <w:p w14:paraId="78412740"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D.</w:t>
      </w:r>
      <w:r w:rsidRPr="0038459B">
        <w:tab/>
        <w:t>Amendments for the 2025 edition of ADR</w:t>
      </w:r>
      <w:r w:rsidRPr="0038459B">
        <w:tab/>
      </w:r>
      <w:r w:rsidRPr="0038459B">
        <w:tab/>
        <w:t>72-73</w:t>
      </w:r>
      <w:r w:rsidRPr="0038459B">
        <w:tab/>
        <w:t>10</w:t>
      </w:r>
    </w:p>
    <w:p w14:paraId="768BBC28"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E.</w:t>
      </w:r>
      <w:r w:rsidRPr="0038459B">
        <w:tab/>
        <w:t>Tribute</w:t>
      </w:r>
      <w:r w:rsidRPr="0038459B">
        <w:tab/>
      </w:r>
      <w:r w:rsidRPr="0038459B">
        <w:tab/>
        <w:t>74</w:t>
      </w:r>
      <w:r w:rsidRPr="0038459B">
        <w:tab/>
        <w:t>11</w:t>
      </w:r>
    </w:p>
    <w:p w14:paraId="69BE38C0"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XI.</w:t>
      </w:r>
      <w:r w:rsidRPr="0038459B">
        <w:tab/>
        <w:t>Adoption of the report (agenda item 10)</w:t>
      </w:r>
      <w:r w:rsidRPr="0038459B">
        <w:tab/>
      </w:r>
      <w:r w:rsidRPr="0038459B">
        <w:tab/>
        <w:t>75</w:t>
      </w:r>
      <w:r w:rsidRPr="0038459B">
        <w:tab/>
        <w:t>11</w:t>
      </w:r>
    </w:p>
    <w:p w14:paraId="4CBBA74D" w14:textId="77777777" w:rsidR="00F75566" w:rsidRPr="0038459B" w:rsidRDefault="00F75566" w:rsidP="00F75566">
      <w:pPr>
        <w:tabs>
          <w:tab w:val="right" w:pos="850"/>
          <w:tab w:val="left" w:leader="dot" w:pos="7654"/>
          <w:tab w:val="right" w:pos="8929"/>
          <w:tab w:val="right" w:pos="9638"/>
        </w:tabs>
        <w:suppressAutoHyphens/>
        <w:spacing w:after="120"/>
        <w:rPr>
          <w:lang w:eastAsia="en-US"/>
        </w:rPr>
      </w:pPr>
      <w:r w:rsidRPr="0038459B">
        <w:rPr>
          <w:lang w:eastAsia="en-US"/>
        </w:rPr>
        <w:t>Annexes</w:t>
      </w:r>
    </w:p>
    <w:p w14:paraId="560E0046" w14:textId="200DB1BE" w:rsidR="00F75566" w:rsidRPr="0038459B" w:rsidRDefault="00F75566" w:rsidP="00F75566">
      <w:pPr>
        <w:tabs>
          <w:tab w:val="right" w:pos="850"/>
          <w:tab w:val="left" w:pos="1134"/>
          <w:tab w:val="left" w:pos="1559"/>
          <w:tab w:val="left" w:pos="1984"/>
          <w:tab w:val="left" w:leader="dot" w:pos="7654"/>
          <w:tab w:val="right" w:pos="8929"/>
          <w:tab w:val="right" w:pos="9638"/>
        </w:tabs>
        <w:suppressAutoHyphens/>
        <w:spacing w:after="120"/>
        <w:rPr>
          <w:lang w:eastAsia="en-US"/>
        </w:rPr>
      </w:pPr>
      <w:r w:rsidRPr="0038459B">
        <w:rPr>
          <w:lang w:eastAsia="en-US"/>
        </w:rPr>
        <w:tab/>
        <w:t>I.</w:t>
      </w:r>
      <w:r w:rsidRPr="0038459B">
        <w:rPr>
          <w:lang w:eastAsia="en-US"/>
        </w:rPr>
        <w:tab/>
      </w:r>
      <w:r w:rsidRPr="0038459B">
        <w:t>Draft amendments to annexes A and B of ADR for entry into force on 1 January 2025</w:t>
      </w:r>
      <w:r w:rsidRPr="0038459B">
        <w:rPr>
          <w:webHidden/>
          <w:lang w:eastAsia="en-US"/>
        </w:rPr>
        <w:tab/>
      </w:r>
      <w:r w:rsidRPr="0038459B">
        <w:rPr>
          <w:webHidden/>
          <w:lang w:eastAsia="en-US"/>
        </w:rPr>
        <w:tab/>
        <w:t>12</w:t>
      </w:r>
    </w:p>
    <w:p w14:paraId="50F6CA7F"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uppressAutoHyphens/>
        <w:spacing w:after="120"/>
        <w:rPr>
          <w:webHidden/>
          <w:lang w:eastAsia="en-US"/>
        </w:rPr>
      </w:pPr>
      <w:r w:rsidRPr="0038459B">
        <w:rPr>
          <w:lang w:eastAsia="en-US"/>
        </w:rPr>
        <w:tab/>
        <w:t>II.</w:t>
      </w:r>
      <w:r w:rsidRPr="0038459B">
        <w:rPr>
          <w:webHidden/>
          <w:lang w:eastAsia="en-US"/>
        </w:rPr>
        <w:tab/>
      </w:r>
      <w:r w:rsidRPr="0038459B">
        <w:t>Draft amendments to annexes A and B of ADR for entry into force on 1 January 2027</w:t>
      </w:r>
      <w:r w:rsidRPr="0038459B">
        <w:rPr>
          <w:webHidden/>
          <w:lang w:eastAsia="en-US"/>
        </w:rPr>
        <w:tab/>
      </w:r>
      <w:r w:rsidRPr="0038459B">
        <w:rPr>
          <w:webHidden/>
          <w:lang w:eastAsia="en-US"/>
        </w:rPr>
        <w:tab/>
        <w:t>16</w:t>
      </w:r>
    </w:p>
    <w:p w14:paraId="7DE6DB73" w14:textId="26C35DD4" w:rsidR="00F5009F" w:rsidRPr="0038459B" w:rsidRDefault="00F75566" w:rsidP="00F75566">
      <w:pPr>
        <w:tabs>
          <w:tab w:val="right" w:pos="850"/>
          <w:tab w:val="left" w:pos="1134"/>
          <w:tab w:val="left" w:pos="1559"/>
          <w:tab w:val="left" w:pos="1984"/>
          <w:tab w:val="left" w:leader="dot" w:pos="7654"/>
          <w:tab w:val="right" w:pos="8929"/>
          <w:tab w:val="right" w:pos="9638"/>
        </w:tabs>
        <w:suppressAutoHyphens/>
        <w:spacing w:after="120"/>
        <w:ind w:left="1134" w:hanging="1134"/>
        <w:rPr>
          <w:webHidden/>
          <w:lang w:eastAsia="en-US"/>
        </w:rPr>
      </w:pPr>
      <w:r w:rsidRPr="0038459B">
        <w:rPr>
          <w:lang w:eastAsia="en-US"/>
        </w:rPr>
        <w:tab/>
        <w:t>III.</w:t>
      </w:r>
      <w:r w:rsidRPr="0038459B">
        <w:rPr>
          <w:webHidden/>
          <w:lang w:eastAsia="en-US"/>
        </w:rPr>
        <w:tab/>
      </w:r>
      <w:r w:rsidRPr="0038459B">
        <w:t>Corrections to ECE/TRANS/WP.15/265</w:t>
      </w:r>
      <w:r w:rsidRPr="0038459B">
        <w:rPr>
          <w:webHidden/>
          <w:lang w:eastAsia="en-US"/>
        </w:rPr>
        <w:tab/>
      </w:r>
      <w:r w:rsidRPr="0038459B">
        <w:rPr>
          <w:webHidden/>
          <w:lang w:eastAsia="en-US"/>
        </w:rPr>
        <w:tab/>
      </w:r>
      <w:r w:rsidRPr="0038459B">
        <w:rPr>
          <w:webHidden/>
          <w:lang w:eastAsia="en-US"/>
        </w:rPr>
        <w:tab/>
        <w:t>17</w:t>
      </w:r>
    </w:p>
    <w:p w14:paraId="75A13E66" w14:textId="68F79A49" w:rsidR="00287C6F" w:rsidRPr="0038459B" w:rsidRDefault="00287C6F" w:rsidP="002B4F87">
      <w:pPr>
        <w:tabs>
          <w:tab w:val="right" w:pos="850"/>
          <w:tab w:val="left" w:pos="1134"/>
          <w:tab w:val="left" w:pos="1559"/>
          <w:tab w:val="left" w:pos="1984"/>
          <w:tab w:val="left" w:leader="dot" w:pos="7654"/>
          <w:tab w:val="right" w:pos="8929"/>
          <w:tab w:val="right" w:pos="9638"/>
        </w:tabs>
        <w:suppressAutoHyphens/>
        <w:spacing w:after="120"/>
        <w:ind w:left="1134" w:hanging="1134"/>
        <w:rPr>
          <w:lang w:eastAsia="en-US"/>
        </w:rPr>
      </w:pPr>
      <w:r w:rsidRPr="0038459B">
        <w:rPr>
          <w:sz w:val="28"/>
          <w:szCs w:val="28"/>
          <w:lang w:eastAsia="en-US"/>
        </w:rPr>
        <w:br w:type="page"/>
      </w:r>
    </w:p>
    <w:p w14:paraId="46E13F76" w14:textId="77777777" w:rsidR="00861774" w:rsidRPr="0038459B" w:rsidRDefault="00861774" w:rsidP="00861774">
      <w:pPr>
        <w:pStyle w:val="HChG"/>
      </w:pPr>
      <w:r w:rsidRPr="0038459B">
        <w:lastRenderedPageBreak/>
        <w:tab/>
        <w:t>I.</w:t>
      </w:r>
      <w:r w:rsidRPr="0038459B">
        <w:tab/>
        <w:t>Attendance</w:t>
      </w:r>
    </w:p>
    <w:p w14:paraId="4A4C766C" w14:textId="77777777" w:rsidR="00861774" w:rsidRPr="0038459B" w:rsidRDefault="00861774" w:rsidP="00861774">
      <w:pPr>
        <w:pStyle w:val="SingleTxtG"/>
        <w:rPr>
          <w:b/>
          <w:bCs/>
        </w:rPr>
      </w:pPr>
      <w:r w:rsidRPr="0038459B">
        <w:t>1.</w:t>
      </w:r>
      <w:r w:rsidRPr="0038459B">
        <w:tab/>
        <w:t>The Working Party on the Transport of Dangerous Goods held its 115th session from 2–5 April 2024, with Ms. A. Roumier (France) as Chair and Mr. A. Simoni (Italy) as Vice</w:t>
      </w:r>
      <w:r w:rsidRPr="0038459B">
        <w:noBreakHyphen/>
        <w:t>Chair.</w:t>
      </w:r>
    </w:p>
    <w:p w14:paraId="7267DDEE" w14:textId="0AD32100" w:rsidR="00861774" w:rsidRPr="0038459B" w:rsidRDefault="00861774" w:rsidP="00861774">
      <w:pPr>
        <w:pStyle w:val="SingleTxtG"/>
      </w:pPr>
      <w:r w:rsidRPr="0038459B">
        <w:t>2.</w:t>
      </w:r>
      <w:r w:rsidRPr="0038459B">
        <w:tab/>
        <w:t xml:space="preserve">Representatives from the following countries took part in the session: Austria, Belgium, Czechia, Denmark, Finland, France, Georgia, Germany, Hungary, Italy, Latvia, Luxembourg, Netherlands, Norway, Poland, Portugal, Russian Federation, Slovakia, Spain, Sweden, Switzerland, </w:t>
      </w:r>
      <w:proofErr w:type="gramStart"/>
      <w:r w:rsidRPr="0038459B">
        <w:t>Türkiye</w:t>
      </w:r>
      <w:proofErr w:type="gramEnd"/>
      <w:r w:rsidRPr="0038459B">
        <w:t xml:space="preserve"> and United Kingdom.</w:t>
      </w:r>
    </w:p>
    <w:p w14:paraId="15B9E55B" w14:textId="3032D49A" w:rsidR="00861774" w:rsidRPr="0038459B" w:rsidRDefault="00861774" w:rsidP="00861774">
      <w:pPr>
        <w:pStyle w:val="SingleTxtG"/>
      </w:pPr>
      <w:r w:rsidRPr="0038459B">
        <w:t>3.</w:t>
      </w:r>
      <w:r w:rsidRPr="0038459B">
        <w:tab/>
        <w:t>Representatives from Zimbabwe also took part in the session, as provided for in paragraph 11 of the terms of reference of the Economic Commission for Europe.</w:t>
      </w:r>
    </w:p>
    <w:p w14:paraId="17A08B22" w14:textId="77777777" w:rsidR="00861774" w:rsidRPr="0038459B" w:rsidRDefault="00861774" w:rsidP="00861774">
      <w:pPr>
        <w:pStyle w:val="SingleTxtG"/>
      </w:pPr>
      <w:r w:rsidRPr="0038459B">
        <w:t>4.</w:t>
      </w:r>
      <w:r w:rsidRPr="0038459B">
        <w:tab/>
        <w:t>The following intergovernmental organization was represented: Intergovernmental Organization for International Carriage by Rail (OTIF).</w:t>
      </w:r>
    </w:p>
    <w:p w14:paraId="05065E3D" w14:textId="2912E01A" w:rsidR="00861774" w:rsidRPr="0038459B" w:rsidRDefault="00861774" w:rsidP="00861774">
      <w:pPr>
        <w:pStyle w:val="SingleTxtG"/>
      </w:pPr>
      <w:r w:rsidRPr="0038459B">
        <w:t>5.</w:t>
      </w:r>
      <w:r w:rsidRPr="0038459B">
        <w:tab/>
        <w:t>The following non-governmental organizations were represented: European Confederation of Fuel Distributors (ECFD), Fuels Europe, International Association of Dangerous Goods Safety Advisers (IASA), International Organization of Automobile Manufacturers (OICA), International Road Transport Union (IRU) and World Bike Industry Association (WBIA).</w:t>
      </w:r>
    </w:p>
    <w:p w14:paraId="6059F731" w14:textId="77777777" w:rsidR="00861774" w:rsidRPr="0038459B" w:rsidRDefault="00861774" w:rsidP="00861774">
      <w:pPr>
        <w:pStyle w:val="HChG"/>
      </w:pPr>
      <w:r w:rsidRPr="0038459B">
        <w:tab/>
        <w:t>II.</w:t>
      </w:r>
      <w:r w:rsidRPr="0038459B">
        <w:tab/>
        <w:t>Adoption of the agenda (agenda item 1)</w:t>
      </w:r>
      <w:bookmarkStart w:id="1" w:name="_Hlk6316889"/>
      <w:bookmarkStart w:id="2" w:name="_Toc499903630"/>
      <w:bookmarkEnd w:id="1"/>
      <w:bookmarkEnd w:id="2"/>
    </w:p>
    <w:p w14:paraId="766CF301" w14:textId="77777777" w:rsidR="00861774" w:rsidRPr="0038459B" w:rsidRDefault="00861774" w:rsidP="00861774">
      <w:pPr>
        <w:pStyle w:val="SingleTxtG"/>
        <w:tabs>
          <w:tab w:val="clear" w:pos="1701"/>
          <w:tab w:val="clear" w:pos="2268"/>
        </w:tabs>
        <w:ind w:left="2835" w:hanging="1701"/>
        <w:jc w:val="left"/>
      </w:pPr>
      <w:r w:rsidRPr="0038459B">
        <w:rPr>
          <w:i/>
          <w:iCs/>
        </w:rPr>
        <w:t>Documents</w:t>
      </w:r>
      <w:r w:rsidRPr="0038459B">
        <w:t>:</w:t>
      </w:r>
      <w:r w:rsidRPr="0038459B">
        <w:tab/>
        <w:t>ECE/TRANS/WP.15/266 and ECE/TRANS/WP.15/266/Add.1 (Secretariat)</w:t>
      </w:r>
    </w:p>
    <w:p w14:paraId="4CB37642" w14:textId="77777777" w:rsidR="00861774" w:rsidRPr="0038459B" w:rsidRDefault="00861774" w:rsidP="00861774">
      <w:pPr>
        <w:pStyle w:val="SingleTxtG"/>
        <w:tabs>
          <w:tab w:val="clear" w:pos="1701"/>
          <w:tab w:val="clear" w:pos="2268"/>
        </w:tabs>
        <w:ind w:left="2835" w:hanging="1701"/>
        <w:jc w:val="left"/>
      </w:pPr>
      <w:r w:rsidRPr="0038459B">
        <w:rPr>
          <w:i/>
          <w:iCs/>
        </w:rPr>
        <w:t>Informal documents</w:t>
      </w:r>
      <w:r w:rsidRPr="0038459B">
        <w:t>:</w:t>
      </w:r>
      <w:r w:rsidRPr="0038459B">
        <w:tab/>
        <w:t>INF.1, INF.2 and INF.5 (Secretariat)</w:t>
      </w:r>
    </w:p>
    <w:p w14:paraId="1BCC966C" w14:textId="615448F5" w:rsidR="00861774" w:rsidRPr="0038459B" w:rsidRDefault="00861774" w:rsidP="00861774">
      <w:pPr>
        <w:pStyle w:val="SingleTxtG"/>
      </w:pPr>
      <w:r w:rsidRPr="0038459B">
        <w:t>6.</w:t>
      </w:r>
      <w:r w:rsidRPr="0038459B">
        <w:tab/>
        <w:t>The Working Party adopted the provisional agenda prepared by the secretariat, as amended by informal document INF.2 to take account of informal documents INF.1 to INF.17.</w:t>
      </w:r>
    </w:p>
    <w:p w14:paraId="12B37BEA" w14:textId="77777777" w:rsidR="00861774" w:rsidRPr="0038459B" w:rsidRDefault="00861774" w:rsidP="00AC2DA8">
      <w:pPr>
        <w:pStyle w:val="HChG"/>
      </w:pPr>
      <w:r w:rsidRPr="0038459B">
        <w:tab/>
        <w:t>III.</w:t>
      </w:r>
      <w:r w:rsidRPr="0038459B">
        <w:tab/>
        <w:t>Eighty-sixth session of the Inland Transport Committee (agenda item 2)</w:t>
      </w:r>
    </w:p>
    <w:p w14:paraId="0AA568D9" w14:textId="77777777" w:rsidR="00861774" w:rsidRPr="0038459B" w:rsidRDefault="00861774" w:rsidP="00AC2DA8">
      <w:pPr>
        <w:pStyle w:val="SingleTxtG"/>
        <w:tabs>
          <w:tab w:val="clear" w:pos="1701"/>
          <w:tab w:val="clear" w:pos="2268"/>
        </w:tabs>
        <w:ind w:left="2835" w:hanging="1701"/>
        <w:jc w:val="left"/>
      </w:pPr>
      <w:r w:rsidRPr="0038459B">
        <w:rPr>
          <w:i/>
          <w:iCs/>
        </w:rPr>
        <w:t>Documents</w:t>
      </w:r>
      <w:r w:rsidRPr="0038459B">
        <w:t>:</w:t>
      </w:r>
      <w:r w:rsidRPr="0038459B">
        <w:tab/>
        <w:t>ECE/TRANS/WP.15/2024/9 (Secretariat), ECE/TRANS/2024/9 (Secretariat of the Inland Transport Committee), ECE/TRANS/344 (Report of the Inland Transport Committee on its eighty-sixth session) (</w:t>
      </w:r>
      <w:r w:rsidRPr="0038459B">
        <w:rPr>
          <w:i/>
          <w:iCs/>
        </w:rPr>
        <w:t>to come</w:t>
      </w:r>
      <w:r w:rsidRPr="0038459B">
        <w:t>)</w:t>
      </w:r>
    </w:p>
    <w:p w14:paraId="06B40016" w14:textId="16076BAA" w:rsidR="00861774" w:rsidRPr="0038459B" w:rsidRDefault="00861774" w:rsidP="00861774">
      <w:pPr>
        <w:pStyle w:val="SingleTxtG"/>
        <w:tabs>
          <w:tab w:val="clear" w:pos="1701"/>
          <w:tab w:val="clear" w:pos="2268"/>
        </w:tabs>
        <w:ind w:left="2410" w:hanging="1276"/>
        <w:jc w:val="left"/>
      </w:pPr>
      <w:r w:rsidRPr="0038459B">
        <w:rPr>
          <w:i/>
          <w:iCs/>
        </w:rPr>
        <w:t>Informal document</w:t>
      </w:r>
      <w:r w:rsidRPr="0038459B">
        <w:t>:</w:t>
      </w:r>
      <w:r w:rsidRPr="0038459B">
        <w:tab/>
        <w:t>INF.16</w:t>
      </w:r>
      <w:r w:rsidR="006546C7" w:rsidRPr="0038459B">
        <w:t xml:space="preserve"> (Secretariat of the Inland Transport Committee)</w:t>
      </w:r>
    </w:p>
    <w:p w14:paraId="427408C2" w14:textId="77777777" w:rsidR="00861774" w:rsidRPr="0038459B" w:rsidRDefault="00861774" w:rsidP="00861774">
      <w:pPr>
        <w:pStyle w:val="SingleTxtG"/>
      </w:pPr>
      <w:r w:rsidRPr="0038459B">
        <w:t>7.</w:t>
      </w:r>
      <w:r w:rsidRPr="0038459B">
        <w:tab/>
        <w:t>The secretariat informed the Working Party of the relevant outcomes of the latest session of the Inland Transport Committee (ITC) (20–23 February 2024).</w:t>
      </w:r>
    </w:p>
    <w:p w14:paraId="7880E03A" w14:textId="77777777" w:rsidR="00861774" w:rsidRPr="0038459B" w:rsidRDefault="00861774" w:rsidP="00861774">
      <w:pPr>
        <w:pStyle w:val="SingleTxtG"/>
      </w:pPr>
      <w:r w:rsidRPr="0038459B">
        <w:t>8.</w:t>
      </w:r>
      <w:r w:rsidRPr="0038459B">
        <w:tab/>
        <w:t>The Working Party expressed its satisfaction with the approval by ITC of its terms of reference, as revised and reproduced in annex I of document ECE/TRANS/WP.15/2024/9, and with the adoption of these terms of reference by the Executive Committee of the Economic Commission for Europe at its 133rd session (25 March 2024).</w:t>
      </w:r>
    </w:p>
    <w:p w14:paraId="0327048A" w14:textId="339CBAB3" w:rsidR="00861774" w:rsidRPr="0038459B" w:rsidRDefault="00861774" w:rsidP="00861774">
      <w:pPr>
        <w:pStyle w:val="SingleTxtG"/>
      </w:pPr>
      <w:r w:rsidRPr="0038459B">
        <w:t>9.</w:t>
      </w:r>
      <w:r w:rsidRPr="0038459B">
        <w:tab/>
        <w:t xml:space="preserve">Document ECE/TRANS/2024/9, presented at the eighty-sixth session of ITC, included the submissions of the Working Parties as part of the ITC review of their terms of reference, in accordance with the results of the 2005 reform of the Economic Commission for Europe (ECE) and the consequent guidelines for the establishment and functioning of Working Parties in ECE (ECE/EX/1). The Working Party noted that the secretariat would, </w:t>
      </w:r>
      <w:proofErr w:type="gramStart"/>
      <w:r w:rsidRPr="0038459B">
        <w:t>on the basis of</w:t>
      </w:r>
      <w:proofErr w:type="gramEnd"/>
      <w:r w:rsidRPr="0038459B">
        <w:t xml:space="preserve"> this document, carry out an intersectoral analysis and make recommendations on future priorities for the work of ITC, for consideration and possible adoption by ITC at its eighty-seventh session in 202</w:t>
      </w:r>
      <w:r w:rsidR="00552FE7" w:rsidRPr="0038459B">
        <w:t>5</w:t>
      </w:r>
      <w:r w:rsidRPr="0038459B">
        <w:t>.</w:t>
      </w:r>
    </w:p>
    <w:p w14:paraId="0AE5D22A" w14:textId="77777777" w:rsidR="00861774" w:rsidRPr="0038459B" w:rsidRDefault="00861774" w:rsidP="00861774">
      <w:pPr>
        <w:pStyle w:val="SingleTxtG"/>
      </w:pPr>
      <w:r w:rsidRPr="0038459B">
        <w:lastRenderedPageBreak/>
        <w:t>10.</w:t>
      </w:r>
      <w:r w:rsidRPr="0038459B">
        <w:tab/>
        <w:t>The Working Party noted with satisfaction that the Committee had approved its programme of work and the publication by the secretariat of the consolidated texts of ADR and ADN as they would be amended on 1 January 2025.</w:t>
      </w:r>
    </w:p>
    <w:p w14:paraId="2DBC594C" w14:textId="10E1836E" w:rsidR="00861774" w:rsidRPr="0038459B" w:rsidRDefault="00861774" w:rsidP="00861774">
      <w:pPr>
        <w:pStyle w:val="SingleTxtG"/>
      </w:pPr>
      <w:r w:rsidRPr="0038459B">
        <w:t>11.</w:t>
      </w:r>
      <w:r w:rsidRPr="0038459B">
        <w:tab/>
        <w:t xml:space="preserve">The Working Party welcomed the adoption of the ITC Strategy on Reducing Greenhouse Gas Emissions from Inland Transport and noted that ITC had asked its relevant subsidiary bodies to align their programmes of work with this strategy. The Working Party noted that its programme of work was already contributing to the implementation of this strategy, particularly </w:t>
      </w:r>
      <w:proofErr w:type="gramStart"/>
      <w:r w:rsidRPr="0038459B">
        <w:t>with regard to</w:t>
      </w:r>
      <w:proofErr w:type="gramEnd"/>
      <w:r w:rsidRPr="0038459B">
        <w:t xml:space="preserve"> improving the vehicles used to transport dangerous goods to reduce greenhouse gas emissions.</w:t>
      </w:r>
    </w:p>
    <w:p w14:paraId="2DBA8062" w14:textId="77777777" w:rsidR="00861774" w:rsidRPr="0038459B" w:rsidRDefault="00861774" w:rsidP="00861774">
      <w:pPr>
        <w:pStyle w:val="HChG"/>
      </w:pPr>
      <w:r w:rsidRPr="0038459B">
        <w:tab/>
        <w:t>IV.</w:t>
      </w:r>
      <w:r w:rsidRPr="0038459B">
        <w:tab/>
        <w:t>Status of the Agreement concerning the International Carriage of Dangerous Goods by Road (ADR) and related issues (agenda item 3)</w:t>
      </w:r>
    </w:p>
    <w:p w14:paraId="66DBFAA4" w14:textId="77777777" w:rsidR="00861774" w:rsidRPr="0038459B" w:rsidRDefault="00861774" w:rsidP="00861774">
      <w:pPr>
        <w:pStyle w:val="H1G"/>
      </w:pPr>
      <w:r w:rsidRPr="0038459B">
        <w:tab/>
        <w:t>A.</w:t>
      </w:r>
      <w:r w:rsidRPr="0038459B">
        <w:tab/>
        <w:t>Status of the Agreement</w:t>
      </w:r>
    </w:p>
    <w:p w14:paraId="202B4F44" w14:textId="77777777" w:rsidR="00861774" w:rsidRPr="0038459B" w:rsidRDefault="00861774" w:rsidP="00861774">
      <w:pPr>
        <w:pStyle w:val="SingleTxtG"/>
      </w:pPr>
      <w:r w:rsidRPr="0038459B">
        <w:t>12.</w:t>
      </w:r>
      <w:r w:rsidRPr="0038459B">
        <w:tab/>
        <w:t>There were no changes to the status of ADR (54 contracting parties) nor to that of the Protocol of amendment of 1993 (40 contracting parties) since the last session.</w:t>
      </w:r>
    </w:p>
    <w:p w14:paraId="388CB23B" w14:textId="77777777" w:rsidR="00861774" w:rsidRPr="0038459B" w:rsidRDefault="00861774" w:rsidP="00861774">
      <w:pPr>
        <w:pStyle w:val="H1G"/>
        <w:rPr>
          <w:rFonts w:eastAsia="Calibri"/>
        </w:rPr>
      </w:pPr>
      <w:r w:rsidRPr="0038459B">
        <w:tab/>
        <w:t>B.</w:t>
      </w:r>
      <w:r w:rsidRPr="0038459B">
        <w:tab/>
        <w:t>Protocol of amendment of 1993</w:t>
      </w:r>
    </w:p>
    <w:p w14:paraId="089E42B3" w14:textId="77777777" w:rsidR="00861774" w:rsidRPr="0038459B" w:rsidRDefault="00861774" w:rsidP="00861774">
      <w:pPr>
        <w:pStyle w:val="SingleTxtG"/>
      </w:pPr>
      <w:r w:rsidRPr="0038459B">
        <w:t>13.</w:t>
      </w:r>
      <w:r w:rsidRPr="0038459B">
        <w:tab/>
        <w:t xml:space="preserve">The Working Party deplored the fact that there were still 14 countries (Armenia, Azerbaijan, Belarus, Bosnia and Herzegovina, Croatia, Iceland, Kazakhstan, Montenegro, Morocco, Nigeria, North Macedonia, San Marino, </w:t>
      </w:r>
      <w:proofErr w:type="gramStart"/>
      <w:r w:rsidRPr="0038459B">
        <w:t>Tajikistan</w:t>
      </w:r>
      <w:proofErr w:type="gramEnd"/>
      <w:r w:rsidRPr="0038459B">
        <w:t xml:space="preserve"> and Uganda) that had not deposited the appropriate legal instrument, thereby preventing the Protocol from entering into force. The Working Party encouraged these countries to take the necessary steps to ratify or accede to the Protocol.</w:t>
      </w:r>
    </w:p>
    <w:p w14:paraId="3A718885" w14:textId="77777777" w:rsidR="00861774" w:rsidRPr="0038459B" w:rsidRDefault="00861774" w:rsidP="00861774">
      <w:pPr>
        <w:pStyle w:val="H1G"/>
      </w:pPr>
      <w:r w:rsidRPr="0038459B">
        <w:tab/>
        <w:t>C.</w:t>
      </w:r>
      <w:r w:rsidRPr="0038459B">
        <w:tab/>
        <w:t>Translation of ADR into Arabic</w:t>
      </w:r>
      <w:bookmarkStart w:id="3" w:name="_Hlk95746437"/>
      <w:bookmarkEnd w:id="3"/>
    </w:p>
    <w:p w14:paraId="308F38B3" w14:textId="77777777" w:rsidR="00861774" w:rsidRPr="0038459B" w:rsidRDefault="00861774" w:rsidP="00861774">
      <w:pPr>
        <w:pStyle w:val="SingleTxtG"/>
      </w:pPr>
      <w:r w:rsidRPr="0038459B">
        <w:t>14.</w:t>
      </w:r>
      <w:r w:rsidRPr="0038459B">
        <w:tab/>
        <w:t xml:space="preserve">The Working Party welcomed the publication of ADR 2023 in Arabic by the services of the United Nations and thanked the </w:t>
      </w:r>
      <w:proofErr w:type="spellStart"/>
      <w:r w:rsidRPr="0038459B">
        <w:t>EuroMed</w:t>
      </w:r>
      <w:proofErr w:type="spellEnd"/>
      <w:r w:rsidRPr="0038459B">
        <w:t xml:space="preserve"> Transport Support Project (TSP) for taking on the translation of this first version.</w:t>
      </w:r>
    </w:p>
    <w:p w14:paraId="017EF177" w14:textId="77777777" w:rsidR="00861774" w:rsidRPr="0038459B" w:rsidRDefault="00861774" w:rsidP="00861774">
      <w:pPr>
        <w:pStyle w:val="SingleTxtG"/>
      </w:pPr>
      <w:r w:rsidRPr="0038459B">
        <w:t>15.</w:t>
      </w:r>
      <w:r w:rsidRPr="0038459B">
        <w:tab/>
        <w:t>A member of the secretariat announced that the translation and publication of the 2025 edition in Arabic had been approved by the relevant United Nations departments. The Working Party welcomed this news as a promising step towards a permanent solution for the translation of amendments every two years and the publication of the corresponding consolidated amended versions.</w:t>
      </w:r>
    </w:p>
    <w:p w14:paraId="7E020BD0" w14:textId="77777777" w:rsidR="00861774" w:rsidRPr="0038459B" w:rsidRDefault="00861774" w:rsidP="00861774">
      <w:pPr>
        <w:pStyle w:val="HChG"/>
      </w:pPr>
      <w:r w:rsidRPr="0038459B">
        <w:tab/>
        <w:t>V.</w:t>
      </w:r>
      <w:r w:rsidRPr="0038459B">
        <w:tab/>
        <w:t>Work of the RID/ADR/ADN Joint Meeting (agenda item 4)</w:t>
      </w:r>
    </w:p>
    <w:p w14:paraId="2F8C2380" w14:textId="77777777" w:rsidR="00861774" w:rsidRPr="0038459B" w:rsidRDefault="00861774" w:rsidP="00861774">
      <w:pPr>
        <w:pStyle w:val="H1G"/>
      </w:pPr>
      <w:r w:rsidRPr="0038459B">
        <w:tab/>
        <w:t>A.</w:t>
      </w:r>
      <w:r w:rsidRPr="0038459B">
        <w:tab/>
        <w:t>Pending issues</w:t>
      </w:r>
    </w:p>
    <w:p w14:paraId="2E3AAAF6" w14:textId="77777777" w:rsidR="00861774" w:rsidRPr="0038459B" w:rsidRDefault="00861774" w:rsidP="00861774">
      <w:pPr>
        <w:pStyle w:val="SingleTxtG"/>
        <w:tabs>
          <w:tab w:val="clear" w:pos="1701"/>
          <w:tab w:val="clear" w:pos="2268"/>
        </w:tabs>
        <w:ind w:left="2835" w:hanging="1701"/>
      </w:pPr>
      <w:r w:rsidRPr="0038459B">
        <w:rPr>
          <w:i/>
          <w:iCs/>
        </w:rPr>
        <w:t>Document</w:t>
      </w:r>
      <w:r w:rsidRPr="0038459B">
        <w:t>:</w:t>
      </w:r>
      <w:r w:rsidRPr="0038459B">
        <w:tab/>
        <w:t>ECE/TRANS/WP.15/264, annex III (Secretariat)</w:t>
      </w:r>
    </w:p>
    <w:p w14:paraId="1BBD6175" w14:textId="77777777" w:rsidR="00861774" w:rsidRPr="0038459B" w:rsidRDefault="00861774" w:rsidP="00861774">
      <w:pPr>
        <w:pStyle w:val="SingleTxtG"/>
        <w:tabs>
          <w:tab w:val="clear" w:pos="1701"/>
          <w:tab w:val="clear" w:pos="2268"/>
        </w:tabs>
        <w:ind w:left="2835" w:hanging="1701"/>
      </w:pPr>
      <w:r w:rsidRPr="0038459B">
        <w:rPr>
          <w:i/>
          <w:iCs/>
        </w:rPr>
        <w:t>Informal document</w:t>
      </w:r>
      <w:r w:rsidRPr="0038459B">
        <w:t>:</w:t>
      </w:r>
      <w:r w:rsidRPr="0038459B">
        <w:tab/>
        <w:t>INF.13 (Secretariat)</w:t>
      </w:r>
    </w:p>
    <w:p w14:paraId="4B5080EC" w14:textId="7D6C5A66" w:rsidR="00861774" w:rsidRPr="0038459B" w:rsidRDefault="00861774" w:rsidP="00861774">
      <w:pPr>
        <w:pStyle w:val="SingleTxtG"/>
      </w:pPr>
      <w:r w:rsidRPr="0038459B">
        <w:t>16.</w:t>
      </w:r>
      <w:r w:rsidRPr="0038459B">
        <w:tab/>
        <w:t xml:space="preserve">The draft amendments to Chapters 6.2 and 6.8 contained in annex III of the report contained in ECE/TRANS/WP.15/264 were designed to reference standards EN </w:t>
      </w:r>
      <w:proofErr w:type="gramStart"/>
      <w:r w:rsidRPr="0038459B">
        <w:t>14129:[</w:t>
      </w:r>
      <w:proofErr w:type="gramEnd"/>
      <w:r w:rsidRPr="0038459B">
        <w:t xml:space="preserve">2023] and EN ISO 21011:[2023] in RID/ADR. CEN indicated that the new version of EN 14129 would not be published in time to be referenced in RID/ADR 2025 and that </w:t>
      </w:r>
      <w:proofErr w:type="spellStart"/>
      <w:r w:rsidRPr="0038459B">
        <w:t>FprEN</w:t>
      </w:r>
      <w:proofErr w:type="spellEnd"/>
      <w:r w:rsidRPr="0038459B">
        <w:t xml:space="preserve"> ISO 21011 had been withdrawn from the programme of work for the time being. Consequently, the amendments to Chapters 6.2 and 6.8 of annex III to document ECE/TRANS/WP.15/264 had been withdrawn</w:t>
      </w:r>
      <w:r w:rsidR="00C2658D" w:rsidRPr="0038459B">
        <w:t xml:space="preserve"> (see annex I)</w:t>
      </w:r>
      <w:r w:rsidRPr="0038459B">
        <w:t>.</w:t>
      </w:r>
    </w:p>
    <w:p w14:paraId="6A6EB925" w14:textId="77777777" w:rsidR="00861774" w:rsidRPr="0038459B" w:rsidRDefault="00861774" w:rsidP="00861774">
      <w:pPr>
        <w:pStyle w:val="H1G"/>
      </w:pPr>
      <w:r w:rsidRPr="0038459B">
        <w:lastRenderedPageBreak/>
        <w:tab/>
        <w:t>B.</w:t>
      </w:r>
      <w:r w:rsidRPr="0038459B">
        <w:tab/>
        <w:t>Amendments proposed by the Joint Meeting at its spring 2024 session for entry into force on 1 January 2025</w:t>
      </w:r>
    </w:p>
    <w:p w14:paraId="34C1B15C" w14:textId="063EA586" w:rsidR="00861774" w:rsidRPr="0038459B" w:rsidRDefault="00861774" w:rsidP="00861774">
      <w:pPr>
        <w:pStyle w:val="SingleTxtG"/>
        <w:tabs>
          <w:tab w:val="clear" w:pos="1701"/>
          <w:tab w:val="clear" w:pos="2268"/>
        </w:tabs>
        <w:ind w:left="2835" w:hanging="1701"/>
      </w:pPr>
      <w:r w:rsidRPr="0038459B">
        <w:rPr>
          <w:i/>
          <w:iCs/>
        </w:rPr>
        <w:t>Document</w:t>
      </w:r>
      <w:r w:rsidRPr="0038459B">
        <w:t>:</w:t>
      </w:r>
      <w:r w:rsidRPr="0038459B">
        <w:tab/>
        <w:t xml:space="preserve">ECE/TRANS/WP.15/AC.1/172 (Report of the Joint Meeting on its spring 2024 session) (Secretariat) </w:t>
      </w:r>
    </w:p>
    <w:p w14:paraId="05BDE600" w14:textId="77777777" w:rsidR="00861774" w:rsidRPr="0038459B" w:rsidRDefault="00861774" w:rsidP="00861774">
      <w:pPr>
        <w:pStyle w:val="SingleTxtG"/>
        <w:tabs>
          <w:tab w:val="clear" w:pos="1701"/>
          <w:tab w:val="clear" w:pos="2268"/>
        </w:tabs>
        <w:ind w:left="2835" w:hanging="1701"/>
      </w:pPr>
      <w:r w:rsidRPr="0038459B">
        <w:rPr>
          <w:i/>
          <w:iCs/>
        </w:rPr>
        <w:t>Informal document:</w:t>
      </w:r>
      <w:r w:rsidRPr="0038459B">
        <w:rPr>
          <w:i/>
          <w:iCs/>
        </w:rPr>
        <w:tab/>
      </w:r>
      <w:r w:rsidRPr="0038459B">
        <w:t>INF.12 (Secretariat)</w:t>
      </w:r>
    </w:p>
    <w:p w14:paraId="612D3DBA" w14:textId="77777777" w:rsidR="00861774" w:rsidRPr="0038459B" w:rsidRDefault="00861774" w:rsidP="00861774">
      <w:pPr>
        <w:pStyle w:val="SingleTxtG"/>
      </w:pPr>
      <w:r w:rsidRPr="0038459B">
        <w:t>17.</w:t>
      </w:r>
      <w:r w:rsidRPr="0038459B">
        <w:tab/>
        <w:t>The Working Party considered the proposed amendments to ADR in informal document INF.12.</w:t>
      </w:r>
    </w:p>
    <w:p w14:paraId="1FA5FD76" w14:textId="6E05BED9" w:rsidR="00861774" w:rsidRPr="0038459B" w:rsidRDefault="00861774" w:rsidP="00861774">
      <w:pPr>
        <w:pStyle w:val="SingleTxtG"/>
      </w:pPr>
      <w:r w:rsidRPr="0038459B">
        <w:t>18.</w:t>
      </w:r>
      <w:r w:rsidRPr="0038459B">
        <w:tab/>
        <w:t xml:space="preserve">The Working Party noted that the amendment to EN ISO 17871:2020 could not be published before 1 June 2024. The draft amendments to reference this amendment were adopted for entry into force on 1 January 2027 (see annex </w:t>
      </w:r>
      <w:r w:rsidR="00DE4364" w:rsidRPr="0038459B">
        <w:t>II).</w:t>
      </w:r>
    </w:p>
    <w:p w14:paraId="3DF95921" w14:textId="3C787E4A" w:rsidR="00861774" w:rsidRPr="0038459B" w:rsidRDefault="00861774" w:rsidP="00861774">
      <w:pPr>
        <w:pStyle w:val="SingleTxtG"/>
      </w:pPr>
      <w:r w:rsidRPr="0038459B">
        <w:t>19.</w:t>
      </w:r>
      <w:r w:rsidRPr="0038459B">
        <w:tab/>
        <w:t xml:space="preserve">The Working Party adopted the other proposed amendments with some corrections for entry into force on 1 January 2025 (see annex </w:t>
      </w:r>
      <w:r w:rsidR="00DE4364" w:rsidRPr="0038459B">
        <w:t xml:space="preserve">I). </w:t>
      </w:r>
      <w:r w:rsidRPr="0038459B">
        <w:t>The Working Party noted that the amendments would also be brought to the attention of the RID Committee of Experts.</w:t>
      </w:r>
    </w:p>
    <w:p w14:paraId="21DD28D9" w14:textId="49FC5F73" w:rsidR="00861774" w:rsidRPr="0038459B" w:rsidRDefault="00861774" w:rsidP="00861774">
      <w:pPr>
        <w:pStyle w:val="SingleTxtG"/>
      </w:pPr>
      <w:r w:rsidRPr="0038459B">
        <w:t>20.</w:t>
      </w:r>
      <w:r w:rsidRPr="0038459B">
        <w:tab/>
        <w:t xml:space="preserve">The Working Party noted that the revised versions of ISO 10297 and 13322-1 and amendment A1 to EN 12972:2018 had not been published at the time of the session but were due to be published by 31 May 2024. The Working Party adopted the draft amendments to reference the standards in ADR 2025, </w:t>
      </w:r>
      <w:proofErr w:type="gramStart"/>
      <w:r w:rsidRPr="0038459B">
        <w:t>provided that</w:t>
      </w:r>
      <w:proofErr w:type="gramEnd"/>
      <w:r w:rsidRPr="0038459B">
        <w:t xml:space="preserve"> they were published before that date. If not, the amendments would not be included in the proposed amendments to be notified to the Contracting Parties on 1 July 2024 for entry into force on 1 January 2025 and would be added to the list for the attention of the Working Group on Standards of the Joint Meeting.</w:t>
      </w:r>
    </w:p>
    <w:p w14:paraId="3C74C8DA" w14:textId="6774B1AC" w:rsidR="00861774" w:rsidRPr="0038459B" w:rsidRDefault="00861774" w:rsidP="00861774">
      <w:pPr>
        <w:pStyle w:val="SingleTxtG"/>
      </w:pPr>
      <w:r w:rsidRPr="0038459B">
        <w:t>21.</w:t>
      </w:r>
      <w:r w:rsidRPr="0038459B">
        <w:tab/>
        <w:t xml:space="preserve">The Working Party noted that the </w:t>
      </w:r>
      <w:r w:rsidR="009C5720" w:rsidRPr="0038459B">
        <w:t xml:space="preserve">German version of the </w:t>
      </w:r>
      <w:r w:rsidRPr="0038459B">
        <w:t>report of the Joint Meeting</w:t>
      </w:r>
      <w:r w:rsidR="00ED0A44" w:rsidRPr="0038459B">
        <w:rPr>
          <w:rStyle w:val="FootnoteReference"/>
        </w:rPr>
        <w:footnoteReference w:id="2"/>
      </w:r>
      <w:r w:rsidRPr="0038459B">
        <w:t xml:space="preserve"> would also contain amendments applicable to the German version of ADR and invited German-speaking delegations to include these amendments in their translations of ADR 2025.</w:t>
      </w:r>
    </w:p>
    <w:p w14:paraId="2F035EB7" w14:textId="77777777" w:rsidR="007409DF" w:rsidRPr="0038459B" w:rsidRDefault="007409DF" w:rsidP="007409DF">
      <w:pPr>
        <w:pStyle w:val="H1G"/>
      </w:pPr>
      <w:r w:rsidRPr="0038459B">
        <w:tab/>
        <w:t>C.</w:t>
      </w:r>
      <w:r w:rsidRPr="0038459B">
        <w:tab/>
        <w:t>Corrections to amendments already adopted</w:t>
      </w:r>
    </w:p>
    <w:p w14:paraId="2F5550F9" w14:textId="48C1F691" w:rsidR="007409DF" w:rsidRPr="0038459B" w:rsidRDefault="007409DF" w:rsidP="00DA6907">
      <w:pPr>
        <w:pStyle w:val="SingleTxtG"/>
        <w:tabs>
          <w:tab w:val="clear" w:pos="1701"/>
          <w:tab w:val="clear" w:pos="2268"/>
        </w:tabs>
        <w:ind w:left="2835" w:hanging="1701"/>
      </w:pPr>
      <w:r w:rsidRPr="0038459B">
        <w:rPr>
          <w:i/>
          <w:iCs/>
        </w:rPr>
        <w:t>Document</w:t>
      </w:r>
      <w:r w:rsidRPr="0038459B">
        <w:t>:</w:t>
      </w:r>
      <w:r w:rsidRPr="0038459B">
        <w:tab/>
        <w:t xml:space="preserve">ECE/TRANS/WP.15/AC.1/172 (Report of the Joint Meeting on its spring 2024 session) (Secretariat) </w:t>
      </w:r>
    </w:p>
    <w:p w14:paraId="771026A9" w14:textId="77777777" w:rsidR="007409DF" w:rsidRPr="0038459B" w:rsidRDefault="007409DF" w:rsidP="007409DF">
      <w:pPr>
        <w:pStyle w:val="SingleTxtG"/>
        <w:tabs>
          <w:tab w:val="clear" w:pos="1701"/>
          <w:tab w:val="clear" w:pos="2268"/>
          <w:tab w:val="left" w:pos="3402"/>
        </w:tabs>
      </w:pPr>
      <w:r w:rsidRPr="0038459B">
        <w:rPr>
          <w:i/>
          <w:iCs/>
        </w:rPr>
        <w:t>Informal document</w:t>
      </w:r>
      <w:r w:rsidRPr="0038459B">
        <w:t>:</w:t>
      </w:r>
      <w:r w:rsidRPr="0038459B">
        <w:tab/>
        <w:t>INF.12 (Secretariat)</w:t>
      </w:r>
    </w:p>
    <w:p w14:paraId="41A8292A" w14:textId="735EFB6D" w:rsidR="007409DF" w:rsidRPr="0038459B" w:rsidRDefault="007409DF" w:rsidP="007409DF">
      <w:pPr>
        <w:pStyle w:val="SingleTxtG"/>
      </w:pPr>
      <w:r w:rsidRPr="0038459B">
        <w:t>22.</w:t>
      </w:r>
      <w:r w:rsidRPr="0038459B">
        <w:tab/>
        <w:t xml:space="preserve">The Working Party endorsed the corrections proposed in informal document INF.12 (see annex </w:t>
      </w:r>
      <w:r w:rsidR="00753615" w:rsidRPr="0038459B">
        <w:t>III).</w:t>
      </w:r>
    </w:p>
    <w:p w14:paraId="6B400F31" w14:textId="77777777" w:rsidR="007409DF" w:rsidRPr="0038459B" w:rsidRDefault="007409DF" w:rsidP="007409DF">
      <w:pPr>
        <w:pStyle w:val="H1G"/>
      </w:pPr>
      <w:r w:rsidRPr="0038459B">
        <w:tab/>
        <w:t>D.</w:t>
      </w:r>
      <w:r w:rsidRPr="0038459B">
        <w:tab/>
        <w:t>Amendments proposed by the Joint Meeting at its spring 2024 session for entry into force on 1 January 2027</w:t>
      </w:r>
    </w:p>
    <w:p w14:paraId="1393A9F6" w14:textId="4A66A83E" w:rsidR="007409DF" w:rsidRPr="0038459B" w:rsidRDefault="007409DF" w:rsidP="00753615">
      <w:pPr>
        <w:pStyle w:val="SingleTxtG"/>
        <w:tabs>
          <w:tab w:val="clear" w:pos="1701"/>
          <w:tab w:val="clear" w:pos="2268"/>
        </w:tabs>
        <w:ind w:left="2835" w:hanging="1701"/>
      </w:pPr>
      <w:r w:rsidRPr="0038459B">
        <w:rPr>
          <w:i/>
          <w:iCs/>
        </w:rPr>
        <w:t>Document</w:t>
      </w:r>
      <w:r w:rsidRPr="0038459B">
        <w:t>:</w:t>
      </w:r>
      <w:r w:rsidRPr="0038459B">
        <w:tab/>
        <w:t xml:space="preserve">ECE/TRANS/WP.15/AC.1/172 (Report of the Joint Meeting on its spring 2024 session) (Secretariat) </w:t>
      </w:r>
    </w:p>
    <w:p w14:paraId="22EC1038" w14:textId="77777777" w:rsidR="007409DF" w:rsidRPr="0038459B" w:rsidRDefault="007409DF" w:rsidP="007409DF">
      <w:pPr>
        <w:pStyle w:val="SingleTxtG"/>
        <w:tabs>
          <w:tab w:val="clear" w:pos="1701"/>
          <w:tab w:val="clear" w:pos="2268"/>
          <w:tab w:val="left" w:pos="3402"/>
        </w:tabs>
      </w:pPr>
      <w:r w:rsidRPr="0038459B">
        <w:rPr>
          <w:i/>
          <w:iCs/>
        </w:rPr>
        <w:t>Informal document</w:t>
      </w:r>
      <w:r w:rsidRPr="0038459B">
        <w:t>:</w:t>
      </w:r>
      <w:r w:rsidRPr="0038459B">
        <w:tab/>
        <w:t>INF.15 (Secretariat)</w:t>
      </w:r>
    </w:p>
    <w:p w14:paraId="5537039E" w14:textId="29F1D81C" w:rsidR="007409DF" w:rsidRPr="0038459B" w:rsidRDefault="007409DF" w:rsidP="007409DF">
      <w:pPr>
        <w:pStyle w:val="SingleTxtG"/>
      </w:pPr>
      <w:r w:rsidRPr="0038459B">
        <w:t>23.</w:t>
      </w:r>
      <w:r w:rsidRPr="0038459B">
        <w:tab/>
        <w:t xml:space="preserve">The Working Party endorsed the proposed amendments adopted by the Joint Meeting, as set out in informal document INF.15 (see annex </w:t>
      </w:r>
      <w:r w:rsidR="00753615" w:rsidRPr="0038459B">
        <w:t>II).</w:t>
      </w:r>
    </w:p>
    <w:p w14:paraId="3A92A4FB" w14:textId="77777777" w:rsidR="007409DF" w:rsidRPr="0038459B" w:rsidRDefault="007409DF" w:rsidP="007409DF">
      <w:pPr>
        <w:pStyle w:val="SingleTxtG"/>
      </w:pPr>
      <w:r w:rsidRPr="0038459B">
        <w:t>24.</w:t>
      </w:r>
      <w:r w:rsidRPr="0038459B">
        <w:tab/>
        <w:t>The Working Party noted that the amendment to packing instruction P200 in 4.1.4.1, to permit the interval between the periodic inspection of liquefied petroleum gas cylinders manufactured according to EN 14140 to be extended from 10 to 15 years, could be the subject of a multilateral agreement to enable contracting parties wishing to do so to implement these provisions in advance.</w:t>
      </w:r>
    </w:p>
    <w:p w14:paraId="26D01032" w14:textId="77777777" w:rsidR="007409DF" w:rsidRPr="0038459B" w:rsidRDefault="007409DF" w:rsidP="007409DF">
      <w:pPr>
        <w:pStyle w:val="SingleTxtG"/>
      </w:pPr>
      <w:r w:rsidRPr="0038459B">
        <w:lastRenderedPageBreak/>
        <w:t>25.</w:t>
      </w:r>
      <w:r w:rsidRPr="0038459B">
        <w:tab/>
      </w:r>
      <w:proofErr w:type="gramStart"/>
      <w:r w:rsidRPr="0038459B">
        <w:t>With regard to</w:t>
      </w:r>
      <w:proofErr w:type="gramEnd"/>
      <w:r w:rsidRPr="0038459B">
        <w:t xml:space="preserve"> the amendment to 6.8.2.4.3, the Working Party noted that the adopted provision was not a new provision but a clarification for competent authorities and their inspection services on the inspection of tanks for which the specified date for intermediate inspection had passed. The Working Party asked the secretariat to add this clarification to the page dedicated to interpretations of ADR on the website of the Economic Commission for Europe.</w:t>
      </w:r>
    </w:p>
    <w:p w14:paraId="170A0DEE" w14:textId="77777777" w:rsidR="007409DF" w:rsidRPr="0038459B" w:rsidRDefault="007409DF" w:rsidP="007409DF">
      <w:pPr>
        <w:pStyle w:val="H1G"/>
      </w:pPr>
      <w:r w:rsidRPr="0038459B">
        <w:tab/>
        <w:t>E.</w:t>
      </w:r>
      <w:r w:rsidRPr="0038459B">
        <w:tab/>
        <w:t xml:space="preserve">Definition of a closed vehicle </w:t>
      </w:r>
    </w:p>
    <w:p w14:paraId="77C52D0A" w14:textId="77777777" w:rsidR="007409DF" w:rsidRPr="0038459B" w:rsidRDefault="007409DF" w:rsidP="007409DF">
      <w:pPr>
        <w:pStyle w:val="SingleTxtG"/>
      </w:pPr>
      <w:r w:rsidRPr="0038459B">
        <w:t>26.</w:t>
      </w:r>
      <w:r w:rsidRPr="0038459B">
        <w:tab/>
        <w:t xml:space="preserve">At its 114th session, </w:t>
      </w:r>
      <w:proofErr w:type="gramStart"/>
      <w:r w:rsidRPr="0038459B">
        <w:t>on the basis of</w:t>
      </w:r>
      <w:proofErr w:type="gramEnd"/>
      <w:r w:rsidRPr="0038459B">
        <w:t xml:space="preserve"> informal document INF.8, the Working Party considered a proposal from the Netherlands to amend the definition of “closed vehicle” in ADR. During the discussion, WP.15 had confirmed that the definition could be improved but that the subject should be discussed in the Joint Meeting to also </w:t>
      </w:r>
      <w:proofErr w:type="gramStart"/>
      <w:r w:rsidRPr="0038459B">
        <w:t>take into account</w:t>
      </w:r>
      <w:proofErr w:type="gramEnd"/>
      <w:r w:rsidRPr="0038459B">
        <w:t xml:space="preserve"> closed wagons.</w:t>
      </w:r>
    </w:p>
    <w:p w14:paraId="625DC0B5" w14:textId="44C4ABE3" w:rsidR="007409DF" w:rsidRPr="0038459B" w:rsidRDefault="007409DF" w:rsidP="007409DF">
      <w:pPr>
        <w:pStyle w:val="SingleTxtG"/>
      </w:pPr>
      <w:r w:rsidRPr="0038459B">
        <w:t>27.</w:t>
      </w:r>
      <w:r w:rsidRPr="0038459B">
        <w:tab/>
        <w:t xml:space="preserve">The Working Party noted that the representative of the Netherlands had presented this question to the Joint Meeting (document ECE/TRANS/WP.15/AC.1/2024/14) and that discussions should continue at the autumn 2024 session </w:t>
      </w:r>
      <w:proofErr w:type="gramStart"/>
      <w:r w:rsidRPr="0038459B">
        <w:t>on the basis of</w:t>
      </w:r>
      <w:proofErr w:type="gramEnd"/>
      <w:r w:rsidRPr="0038459B">
        <w:t xml:space="preserve"> a detailed proposal. </w:t>
      </w:r>
    </w:p>
    <w:p w14:paraId="41B6C522" w14:textId="47CE03E0" w:rsidR="007409DF" w:rsidRPr="0038459B" w:rsidRDefault="007409DF" w:rsidP="007409DF">
      <w:pPr>
        <w:pStyle w:val="SingleTxtG"/>
      </w:pPr>
      <w:r w:rsidRPr="0038459B">
        <w:t>28.</w:t>
      </w:r>
      <w:r w:rsidRPr="0038459B">
        <w:tab/>
        <w:t xml:space="preserve">The Working Party agreed that this new proposal should examine the consequences for current arrangements where a closed vehicle was required and provide for transitional measures, </w:t>
      </w:r>
      <w:proofErr w:type="gramStart"/>
      <w:r w:rsidRPr="0038459B">
        <w:t>in particular to</w:t>
      </w:r>
      <w:proofErr w:type="gramEnd"/>
      <w:r w:rsidRPr="0038459B">
        <w:t xml:space="preserve"> take account of the use of </w:t>
      </w:r>
      <w:proofErr w:type="spellStart"/>
      <w:r w:rsidRPr="0038459B">
        <w:t>curtainsiders</w:t>
      </w:r>
      <w:proofErr w:type="spellEnd"/>
      <w:r w:rsidRPr="0038459B">
        <w:t xml:space="preserve">. </w:t>
      </w:r>
    </w:p>
    <w:p w14:paraId="1BB579FA" w14:textId="77777777" w:rsidR="007409DF" w:rsidRPr="0038459B" w:rsidRDefault="007409DF" w:rsidP="007409DF">
      <w:pPr>
        <w:pStyle w:val="H1G"/>
      </w:pPr>
      <w:r w:rsidRPr="0038459B">
        <w:tab/>
        <w:t>F.</w:t>
      </w:r>
      <w:r w:rsidRPr="0038459B">
        <w:tab/>
        <w:t>Informal working group on e-learning</w:t>
      </w:r>
    </w:p>
    <w:p w14:paraId="1C153062" w14:textId="4A5693BE" w:rsidR="007409DF" w:rsidRPr="0038459B" w:rsidRDefault="007409DF" w:rsidP="007409DF">
      <w:pPr>
        <w:pStyle w:val="SingleTxtG"/>
      </w:pPr>
      <w:r w:rsidRPr="0038459B">
        <w:t>29.</w:t>
      </w:r>
      <w:r w:rsidRPr="0038459B">
        <w:tab/>
        <w:t xml:space="preserve">The representative of IRU reported on the progress made by the informal working group on e-learning of the Joint Meeting. The Working Party noted that the informal working group had finalized the draft amendments to ADR. These provisions would be the subject of an official proposal at the next session of the Joint Meeting. The Working Party also noted that the informal working group would be working </w:t>
      </w:r>
      <w:r w:rsidR="007D0B79" w:rsidRPr="0038459B">
        <w:t xml:space="preserve">at its forthcoming sessions </w:t>
      </w:r>
      <w:r w:rsidRPr="0038459B">
        <w:t xml:space="preserve">on the text </w:t>
      </w:r>
      <w:r w:rsidR="007D0B79" w:rsidRPr="0038459B">
        <w:t xml:space="preserve">for </w:t>
      </w:r>
      <w:r w:rsidRPr="0038459B">
        <w:t xml:space="preserve">ADN. </w:t>
      </w:r>
    </w:p>
    <w:p w14:paraId="3B0DEF72" w14:textId="77777777" w:rsidR="00C84A4E" w:rsidRPr="0038459B" w:rsidRDefault="00C84A4E" w:rsidP="00C84A4E">
      <w:pPr>
        <w:pStyle w:val="HChG"/>
      </w:pPr>
      <w:r w:rsidRPr="0038459B">
        <w:tab/>
        <w:t>VI.</w:t>
      </w:r>
      <w:r w:rsidRPr="0038459B">
        <w:tab/>
        <w:t>Proposals for amendments to annexes A and B of ADR (agenda item 5)</w:t>
      </w:r>
    </w:p>
    <w:p w14:paraId="20A7AB8D" w14:textId="77777777" w:rsidR="00C84A4E" w:rsidRPr="0038459B" w:rsidRDefault="00C84A4E" w:rsidP="00C84A4E">
      <w:pPr>
        <w:pStyle w:val="H1G"/>
      </w:pPr>
      <w:r w:rsidRPr="0038459B">
        <w:tab/>
        <w:t>A.</w:t>
      </w:r>
      <w:r w:rsidRPr="0038459B">
        <w:tab/>
        <w:t>Construction and approval of vehicles</w:t>
      </w:r>
    </w:p>
    <w:p w14:paraId="5B6D1078" w14:textId="77777777" w:rsidR="00C84A4E" w:rsidRPr="0038459B" w:rsidRDefault="00C84A4E" w:rsidP="00C84A4E">
      <w:pPr>
        <w:pStyle w:val="H23G"/>
      </w:pPr>
      <w:r w:rsidRPr="0038459B">
        <w:tab/>
        <w:t>1.</w:t>
      </w:r>
      <w:r w:rsidRPr="0038459B">
        <w:tab/>
        <w:t>Fire suppression system for engine compartments and thermal protection of wheels</w:t>
      </w:r>
    </w:p>
    <w:p w14:paraId="021DBA0B" w14:textId="77777777" w:rsidR="00C84A4E" w:rsidRPr="0038459B" w:rsidRDefault="00C84A4E" w:rsidP="00CB681E">
      <w:pPr>
        <w:pStyle w:val="SingleTxtG"/>
        <w:tabs>
          <w:tab w:val="clear" w:pos="1701"/>
          <w:tab w:val="clear" w:pos="2268"/>
          <w:tab w:val="clear" w:pos="2835"/>
          <w:tab w:val="left" w:pos="2977"/>
        </w:tabs>
        <w:ind w:left="2977" w:hanging="1843"/>
      </w:pPr>
      <w:r w:rsidRPr="0038459B">
        <w:rPr>
          <w:i/>
          <w:iCs/>
        </w:rPr>
        <w:t>Informal documents</w:t>
      </w:r>
      <w:r w:rsidRPr="0038459B">
        <w:t>:</w:t>
      </w:r>
      <w:r w:rsidRPr="0038459B">
        <w:tab/>
        <w:t>INF.4 and INF.9 (Spain on behalf of the informal working group on the reduction of the risk of BLEVE)</w:t>
      </w:r>
    </w:p>
    <w:p w14:paraId="4976E16E" w14:textId="77777777" w:rsidR="00C84A4E" w:rsidRPr="0038459B" w:rsidRDefault="00C84A4E" w:rsidP="00C84A4E">
      <w:pPr>
        <w:pStyle w:val="SingleTxtG"/>
      </w:pPr>
      <w:r w:rsidRPr="0038459B">
        <w:t>30.</w:t>
      </w:r>
      <w:r w:rsidRPr="0038459B">
        <w:tab/>
        <w:t xml:space="preserve">The Working Party welcomed the results achieved by the informal working group on the reduction of the risk of BLEVE of the Joint Meeting. </w:t>
      </w:r>
    </w:p>
    <w:p w14:paraId="70B323F5" w14:textId="3919B41E" w:rsidR="00C84A4E" w:rsidRPr="0038459B" w:rsidRDefault="00C84A4E" w:rsidP="00C84A4E">
      <w:pPr>
        <w:pStyle w:val="SingleTxtG"/>
      </w:pPr>
      <w:r w:rsidRPr="0038459B">
        <w:t>31.</w:t>
      </w:r>
      <w:r w:rsidRPr="0038459B">
        <w:tab/>
        <w:t>It supported the informal working group’s intention to submit the proposal contained in the annex to informal document INF.9 to the Working Party on General Safety Provisions (GRSG) of the World Forum for Harmonization of Vehicle Regulations (WP.29). This proposal aimed to include requirements for engine fire suppression systems for specific vehicles in UN regulations, for example in UN Regulation No. 105 or No. 107.</w:t>
      </w:r>
    </w:p>
    <w:p w14:paraId="23776D89" w14:textId="77777777" w:rsidR="00C84A4E" w:rsidRPr="0038459B" w:rsidRDefault="00C84A4E" w:rsidP="00C84A4E">
      <w:pPr>
        <w:pStyle w:val="SingleTxtG"/>
      </w:pPr>
      <w:r w:rsidRPr="0038459B">
        <w:t>32.</w:t>
      </w:r>
      <w:r w:rsidRPr="0038459B">
        <w:tab/>
        <w:t>The Working Party noted that the BLEVE working group had not made provision for periodic inspection requirements for these systems, but that this point could be discussed at future meetings of the group.</w:t>
      </w:r>
    </w:p>
    <w:p w14:paraId="37B1DA3E" w14:textId="1F6A46E5" w:rsidR="00C84A4E" w:rsidRPr="0038459B" w:rsidRDefault="00C84A4E" w:rsidP="00C84A4E">
      <w:pPr>
        <w:pStyle w:val="SingleTxtG"/>
      </w:pPr>
      <w:r w:rsidRPr="0038459B">
        <w:t>33.</w:t>
      </w:r>
      <w:r w:rsidRPr="0038459B">
        <w:tab/>
        <w:t xml:space="preserve">The Working Party noted that the informal working group had also discussed the thermal protection of wheels and that discussions would continue at future meetings. </w:t>
      </w:r>
    </w:p>
    <w:p w14:paraId="594D574D" w14:textId="77777777" w:rsidR="00894FE4" w:rsidRPr="0038459B" w:rsidRDefault="00894FE4" w:rsidP="00894FE4">
      <w:pPr>
        <w:pStyle w:val="H23G"/>
        <w:rPr>
          <w:shd w:val="clear" w:color="000000" w:fill="FFFFFF"/>
        </w:rPr>
      </w:pPr>
      <w:r w:rsidRPr="0038459B">
        <w:rPr>
          <w:shd w:val="clear" w:color="000000" w:fill="FFFFFF"/>
        </w:rPr>
        <w:lastRenderedPageBreak/>
        <w:tab/>
        <w:t>2.</w:t>
      </w:r>
      <w:r w:rsidRPr="0038459B">
        <w:rPr>
          <w:shd w:val="clear" w:color="000000" w:fill="FFFFFF"/>
        </w:rPr>
        <w:tab/>
        <w:t>Battery electric vehicles and hydrogen fuelled vehicles</w:t>
      </w:r>
    </w:p>
    <w:p w14:paraId="071B0483" w14:textId="7BFFADBC" w:rsidR="00894FE4" w:rsidRPr="0038459B" w:rsidRDefault="00894FE4" w:rsidP="00176FF1">
      <w:pPr>
        <w:pStyle w:val="SingleTxtG"/>
        <w:tabs>
          <w:tab w:val="clear" w:pos="1701"/>
          <w:tab w:val="clear" w:pos="2268"/>
        </w:tabs>
        <w:ind w:left="2835" w:hanging="1701"/>
        <w:rPr>
          <w:shd w:val="clear" w:color="000000" w:fill="FFFFFF"/>
        </w:rPr>
      </w:pPr>
      <w:r w:rsidRPr="0038459B">
        <w:rPr>
          <w:i/>
          <w:iCs/>
          <w:shd w:val="clear" w:color="000000" w:fill="FFFFFF"/>
        </w:rPr>
        <w:t>Document</w:t>
      </w:r>
      <w:r w:rsidRPr="0038459B">
        <w:rPr>
          <w:shd w:val="clear" w:color="000000" w:fill="FFFFFF"/>
        </w:rPr>
        <w:t>:</w:t>
      </w:r>
      <w:r w:rsidRPr="0038459B">
        <w:rPr>
          <w:shd w:val="clear" w:color="000000" w:fill="FFFFFF"/>
        </w:rPr>
        <w:tab/>
      </w:r>
      <w:r w:rsidRPr="0038459B">
        <w:t>ECE/TRANS/WP.15/2024/8</w:t>
      </w:r>
      <w:r w:rsidRPr="0038459B">
        <w:rPr>
          <w:shd w:val="clear" w:color="000000" w:fill="FFFFFF"/>
        </w:rPr>
        <w:t xml:space="preserve"> (Netherlands, on behalf of the informal working group on electrified vehicles)</w:t>
      </w:r>
    </w:p>
    <w:p w14:paraId="3288B968" w14:textId="77777777" w:rsidR="00894FE4" w:rsidRPr="0038459B" w:rsidRDefault="00894FE4" w:rsidP="000548A5">
      <w:pPr>
        <w:pStyle w:val="SingleTxtG"/>
        <w:tabs>
          <w:tab w:val="clear" w:pos="1701"/>
          <w:tab w:val="clear" w:pos="2268"/>
        </w:tabs>
        <w:ind w:left="2835" w:hanging="1701"/>
        <w:rPr>
          <w:shd w:val="clear" w:color="000000" w:fill="FFFFFF"/>
        </w:rPr>
      </w:pPr>
      <w:r w:rsidRPr="0038459B">
        <w:rPr>
          <w:i/>
          <w:iCs/>
          <w:shd w:val="clear" w:color="000000" w:fill="FFFFFF"/>
        </w:rPr>
        <w:t>Informal documents</w:t>
      </w:r>
      <w:r w:rsidRPr="0038459B">
        <w:rPr>
          <w:shd w:val="clear" w:color="000000" w:fill="FFFFFF"/>
        </w:rPr>
        <w:t>:</w:t>
      </w:r>
      <w:r w:rsidRPr="0038459B">
        <w:rPr>
          <w:shd w:val="clear" w:color="000000" w:fill="FFFFFF"/>
        </w:rPr>
        <w:tab/>
        <w:t>INF.6 (Chair of the informal working group on electrified vehicles), INF.14 (OICA)</w:t>
      </w:r>
    </w:p>
    <w:p w14:paraId="423D9DE0" w14:textId="4FE6516A" w:rsidR="00894FE4" w:rsidRPr="0038459B" w:rsidRDefault="00176FF1" w:rsidP="00894FE4">
      <w:pPr>
        <w:pStyle w:val="SingleTxtG"/>
        <w:rPr>
          <w:shd w:val="clear" w:color="000000" w:fill="FFFFFF"/>
        </w:rPr>
      </w:pPr>
      <w:r w:rsidRPr="0038459B">
        <w:rPr>
          <w:shd w:val="clear" w:color="000000" w:fill="FFFFFF"/>
        </w:rPr>
        <w:t>34</w:t>
      </w:r>
      <w:r w:rsidR="00894FE4" w:rsidRPr="0038459B">
        <w:rPr>
          <w:shd w:val="clear" w:color="000000" w:fill="FFFFFF"/>
        </w:rPr>
        <w:t>.</w:t>
      </w:r>
      <w:r w:rsidR="00894FE4" w:rsidRPr="0038459B">
        <w:rPr>
          <w:shd w:val="clear" w:color="000000" w:fill="FFFFFF"/>
        </w:rPr>
        <w:tab/>
        <w:t xml:space="preserve">At its 114th session, the Working Party had adopted texts aimed at adding, in the 2025 edition of ADR, battery electric vehicles to category FL, hydrogen fuel cell vehicles to categories AT and FL, and vehicles equipped with an internal combustion engine using hydrogen as a fuel to categories AT and FL. These texts, contained in annex III of the report </w:t>
      </w:r>
      <w:r w:rsidR="00894FE4" w:rsidRPr="0038459B">
        <w:t>ECE/TRANS/WP.15/264</w:t>
      </w:r>
      <w:r w:rsidR="00894FE4" w:rsidRPr="0038459B">
        <w:rPr>
          <w:shd w:val="clear" w:color="000000" w:fill="FFFFFF"/>
        </w:rPr>
        <w:t>, had been kept in square brackets for confirmation at the 115th session.</w:t>
      </w:r>
    </w:p>
    <w:p w14:paraId="50DE8512" w14:textId="1FB0BFF6" w:rsidR="00894FE4" w:rsidRPr="0038459B" w:rsidRDefault="00176FF1" w:rsidP="00894FE4">
      <w:pPr>
        <w:pStyle w:val="SingleTxtG"/>
        <w:rPr>
          <w:shd w:val="clear" w:color="000000" w:fill="FFFFFF"/>
        </w:rPr>
      </w:pPr>
      <w:r w:rsidRPr="0038459B">
        <w:rPr>
          <w:shd w:val="clear" w:color="000000" w:fill="FFFFFF"/>
        </w:rPr>
        <w:t>35</w:t>
      </w:r>
      <w:r w:rsidR="00894FE4" w:rsidRPr="0038459B">
        <w:rPr>
          <w:shd w:val="clear" w:color="000000" w:fill="FFFFFF"/>
        </w:rPr>
        <w:t>.</w:t>
      </w:r>
      <w:r w:rsidR="00894FE4" w:rsidRPr="0038459B">
        <w:rPr>
          <w:shd w:val="clear" w:color="000000" w:fill="FFFFFF"/>
        </w:rPr>
        <w:tab/>
        <w:t xml:space="preserve">The informal working group on electrified vehicles proposed amendments to these texts in document </w:t>
      </w:r>
      <w:r w:rsidR="00894FE4" w:rsidRPr="0038459B">
        <w:t>ECE/TRANS/WP.15/2024/8</w:t>
      </w:r>
      <w:r w:rsidR="00894FE4" w:rsidRPr="0038459B">
        <w:rPr>
          <w:shd w:val="clear" w:color="000000" w:fill="FFFFFF"/>
        </w:rPr>
        <w:t>, as supplemented and amended by informal document INF.6.</w:t>
      </w:r>
    </w:p>
    <w:p w14:paraId="03A3F68F" w14:textId="024F4188" w:rsidR="00894FE4" w:rsidRPr="0038459B" w:rsidRDefault="00A929FF" w:rsidP="00894FE4">
      <w:pPr>
        <w:pStyle w:val="SingleTxtG"/>
        <w:rPr>
          <w:shd w:val="clear" w:color="000000" w:fill="FFFFFF"/>
        </w:rPr>
      </w:pPr>
      <w:r w:rsidRPr="0038459B">
        <w:rPr>
          <w:shd w:val="clear" w:color="000000" w:fill="FFFFFF"/>
        </w:rPr>
        <w:t>36</w:t>
      </w:r>
      <w:r w:rsidR="00894FE4" w:rsidRPr="0038459B">
        <w:rPr>
          <w:shd w:val="clear" w:color="000000" w:fill="FFFFFF"/>
        </w:rPr>
        <w:t>.</w:t>
      </w:r>
      <w:r w:rsidR="00894FE4" w:rsidRPr="0038459B">
        <w:rPr>
          <w:shd w:val="clear" w:color="000000" w:fill="FFFFFF"/>
        </w:rPr>
        <w:tab/>
        <w:t xml:space="preserve">Proposal 1 in informal document INF.6 was not adopted. The text of 9.2.4.4.2 as set out in </w:t>
      </w:r>
      <w:r w:rsidR="00894FE4" w:rsidRPr="0038459B">
        <w:t>ECE/TRANS/WP.15/264</w:t>
      </w:r>
      <w:r w:rsidR="00894FE4" w:rsidRPr="0038459B">
        <w:rPr>
          <w:shd w:val="clear" w:color="000000" w:fill="FFFFFF"/>
        </w:rPr>
        <w:t xml:space="preserve"> was maintained with one editorial change.</w:t>
      </w:r>
    </w:p>
    <w:p w14:paraId="44367875" w14:textId="3C6E25C9" w:rsidR="00894FE4" w:rsidRPr="0038459B" w:rsidRDefault="00A929FF" w:rsidP="00894FE4">
      <w:pPr>
        <w:pStyle w:val="SingleTxtG"/>
        <w:rPr>
          <w:shd w:val="clear" w:color="000000" w:fill="FFFFFF"/>
        </w:rPr>
      </w:pPr>
      <w:r w:rsidRPr="0038459B">
        <w:rPr>
          <w:shd w:val="clear" w:color="000000" w:fill="FFFFFF"/>
        </w:rPr>
        <w:t>37</w:t>
      </w:r>
      <w:r w:rsidR="00894FE4" w:rsidRPr="0038459B">
        <w:rPr>
          <w:shd w:val="clear" w:color="000000" w:fill="FFFFFF"/>
        </w:rPr>
        <w:t>.</w:t>
      </w:r>
      <w:r w:rsidR="00894FE4" w:rsidRPr="0038459B">
        <w:rPr>
          <w:shd w:val="clear" w:color="000000" w:fill="FFFFFF"/>
        </w:rPr>
        <w:tab/>
        <w:t>Proposal 2 of informal document INF.6 was adopted with a change to the line relating to 9.2.4.4 in the table in 9.2.1.1.</w:t>
      </w:r>
    </w:p>
    <w:p w14:paraId="78B7F64B" w14:textId="1A42A5E7" w:rsidR="00894FE4" w:rsidRPr="0038459B" w:rsidRDefault="00A929FF" w:rsidP="00894FE4">
      <w:pPr>
        <w:pStyle w:val="SingleTxtG"/>
        <w:rPr>
          <w:shd w:val="clear" w:color="000000" w:fill="FFFFFF"/>
        </w:rPr>
      </w:pPr>
      <w:r w:rsidRPr="0038459B">
        <w:rPr>
          <w:shd w:val="clear" w:color="000000" w:fill="FFFFFF"/>
        </w:rPr>
        <w:t>38</w:t>
      </w:r>
      <w:r w:rsidR="00894FE4" w:rsidRPr="0038459B">
        <w:rPr>
          <w:shd w:val="clear" w:color="000000" w:fill="FFFFFF"/>
        </w:rPr>
        <w:t>.</w:t>
      </w:r>
      <w:r w:rsidR="00894FE4" w:rsidRPr="0038459B">
        <w:rPr>
          <w:shd w:val="clear" w:color="000000" w:fill="FFFFFF"/>
        </w:rPr>
        <w:tab/>
        <w:t>Proposal 3 of informal document INF.6 was adopted as the new 9.2.4.4.4.</w:t>
      </w:r>
    </w:p>
    <w:p w14:paraId="44709AA0" w14:textId="0474CFB0" w:rsidR="00894FE4" w:rsidRPr="0038459B" w:rsidRDefault="00A929FF" w:rsidP="00894FE4">
      <w:pPr>
        <w:pStyle w:val="SingleTxtG"/>
        <w:rPr>
          <w:shd w:val="clear" w:color="000000" w:fill="FFFFFF"/>
        </w:rPr>
      </w:pPr>
      <w:r w:rsidRPr="0038459B">
        <w:rPr>
          <w:shd w:val="clear" w:color="000000" w:fill="FFFFFF"/>
        </w:rPr>
        <w:t>39</w:t>
      </w:r>
      <w:r w:rsidR="00894FE4" w:rsidRPr="0038459B">
        <w:rPr>
          <w:shd w:val="clear" w:color="000000" w:fill="FFFFFF"/>
        </w:rPr>
        <w:t>.</w:t>
      </w:r>
      <w:r w:rsidR="00894FE4" w:rsidRPr="0038459B">
        <w:rPr>
          <w:shd w:val="clear" w:color="000000" w:fill="FFFFFF"/>
        </w:rPr>
        <w:tab/>
        <w:t>Concerning proposal 4 (transitional measure 1.6.5.4), the Working Party agreed that the transitional period was only necessary for AT vehicles for which certain provisions of ADR 2023 were amended.</w:t>
      </w:r>
    </w:p>
    <w:p w14:paraId="2EE8BDE0" w14:textId="4A11A57B" w:rsidR="00894FE4" w:rsidRPr="0038459B" w:rsidRDefault="00A929FF" w:rsidP="00894FE4">
      <w:pPr>
        <w:pStyle w:val="SingleTxtG"/>
        <w:rPr>
          <w:shd w:val="clear" w:color="000000" w:fill="FFFFFF"/>
        </w:rPr>
      </w:pPr>
      <w:r w:rsidRPr="0038459B">
        <w:rPr>
          <w:shd w:val="clear" w:color="000000" w:fill="FFFFFF"/>
        </w:rPr>
        <w:t>40</w:t>
      </w:r>
      <w:r w:rsidR="00894FE4" w:rsidRPr="0038459B">
        <w:rPr>
          <w:shd w:val="clear" w:color="000000" w:fill="FFFFFF"/>
        </w:rPr>
        <w:t>.</w:t>
      </w:r>
      <w:r w:rsidR="00894FE4" w:rsidRPr="0038459B">
        <w:rPr>
          <w:shd w:val="clear" w:color="000000" w:fill="FFFFFF"/>
        </w:rPr>
        <w:tab/>
        <w:t xml:space="preserve">The Working Party noted that the addition of “using fuels other than hydrogen”, as proposed in </w:t>
      </w:r>
      <w:r w:rsidR="00894FE4" w:rsidRPr="0038459B">
        <w:t>ECE/TRANS/WP.15/2024/8</w:t>
      </w:r>
      <w:r w:rsidR="00894FE4" w:rsidRPr="0038459B">
        <w:rPr>
          <w:shd w:val="clear" w:color="000000" w:fill="FFFFFF"/>
        </w:rPr>
        <w:t>, was intended to clarify that AT vehicles using hydrogen as a fuel</w:t>
      </w:r>
      <w:r w:rsidR="001E5F91" w:rsidRPr="0038459B">
        <w:rPr>
          <w:shd w:val="clear" w:color="000000" w:fill="FFFFFF"/>
        </w:rPr>
        <w:t xml:space="preserve"> would </w:t>
      </w:r>
      <w:r w:rsidR="00894FE4" w:rsidRPr="0038459B">
        <w:rPr>
          <w:shd w:val="clear" w:color="000000" w:fill="FFFFFF"/>
        </w:rPr>
        <w:t>ha</w:t>
      </w:r>
      <w:r w:rsidR="0094061B" w:rsidRPr="0038459B">
        <w:rPr>
          <w:shd w:val="clear" w:color="000000" w:fill="FFFFFF"/>
        </w:rPr>
        <w:t>ve</w:t>
      </w:r>
      <w:r w:rsidR="00894FE4" w:rsidRPr="0038459B">
        <w:rPr>
          <w:shd w:val="clear" w:color="000000" w:fill="FFFFFF"/>
        </w:rPr>
        <w:t xml:space="preserve"> to comply with the new provisions applicable to fuel tanks as soon as ADR 2025 came into force. </w:t>
      </w:r>
    </w:p>
    <w:p w14:paraId="31C8F45F" w14:textId="31B215B1" w:rsidR="00894FE4" w:rsidRPr="0038459B" w:rsidRDefault="00A929FF" w:rsidP="00894FE4">
      <w:pPr>
        <w:pStyle w:val="SingleTxtG"/>
        <w:rPr>
          <w:shd w:val="clear" w:color="000000" w:fill="FFFFFF"/>
        </w:rPr>
      </w:pPr>
      <w:r w:rsidRPr="0038459B">
        <w:rPr>
          <w:shd w:val="clear" w:color="000000" w:fill="FFFFFF"/>
        </w:rPr>
        <w:t>41</w:t>
      </w:r>
      <w:r w:rsidR="00894FE4" w:rsidRPr="0038459B">
        <w:rPr>
          <w:shd w:val="clear" w:color="000000" w:fill="FFFFFF"/>
        </w:rPr>
        <w:t>.</w:t>
      </w:r>
      <w:r w:rsidR="00894FE4" w:rsidRPr="0038459B">
        <w:rPr>
          <w:shd w:val="clear" w:color="000000" w:fill="FFFFFF"/>
        </w:rPr>
        <w:tab/>
        <w:t xml:space="preserve">The Working Party adopted the texts in annex III to the report </w:t>
      </w:r>
      <w:r w:rsidR="00894FE4" w:rsidRPr="0038459B">
        <w:t>ECE/TRANS/WP.15/264</w:t>
      </w:r>
      <w:r w:rsidR="00894FE4" w:rsidRPr="0038459B">
        <w:rPr>
          <w:shd w:val="clear" w:color="000000" w:fill="FFFFFF"/>
        </w:rPr>
        <w:t xml:space="preserve"> of the previous session, as amended (see annex </w:t>
      </w:r>
      <w:r w:rsidRPr="0038459B">
        <w:rPr>
          <w:shd w:val="clear" w:color="000000" w:fill="FFFFFF"/>
        </w:rPr>
        <w:t>I).</w:t>
      </w:r>
    </w:p>
    <w:p w14:paraId="0553AA9F" w14:textId="27424CC5" w:rsidR="00894FE4" w:rsidRPr="0038459B" w:rsidRDefault="00A929FF" w:rsidP="00894FE4">
      <w:pPr>
        <w:pStyle w:val="SingleTxtG"/>
      </w:pPr>
      <w:r w:rsidRPr="0038459B">
        <w:t>42</w:t>
      </w:r>
      <w:r w:rsidR="00894FE4" w:rsidRPr="0038459B">
        <w:t>.</w:t>
      </w:r>
      <w:r w:rsidR="00894FE4" w:rsidRPr="0038459B">
        <w:tab/>
      </w:r>
      <w:r w:rsidR="00894FE4" w:rsidRPr="0038459B">
        <w:tab/>
        <w:t>The representative of Luxembourg informed the Working Party of his intention to initiate a multilateral agreement to anticipate these new provisions for the approval of hydrogen fuelled vehicles as AT and FL vehicles.</w:t>
      </w:r>
    </w:p>
    <w:p w14:paraId="75C53B86" w14:textId="2D4B7E87" w:rsidR="00894FE4" w:rsidRPr="0038459B" w:rsidRDefault="00A929FF" w:rsidP="00894FE4">
      <w:pPr>
        <w:pStyle w:val="SingleTxtG"/>
        <w:rPr>
          <w:shd w:val="clear" w:color="000000" w:fill="FFFFFF"/>
        </w:rPr>
      </w:pPr>
      <w:r w:rsidRPr="0038459B">
        <w:rPr>
          <w:shd w:val="clear" w:color="000000" w:fill="FFFFFF"/>
        </w:rPr>
        <w:t>43</w:t>
      </w:r>
      <w:r w:rsidR="00894FE4" w:rsidRPr="0038459B">
        <w:rPr>
          <w:shd w:val="clear" w:color="000000" w:fill="FFFFFF"/>
        </w:rPr>
        <w:t>.</w:t>
      </w:r>
      <w:r w:rsidR="00894FE4" w:rsidRPr="0038459B">
        <w:rPr>
          <w:shd w:val="clear" w:color="000000" w:fill="FFFFFF"/>
        </w:rPr>
        <w:tab/>
        <w:t>The Working Party once again thanked the informal working group on electrified vehicles and its chair, the representative of the Netherlands, for their important work. The Working Party supported the informal working group’s proposal to continue work on developing provisions for the construction of trailers and bodywork and for EX vehicles, where appropriate.</w:t>
      </w:r>
    </w:p>
    <w:p w14:paraId="494C487F" w14:textId="77777777" w:rsidR="00024358" w:rsidRPr="0038459B" w:rsidRDefault="00024358" w:rsidP="00024358">
      <w:pPr>
        <w:pStyle w:val="H23G"/>
      </w:pPr>
      <w:r w:rsidRPr="0038459B">
        <w:tab/>
        <w:t>3.</w:t>
      </w:r>
      <w:r w:rsidRPr="0038459B">
        <w:tab/>
        <w:t>Table in 9.2.1.1</w:t>
      </w:r>
    </w:p>
    <w:p w14:paraId="0E861ECF" w14:textId="77CB032A" w:rsidR="00024358" w:rsidRPr="0038459B" w:rsidRDefault="00024358" w:rsidP="00024358">
      <w:pPr>
        <w:pStyle w:val="SingleTxtG"/>
        <w:tabs>
          <w:tab w:val="clear" w:pos="1701"/>
          <w:tab w:val="clear" w:pos="2268"/>
        </w:tabs>
      </w:pPr>
      <w:r w:rsidRPr="0038459B">
        <w:rPr>
          <w:i/>
          <w:iCs/>
        </w:rPr>
        <w:t>Document</w:t>
      </w:r>
      <w:r w:rsidRPr="0038459B">
        <w:t>:</w:t>
      </w:r>
      <w:r w:rsidRPr="0038459B">
        <w:tab/>
      </w:r>
      <w:r w:rsidRPr="0038459B">
        <w:tab/>
        <w:t>ECE/TRANS/WP.15/2024/7 (Netherlands)</w:t>
      </w:r>
    </w:p>
    <w:p w14:paraId="4A58A98A" w14:textId="77777777" w:rsidR="00024358" w:rsidRPr="0038459B" w:rsidRDefault="00024358" w:rsidP="00024358">
      <w:pPr>
        <w:pStyle w:val="SingleTxtG"/>
        <w:tabs>
          <w:tab w:val="clear" w:pos="1701"/>
          <w:tab w:val="clear" w:pos="2268"/>
        </w:tabs>
      </w:pPr>
      <w:r w:rsidRPr="0038459B">
        <w:rPr>
          <w:i/>
          <w:iCs/>
        </w:rPr>
        <w:t>Informal document</w:t>
      </w:r>
      <w:r w:rsidRPr="0038459B">
        <w:t>:</w:t>
      </w:r>
      <w:r w:rsidRPr="0038459B">
        <w:tab/>
        <w:t>INF.10 (Netherlands)</w:t>
      </w:r>
    </w:p>
    <w:p w14:paraId="466CF1C4" w14:textId="4D6B6838" w:rsidR="00024358" w:rsidRPr="0038459B" w:rsidRDefault="00B679AF" w:rsidP="00024358">
      <w:pPr>
        <w:pStyle w:val="SingleTxtG"/>
      </w:pPr>
      <w:r w:rsidRPr="0038459B">
        <w:t>44</w:t>
      </w:r>
      <w:r w:rsidR="00024358" w:rsidRPr="0038459B">
        <w:t>.</w:t>
      </w:r>
      <w:r w:rsidR="00024358" w:rsidRPr="0038459B">
        <w:tab/>
        <w:t>The Working Party adopted the amendments to the table in 9.2.1.1 and a transitional measure for AT vehicles not in compliance with the provisions of 9.2.4.3.1 concerning</w:t>
      </w:r>
      <w:r w:rsidR="00C975E3" w:rsidRPr="0038459B">
        <w:t xml:space="preserve"> </w:t>
      </w:r>
      <w:r w:rsidR="00024358" w:rsidRPr="0038459B">
        <w:t xml:space="preserve">engines, as proposed in documents ECE/TRANS/WP.15/2024/7 and INF.10, with some editorial changes and modifying the date of application to bring it into line with previous decisions </w:t>
      </w:r>
      <w:r w:rsidR="00C975E3" w:rsidRPr="0038459B">
        <w:t xml:space="preserve">on </w:t>
      </w:r>
      <w:r w:rsidR="00024358" w:rsidRPr="0038459B">
        <w:t xml:space="preserve">transitional measures applicable to AT vehicles (see annex </w:t>
      </w:r>
      <w:r w:rsidRPr="0038459B">
        <w:t>I).</w:t>
      </w:r>
    </w:p>
    <w:p w14:paraId="5C83D5DA" w14:textId="228D8263" w:rsidR="00024358" w:rsidRPr="0038459B" w:rsidRDefault="00B679AF" w:rsidP="00024358">
      <w:pPr>
        <w:pStyle w:val="SingleTxtG"/>
      </w:pPr>
      <w:r w:rsidRPr="0038459B">
        <w:t>45</w:t>
      </w:r>
      <w:r w:rsidR="00024358" w:rsidRPr="0038459B">
        <w:t>.</w:t>
      </w:r>
      <w:r w:rsidR="00024358" w:rsidRPr="0038459B">
        <w:tab/>
        <w:t xml:space="preserve">The Working Party noted that the terminology used in the instructions in writing should be changed to refer to “de-energizing electrical circuits” instead of “battery master switch”. It was recalled, however, that it was not desirable to amend the instructions in writing too frequently and that it would be preferable to group this proposed amendment with other proposals for consideration in ADR 2027. The Working Party invited delegations that </w:t>
      </w:r>
      <w:r w:rsidR="00024358" w:rsidRPr="0038459B">
        <w:lastRenderedPageBreak/>
        <w:t xml:space="preserve">had already made proposals for amendments since the entry into force of the current version (ADR 2017) to resubmit these proposals at a future session. </w:t>
      </w:r>
    </w:p>
    <w:p w14:paraId="48AFEA61" w14:textId="77777777" w:rsidR="00024358" w:rsidRPr="0038459B" w:rsidRDefault="00024358" w:rsidP="00024358">
      <w:pPr>
        <w:pStyle w:val="H23G"/>
      </w:pPr>
      <w:r w:rsidRPr="0038459B">
        <w:tab/>
        <w:t>4.</w:t>
      </w:r>
      <w:r w:rsidRPr="0038459B">
        <w:tab/>
        <w:t xml:space="preserve">Circuits exempted from protection by fuse or automatic circuit breaker </w:t>
      </w:r>
    </w:p>
    <w:p w14:paraId="1FBF7171" w14:textId="65A9CC3C" w:rsidR="00024358" w:rsidRPr="0038459B" w:rsidRDefault="00024358" w:rsidP="00024358">
      <w:pPr>
        <w:pStyle w:val="SingleTxtG"/>
        <w:tabs>
          <w:tab w:val="clear" w:pos="2268"/>
        </w:tabs>
      </w:pPr>
      <w:r w:rsidRPr="0038459B">
        <w:rPr>
          <w:i/>
          <w:iCs/>
        </w:rPr>
        <w:t>Document</w:t>
      </w:r>
      <w:r w:rsidRPr="0038459B">
        <w:t>:</w:t>
      </w:r>
      <w:r w:rsidRPr="0038459B">
        <w:tab/>
        <w:t>ECE/TRANS/WP.15/2024/4 (OICA)</w:t>
      </w:r>
    </w:p>
    <w:p w14:paraId="0E6FCC9A" w14:textId="0485FBBA" w:rsidR="00024358" w:rsidRPr="0038459B" w:rsidRDefault="00B679AF" w:rsidP="00024358">
      <w:pPr>
        <w:pStyle w:val="SingleTxtG"/>
      </w:pPr>
      <w:r w:rsidRPr="0038459B">
        <w:t>46</w:t>
      </w:r>
      <w:r w:rsidR="00024358" w:rsidRPr="0038459B">
        <w:t>.</w:t>
      </w:r>
      <w:r w:rsidR="00024358" w:rsidRPr="0038459B">
        <w:tab/>
        <w:t xml:space="preserve">The Working Party adopted the proposal to add the battery to the electric steering circuit to the circuits exempted in 9.2.2.3 (see </w:t>
      </w:r>
      <w:r w:rsidR="005F5268" w:rsidRPr="0038459B">
        <w:t>annex I).</w:t>
      </w:r>
    </w:p>
    <w:p w14:paraId="7208ED89" w14:textId="77777777" w:rsidR="00024358" w:rsidRPr="0038459B" w:rsidRDefault="00024358" w:rsidP="00024358">
      <w:pPr>
        <w:pStyle w:val="H23G"/>
      </w:pPr>
      <w:r w:rsidRPr="0038459B">
        <w:tab/>
        <w:t>5.</w:t>
      </w:r>
      <w:r w:rsidRPr="0038459B">
        <w:tab/>
        <w:t>Application of electrical equipment in Chapter 9.7</w:t>
      </w:r>
    </w:p>
    <w:p w14:paraId="5B8D8672" w14:textId="137CE18F" w:rsidR="00024358" w:rsidRPr="0038459B" w:rsidRDefault="00024358" w:rsidP="00024358">
      <w:pPr>
        <w:pStyle w:val="SingleTxtG"/>
        <w:tabs>
          <w:tab w:val="clear" w:pos="2268"/>
        </w:tabs>
      </w:pPr>
      <w:r w:rsidRPr="0038459B">
        <w:rPr>
          <w:i/>
          <w:iCs/>
        </w:rPr>
        <w:t>Document</w:t>
      </w:r>
      <w:r w:rsidRPr="0038459B">
        <w:t>:</w:t>
      </w:r>
      <w:r w:rsidRPr="0038459B">
        <w:tab/>
        <w:t>ECE/TRANS/WP.15/2024/5 (Netherlands)</w:t>
      </w:r>
    </w:p>
    <w:p w14:paraId="5F6BAFFC" w14:textId="79214144" w:rsidR="00024358" w:rsidRPr="0038459B" w:rsidRDefault="005F5268" w:rsidP="00024358">
      <w:pPr>
        <w:pStyle w:val="SingleTxtG"/>
      </w:pPr>
      <w:r w:rsidRPr="0038459B">
        <w:t>47</w:t>
      </w:r>
      <w:r w:rsidR="00024358" w:rsidRPr="0038459B">
        <w:t>.</w:t>
      </w:r>
      <w:r w:rsidR="00024358" w:rsidRPr="0038459B">
        <w:tab/>
        <w:t xml:space="preserve">The Working Party adopted the proposal to delete the amendment to the heading of 9.7.8 in ECE/TRANS/WP.15/265 (see annex </w:t>
      </w:r>
      <w:r w:rsidRPr="0038459B">
        <w:t xml:space="preserve">III). </w:t>
      </w:r>
      <w:r w:rsidR="00024358" w:rsidRPr="0038459B">
        <w:t xml:space="preserve">It also adopted the proposed amendment to 9.7.8.1 with editorial changes (see annex </w:t>
      </w:r>
      <w:r w:rsidRPr="0038459B">
        <w:t>I).</w:t>
      </w:r>
    </w:p>
    <w:p w14:paraId="414B37F4" w14:textId="617AE308" w:rsidR="00024358" w:rsidRPr="0038459B" w:rsidRDefault="005F5268" w:rsidP="00024358">
      <w:pPr>
        <w:pStyle w:val="SingleTxtG"/>
      </w:pPr>
      <w:r w:rsidRPr="0038459B">
        <w:t>48</w:t>
      </w:r>
      <w:r w:rsidR="00024358" w:rsidRPr="0038459B">
        <w:t>.</w:t>
      </w:r>
      <w:r w:rsidR="00024358" w:rsidRPr="0038459B">
        <w:tab/>
        <w:t>The proposed amendment to 9.7.8.2 received no support and was deleted.</w:t>
      </w:r>
    </w:p>
    <w:p w14:paraId="7DAE6A92" w14:textId="77777777" w:rsidR="00024358" w:rsidRPr="0038459B" w:rsidRDefault="00024358" w:rsidP="00024358">
      <w:pPr>
        <w:pStyle w:val="H23G"/>
      </w:pPr>
      <w:r w:rsidRPr="0038459B">
        <w:tab/>
        <w:t>6.</w:t>
      </w:r>
      <w:r w:rsidRPr="0038459B">
        <w:tab/>
        <w:t>Rear protection of vehicles</w:t>
      </w:r>
    </w:p>
    <w:p w14:paraId="273B6890" w14:textId="41AE2706" w:rsidR="00024358" w:rsidRPr="0038459B" w:rsidRDefault="00024358" w:rsidP="00024358">
      <w:pPr>
        <w:pStyle w:val="SingleTxtG"/>
        <w:tabs>
          <w:tab w:val="clear" w:pos="2268"/>
        </w:tabs>
      </w:pPr>
      <w:r w:rsidRPr="0038459B">
        <w:rPr>
          <w:i/>
          <w:iCs/>
        </w:rPr>
        <w:t>Document</w:t>
      </w:r>
      <w:r w:rsidRPr="0038459B">
        <w:t>:</w:t>
      </w:r>
      <w:r w:rsidRPr="0038459B">
        <w:tab/>
        <w:t>ECE/TRANS/WP.15/2024/6 (United Kingdom)</w:t>
      </w:r>
    </w:p>
    <w:p w14:paraId="2D272A2A" w14:textId="4AC52593" w:rsidR="00024358" w:rsidRPr="0038459B" w:rsidRDefault="00315F15" w:rsidP="00024358">
      <w:pPr>
        <w:pStyle w:val="SingleTxtG"/>
      </w:pPr>
      <w:r w:rsidRPr="0038459B">
        <w:t>49</w:t>
      </w:r>
      <w:r w:rsidR="00024358" w:rsidRPr="0038459B">
        <w:t>.</w:t>
      </w:r>
      <w:r w:rsidR="00024358" w:rsidRPr="0038459B">
        <w:tab/>
        <w:t xml:space="preserve">The majority of delegations were in favour of the first option proposed by the United Kingdom, </w:t>
      </w:r>
      <w:proofErr w:type="gramStart"/>
      <w:r w:rsidR="00024358" w:rsidRPr="0038459B">
        <w:t>i.e.</w:t>
      </w:r>
      <w:proofErr w:type="gramEnd"/>
      <w:r w:rsidR="00024358" w:rsidRPr="0038459B">
        <w:t xml:space="preserve"> having the same minimum distance required between the tank and the bumper bar for all tanks. </w:t>
      </w:r>
    </w:p>
    <w:p w14:paraId="52895C88" w14:textId="680BC2ED" w:rsidR="00024358" w:rsidRPr="0038459B" w:rsidRDefault="00315F15" w:rsidP="00024358">
      <w:pPr>
        <w:pStyle w:val="SingleTxtG"/>
      </w:pPr>
      <w:r w:rsidRPr="0038459B">
        <w:t>50</w:t>
      </w:r>
      <w:r w:rsidR="00024358" w:rsidRPr="0038459B">
        <w:t>.</w:t>
      </w:r>
      <w:r w:rsidR="00024358" w:rsidRPr="0038459B">
        <w:tab/>
        <w:t xml:space="preserve">The Working Party agreed that certain points still needed to be clarified, </w:t>
      </w:r>
      <w:proofErr w:type="gramStart"/>
      <w:r w:rsidR="00024358" w:rsidRPr="0038459B">
        <w:t>in particular concerning</w:t>
      </w:r>
      <w:proofErr w:type="gramEnd"/>
      <w:r w:rsidR="00024358" w:rsidRPr="0038459B">
        <w:t xml:space="preserve"> the values kept in square brackets and the references to UN Regulation No. 58. </w:t>
      </w:r>
    </w:p>
    <w:p w14:paraId="7AAFADFC" w14:textId="34F15C85" w:rsidR="00024358" w:rsidRPr="0038459B" w:rsidRDefault="00315F15" w:rsidP="00024358">
      <w:pPr>
        <w:pStyle w:val="SingleTxtG"/>
      </w:pPr>
      <w:r w:rsidRPr="0038459B">
        <w:t>51</w:t>
      </w:r>
      <w:r w:rsidR="00024358" w:rsidRPr="0038459B">
        <w:t>.</w:t>
      </w:r>
      <w:r w:rsidR="00024358" w:rsidRPr="0038459B">
        <w:tab/>
        <w:t xml:space="preserve">The Working Party noted that the United Kingdom would present a revised proposal at the next session, </w:t>
      </w:r>
      <w:proofErr w:type="gramStart"/>
      <w:r w:rsidR="00024358" w:rsidRPr="0038459B">
        <w:t>taking into account</w:t>
      </w:r>
      <w:proofErr w:type="gramEnd"/>
      <w:r w:rsidR="00024358" w:rsidRPr="0038459B">
        <w:t xml:space="preserve"> the comments received. </w:t>
      </w:r>
    </w:p>
    <w:p w14:paraId="40B2A1EB" w14:textId="77777777" w:rsidR="00024358" w:rsidRPr="0038459B" w:rsidRDefault="00024358" w:rsidP="00024358">
      <w:pPr>
        <w:pStyle w:val="H23G"/>
      </w:pPr>
      <w:r w:rsidRPr="0038459B">
        <w:tab/>
        <w:t>7.</w:t>
      </w:r>
      <w:r w:rsidRPr="0038459B">
        <w:tab/>
        <w:t>Camera monitor systems on EX/III and FL vehicles</w:t>
      </w:r>
    </w:p>
    <w:p w14:paraId="1FFA9A80" w14:textId="77777777" w:rsidR="00024358" w:rsidRPr="0038459B" w:rsidRDefault="00024358" w:rsidP="00024358">
      <w:pPr>
        <w:pStyle w:val="SingleTxtG"/>
        <w:tabs>
          <w:tab w:val="clear" w:pos="2268"/>
        </w:tabs>
      </w:pPr>
      <w:r w:rsidRPr="0038459B">
        <w:rPr>
          <w:i/>
          <w:iCs/>
        </w:rPr>
        <w:t>Informal document</w:t>
      </w:r>
      <w:r w:rsidRPr="0038459B">
        <w:t>:</w:t>
      </w:r>
      <w:r w:rsidRPr="0038459B">
        <w:tab/>
        <w:t>INF.7 (Germany and Netherlands)</w:t>
      </w:r>
    </w:p>
    <w:p w14:paraId="6C05EA14" w14:textId="2E9E2502" w:rsidR="00024358" w:rsidRPr="0038459B" w:rsidRDefault="002E5418" w:rsidP="00024358">
      <w:pPr>
        <w:pStyle w:val="SingleTxtG"/>
      </w:pPr>
      <w:r w:rsidRPr="0038459B">
        <w:t>52</w:t>
      </w:r>
      <w:r w:rsidR="00024358" w:rsidRPr="0038459B">
        <w:t>.</w:t>
      </w:r>
      <w:r w:rsidR="00024358" w:rsidRPr="0038459B">
        <w:tab/>
        <w:t>The Working Party noted that GRSG would discuss at its 127th session (15–19 April 2024) a proposal to amend UN Regulation No. 46 to resolve the problems that could arise during the approval of EX/III and FL vehicles fitted with a camera system in compliance with the requirements of this Regulation.</w:t>
      </w:r>
    </w:p>
    <w:p w14:paraId="39F1E957" w14:textId="0A4DBFFD" w:rsidR="00024358" w:rsidRPr="0038459B" w:rsidRDefault="002E5418" w:rsidP="00024358">
      <w:pPr>
        <w:pStyle w:val="SingleTxtG"/>
      </w:pPr>
      <w:r w:rsidRPr="0038459B">
        <w:t>53</w:t>
      </w:r>
      <w:r w:rsidR="00024358" w:rsidRPr="0038459B">
        <w:t>.</w:t>
      </w:r>
      <w:r w:rsidR="00024358" w:rsidRPr="0038459B">
        <w:tab/>
        <w:t>The Working Party confirmed that it would be ready to adopt consequential amendments to ADR if the proposed amendments were adopted. Most of the delegations that spoke preferred the amendments proposed in option 1 of informal document INF.7.</w:t>
      </w:r>
    </w:p>
    <w:p w14:paraId="3D0E3C37" w14:textId="110D7D1C" w:rsidR="00C84A4E" w:rsidRPr="0038459B" w:rsidRDefault="00C84A4E" w:rsidP="00C84A4E">
      <w:pPr>
        <w:pStyle w:val="H1G"/>
      </w:pPr>
      <w:r w:rsidRPr="0038459B">
        <w:tab/>
        <w:t>B.</w:t>
      </w:r>
      <w:r w:rsidRPr="0038459B">
        <w:tab/>
        <w:t>Miscellaneous proposals</w:t>
      </w:r>
    </w:p>
    <w:p w14:paraId="6628CC97" w14:textId="77777777" w:rsidR="00C84A4E" w:rsidRPr="0038459B" w:rsidRDefault="00C84A4E" w:rsidP="00C84A4E">
      <w:pPr>
        <w:pStyle w:val="H23G"/>
      </w:pPr>
      <w:r w:rsidRPr="0038459B">
        <w:tab/>
        <w:t>1.</w:t>
      </w:r>
      <w:r w:rsidRPr="0038459B">
        <w:tab/>
        <w:t>Layout of packing instruction P200</w:t>
      </w:r>
    </w:p>
    <w:p w14:paraId="463DA90D" w14:textId="77777777" w:rsidR="00C84A4E" w:rsidRPr="0038459B" w:rsidRDefault="00C84A4E" w:rsidP="00C84A4E">
      <w:pPr>
        <w:pStyle w:val="SingleTxtG"/>
        <w:tabs>
          <w:tab w:val="clear" w:pos="1701"/>
          <w:tab w:val="clear" w:pos="2268"/>
          <w:tab w:val="left" w:pos="3402"/>
        </w:tabs>
      </w:pPr>
      <w:r w:rsidRPr="0038459B">
        <w:rPr>
          <w:i/>
          <w:iCs/>
        </w:rPr>
        <w:t>Informal document</w:t>
      </w:r>
      <w:r w:rsidRPr="0038459B">
        <w:t>:</w:t>
      </w:r>
      <w:r w:rsidRPr="0038459B">
        <w:tab/>
        <w:t>INF.8 (Secretariat)</w:t>
      </w:r>
    </w:p>
    <w:p w14:paraId="468B3CA7" w14:textId="05E80D5B" w:rsidR="00C84A4E" w:rsidRPr="0038459B" w:rsidRDefault="002E5418" w:rsidP="00C84A4E">
      <w:pPr>
        <w:pStyle w:val="SingleTxtG"/>
      </w:pPr>
      <w:r w:rsidRPr="0038459B">
        <w:t>54</w:t>
      </w:r>
      <w:r w:rsidR="00C84A4E" w:rsidRPr="0038459B">
        <w:t>.</w:t>
      </w:r>
      <w:r w:rsidR="00C84A4E" w:rsidRPr="0038459B">
        <w:tab/>
        <w:t xml:space="preserve">The Working Party noted that further changes to the layout of packing instruction P200 were necessary to take account of the decisions of the Sub-Committee of Experts on the Transport of Dangerous Goods </w:t>
      </w:r>
      <w:r w:rsidR="007F20E3" w:rsidRPr="0038459B">
        <w:t xml:space="preserve">on </w:t>
      </w:r>
      <w:r w:rsidR="00C84A4E" w:rsidRPr="0038459B">
        <w:t xml:space="preserve">the layout of packing instructions. </w:t>
      </w:r>
    </w:p>
    <w:p w14:paraId="66A29FD8" w14:textId="3A109402" w:rsidR="00C84A4E" w:rsidRPr="0038459B" w:rsidRDefault="002E5418" w:rsidP="00C84A4E">
      <w:pPr>
        <w:pStyle w:val="SingleTxtG"/>
      </w:pPr>
      <w:r w:rsidRPr="0038459B">
        <w:t>55</w:t>
      </w:r>
      <w:r w:rsidR="00C84A4E" w:rsidRPr="0038459B">
        <w:t>.</w:t>
      </w:r>
      <w:r w:rsidR="00C84A4E" w:rsidRPr="0038459B">
        <w:tab/>
        <w:t xml:space="preserve">The Working Party adopted the proposals set out in informal document INF.8 for entry into force on 1 January 2025 (see annex </w:t>
      </w:r>
      <w:r w:rsidRPr="0038459B">
        <w:t>I).</w:t>
      </w:r>
    </w:p>
    <w:p w14:paraId="301EFDE5" w14:textId="77777777" w:rsidR="001F1C81" w:rsidRPr="0038459B" w:rsidRDefault="001F1C81" w:rsidP="002E5418">
      <w:pPr>
        <w:pStyle w:val="H23G"/>
      </w:pPr>
      <w:r w:rsidRPr="0038459B">
        <w:lastRenderedPageBreak/>
        <w:tab/>
        <w:t>2.</w:t>
      </w:r>
      <w:r w:rsidRPr="0038459B">
        <w:tab/>
        <w:t>Marking of a tank-vehicle carrying UN numbers 1202, 1203 and 3475</w:t>
      </w:r>
    </w:p>
    <w:p w14:paraId="2FFEFCE1" w14:textId="77777777" w:rsidR="001F1C81" w:rsidRPr="0038459B" w:rsidRDefault="001F1C81" w:rsidP="0009354B">
      <w:pPr>
        <w:pStyle w:val="SingleTxtG"/>
        <w:keepNext/>
        <w:keepLines/>
      </w:pPr>
      <w:r w:rsidRPr="0038459B">
        <w:rPr>
          <w:i/>
          <w:iCs/>
        </w:rPr>
        <w:t>Document</w:t>
      </w:r>
      <w:r w:rsidRPr="0038459B">
        <w:t>:</w:t>
      </w:r>
      <w:r w:rsidRPr="0038459B">
        <w:tab/>
      </w:r>
      <w:r w:rsidRPr="0038459B">
        <w:tab/>
        <w:t>ECE/TRANS/WP.15/2024/2 (</w:t>
      </w:r>
      <w:proofErr w:type="spellStart"/>
      <w:r w:rsidRPr="0038459B">
        <w:t>FuelsEurope</w:t>
      </w:r>
      <w:proofErr w:type="spellEnd"/>
      <w:r w:rsidRPr="0038459B">
        <w:t>)</w:t>
      </w:r>
    </w:p>
    <w:p w14:paraId="6438108A" w14:textId="77777777" w:rsidR="001F1C81" w:rsidRPr="0038459B" w:rsidRDefault="001F1C81" w:rsidP="0009354B">
      <w:pPr>
        <w:pStyle w:val="SingleTxtG"/>
        <w:keepNext/>
        <w:keepLines/>
      </w:pPr>
      <w:r w:rsidRPr="0038459B">
        <w:rPr>
          <w:i/>
          <w:iCs/>
        </w:rPr>
        <w:t>Informal document</w:t>
      </w:r>
      <w:r w:rsidRPr="0038459B">
        <w:t>:</w:t>
      </w:r>
      <w:r w:rsidRPr="0038459B">
        <w:tab/>
        <w:t>INF.3 (CTIF)</w:t>
      </w:r>
    </w:p>
    <w:p w14:paraId="55DF5EF0" w14:textId="5F74D64E" w:rsidR="001F1C81" w:rsidRPr="0038459B" w:rsidRDefault="002E5418" w:rsidP="0009354B">
      <w:pPr>
        <w:pStyle w:val="SingleTxtG"/>
        <w:keepNext/>
        <w:keepLines/>
      </w:pPr>
      <w:r w:rsidRPr="0038459B">
        <w:t>56</w:t>
      </w:r>
      <w:r w:rsidR="001F1C81" w:rsidRPr="0038459B">
        <w:t>.</w:t>
      </w:r>
      <w:r w:rsidR="001F1C81" w:rsidRPr="0038459B">
        <w:tab/>
        <w:t>The proposal in ECE/TRANS/WP.15/2024/2 was to include only UN 3475 on compartmented tanks carrying substances under this entry and other fuels.</w:t>
      </w:r>
    </w:p>
    <w:p w14:paraId="754A1119" w14:textId="4C470F85" w:rsidR="001F1C81" w:rsidRPr="0038459B" w:rsidRDefault="002E5418" w:rsidP="0009354B">
      <w:pPr>
        <w:pStyle w:val="SingleTxtG"/>
        <w:keepNext/>
        <w:keepLines/>
      </w:pPr>
      <w:r w:rsidRPr="0038459B">
        <w:t>57</w:t>
      </w:r>
      <w:r w:rsidR="001F1C81" w:rsidRPr="0038459B">
        <w:t>.</w:t>
      </w:r>
      <w:r w:rsidR="001F1C81" w:rsidRPr="0038459B">
        <w:tab/>
        <w:t>Noting that CTIF and some national fire safety services had supported this approach, the Working Party adopted the proposal</w:t>
      </w:r>
      <w:r w:rsidRPr="0038459B">
        <w:t xml:space="preserve"> for entry into force on 1 January 2025</w:t>
      </w:r>
      <w:r w:rsidR="001F1C81" w:rsidRPr="0038459B">
        <w:t xml:space="preserve"> (see annex </w:t>
      </w:r>
      <w:r w:rsidRPr="0038459B">
        <w:t>I).</w:t>
      </w:r>
    </w:p>
    <w:p w14:paraId="1FF6C5C4" w14:textId="77777777" w:rsidR="00B902AF" w:rsidRPr="0038459B" w:rsidRDefault="00B902AF" w:rsidP="00B902AF">
      <w:pPr>
        <w:pStyle w:val="HChG"/>
      </w:pPr>
      <w:r w:rsidRPr="0038459B">
        <w:tab/>
        <w:t>VII.</w:t>
      </w:r>
      <w:r w:rsidRPr="0038459B">
        <w:tab/>
        <w:t>Interpretation of ADR (agenda item 6)</w:t>
      </w:r>
    </w:p>
    <w:p w14:paraId="590DAFF8" w14:textId="77777777" w:rsidR="00B902AF" w:rsidRPr="0038459B" w:rsidRDefault="00B902AF" w:rsidP="00B902AF">
      <w:pPr>
        <w:pStyle w:val="H1G"/>
      </w:pPr>
      <w:r w:rsidRPr="0038459B">
        <w:tab/>
        <w:t>A.</w:t>
      </w:r>
      <w:r w:rsidRPr="0038459B">
        <w:tab/>
        <w:t>Application of 1.1.3.1 (a)</w:t>
      </w:r>
    </w:p>
    <w:p w14:paraId="7D249DAC" w14:textId="0917EA5C" w:rsidR="00B902AF" w:rsidRPr="0038459B" w:rsidRDefault="00B902AF" w:rsidP="00B902AF">
      <w:pPr>
        <w:pStyle w:val="SingleTxtG"/>
        <w:tabs>
          <w:tab w:val="clear" w:pos="1701"/>
          <w:tab w:val="clear" w:pos="2268"/>
          <w:tab w:val="left" w:pos="3402"/>
        </w:tabs>
      </w:pPr>
      <w:r w:rsidRPr="0038459B">
        <w:rPr>
          <w:i/>
          <w:iCs/>
        </w:rPr>
        <w:t>Document</w:t>
      </w:r>
      <w:r w:rsidRPr="0038459B">
        <w:t>:</w:t>
      </w:r>
      <w:r w:rsidRPr="0038459B">
        <w:tab/>
        <w:t>ECE/TRANS/WP.15/2024/3 (Finland)</w:t>
      </w:r>
    </w:p>
    <w:p w14:paraId="00C1D4DC" w14:textId="42F1C5EB" w:rsidR="00B902AF" w:rsidRPr="0038459B" w:rsidRDefault="00DA4061" w:rsidP="00B902AF">
      <w:pPr>
        <w:pStyle w:val="SingleTxtG"/>
      </w:pPr>
      <w:r w:rsidRPr="0038459B">
        <w:t>58</w:t>
      </w:r>
      <w:r w:rsidR="00B902AF" w:rsidRPr="0038459B">
        <w:t>.</w:t>
      </w:r>
      <w:r w:rsidR="00B902AF" w:rsidRPr="0038459B">
        <w:tab/>
        <w:t xml:space="preserve">Several delegations </w:t>
      </w:r>
      <w:proofErr w:type="gramStart"/>
      <w:r w:rsidR="00B902AF" w:rsidRPr="0038459B">
        <w:t>were of the opinion that</w:t>
      </w:r>
      <w:proofErr w:type="gramEnd"/>
      <w:r w:rsidR="00B902AF" w:rsidRPr="0038459B">
        <w:t xml:space="preserve"> 1.1.3.1 (a) should also apply to dangerous goods carried by passengers (private individuals) in cars and buses, such as goods in passengers’ bags, shopping bags or luggage. However, some delegations considered that the exemptions in 1.1.3.1 (a) could be interpreted differently. The Working Party agreed that it would be necessary to clarify the scope of 1.1.3.1 (a) in this sense.</w:t>
      </w:r>
    </w:p>
    <w:p w14:paraId="270FBBB0" w14:textId="01A70318" w:rsidR="00B902AF" w:rsidRPr="0038459B" w:rsidRDefault="00DA4061" w:rsidP="00B902AF">
      <w:pPr>
        <w:pStyle w:val="SingleTxtG"/>
      </w:pPr>
      <w:r w:rsidRPr="0038459B">
        <w:t>59</w:t>
      </w:r>
      <w:r w:rsidR="00B902AF" w:rsidRPr="0038459B">
        <w:t>.</w:t>
      </w:r>
      <w:r w:rsidR="00B902AF" w:rsidRPr="0038459B">
        <w:tab/>
        <w:t xml:space="preserve">Several delegations also wanted to see quantity limits set for such carriage. </w:t>
      </w:r>
    </w:p>
    <w:p w14:paraId="21A01885" w14:textId="5A70C54B" w:rsidR="00B902AF" w:rsidRPr="0038459B" w:rsidRDefault="00DA4061" w:rsidP="00B902AF">
      <w:pPr>
        <w:pStyle w:val="SingleTxtG"/>
      </w:pPr>
      <w:r w:rsidRPr="0038459B">
        <w:t>60</w:t>
      </w:r>
      <w:r w:rsidR="00B902AF" w:rsidRPr="0038459B">
        <w:t>.</w:t>
      </w:r>
      <w:r w:rsidR="00B902AF" w:rsidRPr="0038459B">
        <w:tab/>
        <w:t xml:space="preserve">The representative of OTIF pointed out that RID 1.1.3.8 defined the exemptions applicable to the carriage of dangerous goods as hand luggage, registered luggage or in or </w:t>
      </w:r>
      <w:proofErr w:type="gramStart"/>
      <w:r w:rsidR="00B902AF" w:rsidRPr="0038459B">
        <w:t>on board</w:t>
      </w:r>
      <w:proofErr w:type="gramEnd"/>
      <w:r w:rsidR="00B902AF" w:rsidRPr="0038459B">
        <w:t xml:space="preserve"> vehicles, and the quantity limits for the application of these exemptions. </w:t>
      </w:r>
    </w:p>
    <w:p w14:paraId="15D97388" w14:textId="77777777" w:rsidR="00B902AF" w:rsidRPr="0038459B" w:rsidRDefault="00B902AF" w:rsidP="00B902AF">
      <w:pPr>
        <w:pStyle w:val="H1G"/>
      </w:pPr>
      <w:r w:rsidRPr="0038459B">
        <w:tab/>
        <w:t>B.</w:t>
      </w:r>
      <w:r w:rsidRPr="0038459B">
        <w:tab/>
        <w:t>Provision V2 in 7.2.4</w:t>
      </w:r>
    </w:p>
    <w:p w14:paraId="5231F5FE" w14:textId="77777777" w:rsidR="00B902AF" w:rsidRPr="0038459B" w:rsidRDefault="00B902AF" w:rsidP="00B902AF">
      <w:pPr>
        <w:pStyle w:val="SingleTxtG"/>
        <w:tabs>
          <w:tab w:val="clear" w:pos="1701"/>
          <w:tab w:val="clear" w:pos="2268"/>
          <w:tab w:val="left" w:pos="3402"/>
        </w:tabs>
      </w:pPr>
      <w:r w:rsidRPr="0038459B">
        <w:rPr>
          <w:i/>
          <w:iCs/>
        </w:rPr>
        <w:t>Informal document</w:t>
      </w:r>
      <w:r w:rsidRPr="0038459B">
        <w:t>:</w:t>
      </w:r>
      <w:r w:rsidRPr="0038459B">
        <w:tab/>
        <w:t>INF.11 (United Kingdom)</w:t>
      </w:r>
    </w:p>
    <w:p w14:paraId="61B701B4" w14:textId="474D6124" w:rsidR="00B902AF" w:rsidRPr="0038459B" w:rsidRDefault="00DA4061" w:rsidP="00B902AF">
      <w:pPr>
        <w:pStyle w:val="SingleTxtG"/>
      </w:pPr>
      <w:r w:rsidRPr="0038459B">
        <w:t>61</w:t>
      </w:r>
      <w:r w:rsidR="00B902AF" w:rsidRPr="0038459B">
        <w:t>.</w:t>
      </w:r>
      <w:r w:rsidR="00B902AF" w:rsidRPr="0038459B">
        <w:tab/>
        <w:t xml:space="preserve">As it involved an informal document that had been submitted late and only available in English, several delegations indicated that they would need more time to consult their experts and stakeholders on </w:t>
      </w:r>
      <w:r w:rsidR="007F20E3" w:rsidRPr="0038459B">
        <w:t xml:space="preserve">the </w:t>
      </w:r>
      <w:r w:rsidR="00B902AF" w:rsidRPr="0038459B">
        <w:t>carriage of goods of Class 1.</w:t>
      </w:r>
    </w:p>
    <w:p w14:paraId="44C93241" w14:textId="1F1357CE" w:rsidR="00B902AF" w:rsidRPr="0038459B" w:rsidRDefault="00DA4061" w:rsidP="00B902AF">
      <w:pPr>
        <w:pStyle w:val="SingleTxtG"/>
      </w:pPr>
      <w:r w:rsidRPr="0038459B">
        <w:t>62</w:t>
      </w:r>
      <w:r w:rsidR="00B902AF" w:rsidRPr="0038459B">
        <w:t>.</w:t>
      </w:r>
      <w:r w:rsidR="00B902AF" w:rsidRPr="0038459B">
        <w:tab/>
        <w:t xml:space="preserve">The Working Party invited the representative of the United Kingdom to submit a working document on this </w:t>
      </w:r>
      <w:r w:rsidR="003826CB" w:rsidRPr="0038459B">
        <w:t xml:space="preserve">subject </w:t>
      </w:r>
      <w:r w:rsidR="00B902AF" w:rsidRPr="0038459B">
        <w:t xml:space="preserve">at the next session. </w:t>
      </w:r>
    </w:p>
    <w:p w14:paraId="584B5B2D" w14:textId="56EC238D" w:rsidR="00BC27B5" w:rsidRPr="0038459B" w:rsidRDefault="00BC27B5" w:rsidP="00BC27B5">
      <w:pPr>
        <w:pStyle w:val="HChG"/>
      </w:pPr>
      <w:r w:rsidRPr="0038459B">
        <w:tab/>
        <w:t>VIII.</w:t>
      </w:r>
      <w:r w:rsidRPr="0038459B">
        <w:tab/>
        <w:t>Circular economy</w:t>
      </w:r>
      <w:r w:rsidR="00345B78" w:rsidRPr="0038459B">
        <w:t>, sustainable use of natural resources and Sustainable Development Goals</w:t>
      </w:r>
      <w:r w:rsidRPr="0038459B">
        <w:t xml:space="preserve"> (agenda item 7)</w:t>
      </w:r>
    </w:p>
    <w:p w14:paraId="5DF5C2C2" w14:textId="77777777" w:rsidR="00BC27B5" w:rsidRPr="0038459B" w:rsidRDefault="00BC27B5" w:rsidP="00BC27B5">
      <w:pPr>
        <w:pStyle w:val="SingleTxtG"/>
      </w:pPr>
      <w:r w:rsidRPr="0038459B">
        <w:rPr>
          <w:i/>
          <w:iCs/>
        </w:rPr>
        <w:t>Informal document</w:t>
      </w:r>
      <w:r w:rsidRPr="0038459B">
        <w:t>:</w:t>
      </w:r>
      <w:r w:rsidRPr="0038459B">
        <w:tab/>
        <w:t>INF.17 (Secretariat)</w:t>
      </w:r>
    </w:p>
    <w:p w14:paraId="383D7E85" w14:textId="3C1CCE4F" w:rsidR="00BC27B5" w:rsidRPr="0038459B" w:rsidRDefault="00F93039" w:rsidP="00BC27B5">
      <w:pPr>
        <w:pStyle w:val="SingleTxtG"/>
      </w:pPr>
      <w:r w:rsidRPr="0038459B">
        <w:t>63</w:t>
      </w:r>
      <w:r w:rsidR="00BC27B5" w:rsidRPr="0038459B">
        <w:t>.</w:t>
      </w:r>
      <w:r w:rsidR="00BC27B5" w:rsidRPr="0038459B">
        <w:tab/>
        <w:t>A member of the secretariat presented an assessment of the links indicated in the session documents between the work of the Working Party and the Sustainable Development Goals.</w:t>
      </w:r>
    </w:p>
    <w:p w14:paraId="2A2B7954" w14:textId="382390BB" w:rsidR="00BC27B5" w:rsidRPr="0038459B" w:rsidRDefault="00F93039" w:rsidP="00BC27B5">
      <w:pPr>
        <w:pStyle w:val="SingleTxtG"/>
      </w:pPr>
      <w:r w:rsidRPr="0038459B">
        <w:t>64</w:t>
      </w:r>
      <w:r w:rsidR="00BC27B5" w:rsidRPr="0038459B">
        <w:t>.</w:t>
      </w:r>
      <w:r w:rsidR="00BC27B5" w:rsidRPr="0038459B">
        <w:tab/>
        <w:t>Delegations welcomed the useful information and encouraged the secretariat to keep the Working Party regularly updated.</w:t>
      </w:r>
    </w:p>
    <w:p w14:paraId="60DA4A27" w14:textId="77777777" w:rsidR="00BC27B5" w:rsidRPr="0038459B" w:rsidRDefault="00BC27B5" w:rsidP="00BC27B5">
      <w:pPr>
        <w:pStyle w:val="HChG"/>
      </w:pPr>
      <w:r w:rsidRPr="0038459B">
        <w:tab/>
        <w:t>IX.</w:t>
      </w:r>
      <w:r w:rsidRPr="0038459B">
        <w:tab/>
        <w:t>Programme of work (agenda item 8)</w:t>
      </w:r>
    </w:p>
    <w:p w14:paraId="315BB4AD" w14:textId="47741C37" w:rsidR="00BC27B5" w:rsidRPr="0038459B" w:rsidRDefault="00F93039" w:rsidP="00BC27B5">
      <w:pPr>
        <w:pStyle w:val="SingleTxtG"/>
      </w:pPr>
      <w:r w:rsidRPr="0038459B">
        <w:t>65</w:t>
      </w:r>
      <w:r w:rsidR="00BC27B5" w:rsidRPr="0038459B">
        <w:t>.</w:t>
      </w:r>
      <w:r w:rsidR="00BC27B5" w:rsidRPr="0038459B">
        <w:tab/>
        <w:t>The agenda items for the next session (5–8 November 2024) would be as follows: Adoption of the agenda; Status of the Agreement concerning the International Carriage of Dangerous Goods by Road (ADR) and related issues; Work of the RID/ADR/ADN Joint Meeting; Proposals for amendments to annexes A and B of ADR; Interpretation of ADR; Circular economy, sustainable use of natural resources and Sustainable Development Goals; Programme of work; Any other business; Election of officers; Adoption of the report.</w:t>
      </w:r>
    </w:p>
    <w:p w14:paraId="262F2A04" w14:textId="4C6B525B" w:rsidR="00BC27B5" w:rsidRPr="0038459B" w:rsidRDefault="00F93039" w:rsidP="00BC27B5">
      <w:pPr>
        <w:pStyle w:val="SingleTxtG"/>
      </w:pPr>
      <w:r w:rsidRPr="0038459B">
        <w:lastRenderedPageBreak/>
        <w:t>66</w:t>
      </w:r>
      <w:r w:rsidR="00BC27B5" w:rsidRPr="0038459B">
        <w:t>.</w:t>
      </w:r>
      <w:r w:rsidR="00BC27B5" w:rsidRPr="0038459B">
        <w:tab/>
        <w:t>The Working Party agreed to set aside one meeting for discussions on the standardization of ADR driver exam questions at its 116th session.</w:t>
      </w:r>
    </w:p>
    <w:p w14:paraId="2F401D31" w14:textId="4C4347DF" w:rsidR="00BC27B5" w:rsidRPr="0038459B" w:rsidRDefault="00F93039" w:rsidP="002238CB">
      <w:pPr>
        <w:pStyle w:val="SingleTxtG"/>
      </w:pPr>
      <w:r w:rsidRPr="0038459B">
        <w:t>67</w:t>
      </w:r>
      <w:r w:rsidR="00BC27B5" w:rsidRPr="0038459B">
        <w:t>.</w:t>
      </w:r>
      <w:r w:rsidR="00BC27B5" w:rsidRPr="0038459B">
        <w:tab/>
        <w:t>The deadline for submission of official documents for that session was 13 August 2024.</w:t>
      </w:r>
    </w:p>
    <w:p w14:paraId="4884ABA9" w14:textId="77777777" w:rsidR="0045489D" w:rsidRPr="0038459B" w:rsidRDefault="0045489D" w:rsidP="0045489D">
      <w:pPr>
        <w:pStyle w:val="HChG"/>
        <w:rPr>
          <w:shd w:val="clear" w:color="000000" w:fill="FFFFFF"/>
        </w:rPr>
      </w:pPr>
      <w:r w:rsidRPr="0038459B">
        <w:rPr>
          <w:shd w:val="clear" w:color="000000" w:fill="FFFFFF"/>
        </w:rPr>
        <w:tab/>
        <w:t>X.</w:t>
      </w:r>
      <w:r w:rsidRPr="0038459B">
        <w:rPr>
          <w:shd w:val="clear" w:color="000000" w:fill="FFFFFF"/>
        </w:rPr>
        <w:tab/>
        <w:t>Any other business (agenda item 9)</w:t>
      </w:r>
    </w:p>
    <w:p w14:paraId="24BA4977" w14:textId="77777777" w:rsidR="0045489D" w:rsidRPr="0038459B" w:rsidRDefault="0045489D" w:rsidP="0045489D">
      <w:pPr>
        <w:pStyle w:val="H1G"/>
        <w:rPr>
          <w:shd w:val="clear" w:color="000000" w:fill="FFFFFF"/>
        </w:rPr>
      </w:pPr>
      <w:r w:rsidRPr="0038459B">
        <w:rPr>
          <w:shd w:val="clear" w:color="000000" w:fill="FFFFFF"/>
        </w:rPr>
        <w:tab/>
        <w:t>A.</w:t>
      </w:r>
      <w:r w:rsidRPr="0038459B">
        <w:rPr>
          <w:shd w:val="clear" w:color="000000" w:fill="FFFFFF"/>
        </w:rPr>
        <w:tab/>
        <w:t>Standardization of ADR driver exams</w:t>
      </w:r>
    </w:p>
    <w:p w14:paraId="19A11042" w14:textId="2D3B8CBE" w:rsidR="0045489D" w:rsidRPr="0038459B" w:rsidRDefault="0045489D" w:rsidP="0045489D">
      <w:pPr>
        <w:pStyle w:val="SingleTxtG"/>
        <w:tabs>
          <w:tab w:val="clear" w:pos="1701"/>
          <w:tab w:val="clear" w:pos="2268"/>
          <w:tab w:val="left" w:pos="3402"/>
        </w:tabs>
        <w:rPr>
          <w:shd w:val="clear" w:color="000000" w:fill="FFFFFF"/>
        </w:rPr>
      </w:pPr>
      <w:r w:rsidRPr="0038459B">
        <w:rPr>
          <w:i/>
          <w:iCs/>
          <w:shd w:val="clear" w:color="000000" w:fill="FFFFFF"/>
        </w:rPr>
        <w:t>Document</w:t>
      </w:r>
      <w:r w:rsidRPr="0038459B">
        <w:rPr>
          <w:shd w:val="clear" w:color="000000" w:fill="FFFFFF"/>
        </w:rPr>
        <w:t>:</w:t>
      </w:r>
      <w:r w:rsidRPr="0038459B">
        <w:rPr>
          <w:shd w:val="clear" w:color="000000" w:fill="FFFFFF"/>
        </w:rPr>
        <w:tab/>
      </w:r>
      <w:r w:rsidRPr="0038459B">
        <w:t>ECE/TRANS/WP.15/2024/1</w:t>
      </w:r>
      <w:r w:rsidRPr="0038459B">
        <w:rPr>
          <w:shd w:val="clear" w:color="000000" w:fill="FFFFFF"/>
        </w:rPr>
        <w:t xml:space="preserve"> (IRU)</w:t>
      </w:r>
    </w:p>
    <w:p w14:paraId="52F96607" w14:textId="785BF893" w:rsidR="0045489D" w:rsidRPr="0038459B" w:rsidRDefault="002238CB" w:rsidP="0045489D">
      <w:pPr>
        <w:pStyle w:val="SingleTxtG"/>
        <w:rPr>
          <w:shd w:val="clear" w:color="000000" w:fill="FFFFFF"/>
        </w:rPr>
      </w:pPr>
      <w:r w:rsidRPr="0038459B">
        <w:rPr>
          <w:shd w:val="clear" w:color="000000" w:fill="FFFFFF"/>
        </w:rPr>
        <w:t>68</w:t>
      </w:r>
      <w:r w:rsidR="0045489D" w:rsidRPr="0038459B">
        <w:rPr>
          <w:shd w:val="clear" w:color="000000" w:fill="FFFFFF"/>
        </w:rPr>
        <w:t>.</w:t>
      </w:r>
      <w:r w:rsidR="0045489D" w:rsidRPr="0038459B">
        <w:rPr>
          <w:shd w:val="clear" w:color="000000" w:fill="FFFFFF"/>
        </w:rPr>
        <w:tab/>
        <w:t xml:space="preserve">Most of the delegations that spoke supported the IRU proposal to standardize ADR driver exam questions. Several delegations considered that the organization of exams should also be discussed. </w:t>
      </w:r>
    </w:p>
    <w:p w14:paraId="44CC0145" w14:textId="29FFBAC6" w:rsidR="0045489D" w:rsidRPr="0038459B" w:rsidRDefault="002238CB" w:rsidP="0045489D">
      <w:pPr>
        <w:pStyle w:val="SingleTxtG"/>
        <w:rPr>
          <w:shd w:val="clear" w:color="000000" w:fill="FFFFFF"/>
        </w:rPr>
      </w:pPr>
      <w:r w:rsidRPr="0038459B">
        <w:rPr>
          <w:shd w:val="clear" w:color="000000" w:fill="FFFFFF"/>
        </w:rPr>
        <w:t>69</w:t>
      </w:r>
      <w:r w:rsidR="0045489D" w:rsidRPr="0038459B">
        <w:rPr>
          <w:shd w:val="clear" w:color="000000" w:fill="FFFFFF"/>
        </w:rPr>
        <w:t>.</w:t>
      </w:r>
      <w:r w:rsidR="0045489D" w:rsidRPr="0038459B">
        <w:rPr>
          <w:shd w:val="clear" w:color="000000" w:fill="FFFFFF"/>
        </w:rPr>
        <w:tab/>
        <w:t>Recognizing that these developments would require considerable work, the Working Party decided to devote time at its next session to examining this issue and adopting a way forward. It invited delegations to send their comments to the representative of IRU.</w:t>
      </w:r>
    </w:p>
    <w:p w14:paraId="26A60D9A" w14:textId="77777777" w:rsidR="00031F1D" w:rsidRPr="0038459B" w:rsidRDefault="00031F1D" w:rsidP="00031F1D">
      <w:pPr>
        <w:pStyle w:val="H1G"/>
      </w:pPr>
      <w:r w:rsidRPr="0038459B">
        <w:tab/>
        <w:t>B.</w:t>
      </w:r>
      <w:r w:rsidRPr="0038459B">
        <w:tab/>
        <w:t>Terms of reference, rules of procedure and working methods</w:t>
      </w:r>
    </w:p>
    <w:p w14:paraId="4B64939A" w14:textId="592974D0" w:rsidR="00031F1D" w:rsidRPr="0038459B" w:rsidRDefault="00031F1D" w:rsidP="00031F1D">
      <w:pPr>
        <w:pStyle w:val="SingleTxtG"/>
        <w:tabs>
          <w:tab w:val="clear" w:pos="1701"/>
          <w:tab w:val="clear" w:pos="2268"/>
        </w:tabs>
      </w:pPr>
      <w:r w:rsidRPr="0038459B">
        <w:rPr>
          <w:i/>
          <w:iCs/>
        </w:rPr>
        <w:t>Document</w:t>
      </w:r>
      <w:r w:rsidRPr="0038459B">
        <w:t>:</w:t>
      </w:r>
      <w:r w:rsidRPr="0038459B">
        <w:tab/>
        <w:t>ECE/TRANS/WP.15/2024/9 (Secretariat)</w:t>
      </w:r>
    </w:p>
    <w:p w14:paraId="6C7F5FCC" w14:textId="48A8BDE3" w:rsidR="00031F1D" w:rsidRPr="0038459B" w:rsidRDefault="002238CB" w:rsidP="00031F1D">
      <w:pPr>
        <w:pStyle w:val="SingleTxtG"/>
      </w:pPr>
      <w:r w:rsidRPr="0038459B">
        <w:t>70</w:t>
      </w:r>
      <w:r w:rsidR="00031F1D" w:rsidRPr="0038459B">
        <w:t>.</w:t>
      </w:r>
      <w:r w:rsidR="00031F1D" w:rsidRPr="0038459B">
        <w:tab/>
        <w:t>Following the adoption of its terms of reference by the Executive Committee of the Economic Commission for Europe (see para. 8), the Working Party confirmed that ECE/TRANS/WP.15/2024/9 would replace ECE/TRANS/WP.15/190/Add.1 as the reference document for the organization of its next sessions</w:t>
      </w:r>
      <w:r w:rsidR="00572BE8" w:rsidRPr="0038459B">
        <w:t xml:space="preserve"> as follows:</w:t>
      </w:r>
    </w:p>
    <w:p w14:paraId="2E049765" w14:textId="2460015B" w:rsidR="00774ADC" w:rsidRPr="0038459B" w:rsidRDefault="00774ADC" w:rsidP="004C0236">
      <w:pPr>
        <w:pStyle w:val="Bullet1G"/>
      </w:pPr>
      <w:r w:rsidRPr="0038459B">
        <w:t>For its terms of reference: paragraphs 1 to 4 of annex 1 to document ECE/TRANS/WP.15/2024/</w:t>
      </w:r>
      <w:proofErr w:type="gramStart"/>
      <w:r w:rsidRPr="0038459B">
        <w:t>9;</w:t>
      </w:r>
      <w:proofErr w:type="gramEnd"/>
    </w:p>
    <w:p w14:paraId="0130CEEB" w14:textId="6A36E45B" w:rsidR="00774ADC" w:rsidRPr="0038459B" w:rsidRDefault="00774ADC" w:rsidP="004C0236">
      <w:pPr>
        <w:pStyle w:val="Bullet1G"/>
      </w:pPr>
      <w:r w:rsidRPr="0038459B">
        <w:t xml:space="preserve">For its rules of procedure and the rules concerning documents to be submitted to the Working Party: annex II to document ECE/TRANS/WP.15/2024/9 and its annex and </w:t>
      </w:r>
      <w:proofErr w:type="gramStart"/>
      <w:r w:rsidRPr="0038459B">
        <w:t>appendix;</w:t>
      </w:r>
      <w:proofErr w:type="gramEnd"/>
    </w:p>
    <w:p w14:paraId="5B16A463" w14:textId="28D80F70" w:rsidR="00572BE8" w:rsidRPr="0038459B" w:rsidRDefault="00774ADC" w:rsidP="004C0236">
      <w:pPr>
        <w:pStyle w:val="Bullet1G"/>
      </w:pPr>
      <w:r w:rsidRPr="0038459B">
        <w:t>For its working methods: annex III of document ECE/TRANS/WP.15/2024/9.</w:t>
      </w:r>
    </w:p>
    <w:p w14:paraId="79347081" w14:textId="77777777" w:rsidR="002E3759" w:rsidRPr="0038459B" w:rsidRDefault="002E3759" w:rsidP="002E3759">
      <w:pPr>
        <w:pStyle w:val="H1G"/>
      </w:pPr>
      <w:r w:rsidRPr="0038459B">
        <w:tab/>
        <w:t>C.</w:t>
      </w:r>
      <w:r w:rsidRPr="0038459B">
        <w:tab/>
        <w:t>Request for consultative status</w:t>
      </w:r>
    </w:p>
    <w:p w14:paraId="6BCCEF8F" w14:textId="77777777" w:rsidR="002E3759" w:rsidRPr="0038459B" w:rsidRDefault="002E3759" w:rsidP="00D164AC">
      <w:pPr>
        <w:pStyle w:val="SingleTxtG"/>
        <w:tabs>
          <w:tab w:val="clear" w:pos="2268"/>
        </w:tabs>
      </w:pPr>
      <w:r w:rsidRPr="0038459B">
        <w:rPr>
          <w:i/>
          <w:iCs/>
        </w:rPr>
        <w:t>Document</w:t>
      </w:r>
      <w:r w:rsidRPr="0038459B">
        <w:t>:</w:t>
      </w:r>
      <w:r w:rsidRPr="0038459B">
        <w:tab/>
        <w:t>ECE/TRANS/WP.15/2024/10 (Secretariat)</w:t>
      </w:r>
    </w:p>
    <w:p w14:paraId="300F33F7" w14:textId="77777777" w:rsidR="002E3759" w:rsidRPr="0038459B" w:rsidRDefault="002E3759" w:rsidP="002E3759">
      <w:pPr>
        <w:tabs>
          <w:tab w:val="left" w:pos="708"/>
        </w:tabs>
        <w:spacing w:after="120"/>
        <w:ind w:left="1134" w:right="1134"/>
        <w:jc w:val="both"/>
      </w:pPr>
      <w:r w:rsidRPr="0038459B">
        <w:t>71.</w:t>
      </w:r>
      <w:r w:rsidRPr="0038459B">
        <w:tab/>
        <w:t>The Working Group approved the WBIA request for consultative status.</w:t>
      </w:r>
    </w:p>
    <w:p w14:paraId="52495DAD" w14:textId="77777777" w:rsidR="002E3759" w:rsidRPr="0038459B" w:rsidRDefault="002E3759" w:rsidP="002E3759">
      <w:pPr>
        <w:pStyle w:val="H1G"/>
      </w:pPr>
      <w:r w:rsidRPr="0038459B">
        <w:tab/>
        <w:t>D.</w:t>
      </w:r>
      <w:r w:rsidRPr="0038459B">
        <w:tab/>
        <w:t>Amendments for the 2025 edition of ADR</w:t>
      </w:r>
    </w:p>
    <w:p w14:paraId="639B929B" w14:textId="77777777" w:rsidR="002E3759" w:rsidRPr="0038459B" w:rsidRDefault="002E3759" w:rsidP="002E3759">
      <w:pPr>
        <w:tabs>
          <w:tab w:val="left" w:pos="708"/>
        </w:tabs>
        <w:spacing w:after="120"/>
        <w:ind w:left="1134" w:right="1134"/>
        <w:jc w:val="both"/>
      </w:pPr>
      <w:r w:rsidRPr="0038459B">
        <w:t>72.</w:t>
      </w:r>
      <w:r w:rsidRPr="0038459B">
        <w:tab/>
        <w:t>The amendments adopted at previous sessions for entry into force on 1 January 2025 were published under the symbol ECE/TRANS/WP.15/265. The Working Party requested the secretariat to publish the amendments adopted at the 115th session that were also scheduled to enter into force on 1 January 2025, in the form of a corrigendum (ECE/TRANS/WP.15/265/Corr.1) for those that modified previously adopted amendments and an addendum (ECE/TRANS/WP.15/265/Add.1) for new amendments.</w:t>
      </w:r>
    </w:p>
    <w:p w14:paraId="62543F90" w14:textId="77777777" w:rsidR="002E3759" w:rsidRPr="0038459B" w:rsidRDefault="002E3759" w:rsidP="002E3759">
      <w:pPr>
        <w:tabs>
          <w:tab w:val="left" w:pos="708"/>
        </w:tabs>
        <w:spacing w:after="120"/>
        <w:ind w:left="1134" w:right="1134"/>
        <w:jc w:val="both"/>
      </w:pPr>
      <w:r w:rsidRPr="0038459B">
        <w:t>73.</w:t>
      </w:r>
      <w:r w:rsidRPr="0038459B">
        <w:tab/>
        <w:t>The Chair was invited to transmit all the amendments to the Secretary-General through her Government so that they could be notified to the contracting parties to ADR on 1 July 2024 at the latest for acceptance in accordance with the procedure set out in article 14 of ADR.</w:t>
      </w:r>
    </w:p>
    <w:p w14:paraId="55176FCC" w14:textId="77777777" w:rsidR="002E3759" w:rsidRPr="0038459B" w:rsidRDefault="002E3759" w:rsidP="002E3759">
      <w:pPr>
        <w:pStyle w:val="H1G"/>
      </w:pPr>
      <w:r w:rsidRPr="0038459B">
        <w:lastRenderedPageBreak/>
        <w:tab/>
        <w:t>E.</w:t>
      </w:r>
      <w:r w:rsidRPr="0038459B">
        <w:tab/>
        <w:t>Tribute</w:t>
      </w:r>
    </w:p>
    <w:p w14:paraId="7F28C1F1" w14:textId="77777777" w:rsidR="002E3759" w:rsidRPr="0038459B" w:rsidRDefault="002E3759" w:rsidP="002E3759">
      <w:pPr>
        <w:pStyle w:val="SingleTxtG"/>
      </w:pPr>
      <w:r w:rsidRPr="0038459B">
        <w:t>74.</w:t>
      </w:r>
      <w:r w:rsidRPr="0038459B">
        <w:tab/>
        <w:t>The Working Party had learned of the retirement of Ms. Barrio-Champeau, assistant in the Transport of Dangerous Goods Section. Since 2011, Ms. Barrio-Champeau had been responsible for the administrative side of organizing Working Party sessions and relations with delegates. The Working Party wished her all the best in her new life.</w:t>
      </w:r>
    </w:p>
    <w:p w14:paraId="59A53CC6" w14:textId="77777777" w:rsidR="002E3759" w:rsidRPr="0038459B" w:rsidRDefault="002E3759" w:rsidP="002E3759">
      <w:pPr>
        <w:pStyle w:val="HChG"/>
      </w:pPr>
      <w:r w:rsidRPr="0038459B">
        <w:tab/>
        <w:t>XI.</w:t>
      </w:r>
      <w:r w:rsidRPr="0038459B">
        <w:tab/>
        <w:t>Adoption of the report (agenda item 10)</w:t>
      </w:r>
    </w:p>
    <w:p w14:paraId="33196C72" w14:textId="77777777" w:rsidR="002E3759" w:rsidRPr="0038459B" w:rsidRDefault="002E3759" w:rsidP="002E3759">
      <w:pPr>
        <w:spacing w:after="120"/>
        <w:ind w:left="1134" w:right="1134"/>
        <w:jc w:val="both"/>
      </w:pPr>
      <w:r w:rsidRPr="0038459B">
        <w:t>75.</w:t>
      </w:r>
      <w:r w:rsidRPr="0038459B">
        <w:tab/>
        <w:t xml:space="preserve">The Working Party adopted the report on its 115th session and its annexes </w:t>
      </w:r>
      <w:proofErr w:type="gramStart"/>
      <w:r w:rsidRPr="0038459B">
        <w:t>on the basis of</w:t>
      </w:r>
      <w:proofErr w:type="gramEnd"/>
      <w:r w:rsidRPr="0038459B">
        <w:t xml:space="preserve"> a draft prepared by the secretariat.</w:t>
      </w:r>
    </w:p>
    <w:p w14:paraId="33164A7D" w14:textId="77777777" w:rsidR="002E3759" w:rsidRPr="0038459B" w:rsidRDefault="002E3759" w:rsidP="00031F1D">
      <w:pPr>
        <w:pStyle w:val="SingleTxtG"/>
      </w:pPr>
    </w:p>
    <w:p w14:paraId="572BDB30" w14:textId="77777777" w:rsidR="0045489D" w:rsidRPr="0038459B" w:rsidRDefault="0045489D" w:rsidP="00B902AF">
      <w:pPr>
        <w:pStyle w:val="SingleTxtG"/>
      </w:pPr>
    </w:p>
    <w:p w14:paraId="685872E2" w14:textId="77777777" w:rsidR="007901F8" w:rsidRPr="0038459B" w:rsidRDefault="007901F8" w:rsidP="00C84A4E">
      <w:pPr>
        <w:pStyle w:val="SingleTxtG"/>
      </w:pPr>
    </w:p>
    <w:p w14:paraId="2922E73E" w14:textId="77777777" w:rsidR="00C84A4E" w:rsidRPr="0038459B" w:rsidRDefault="00C84A4E" w:rsidP="007409DF">
      <w:pPr>
        <w:pStyle w:val="SingleTxtG"/>
      </w:pPr>
    </w:p>
    <w:p w14:paraId="2A919B66" w14:textId="2A3AB9A1" w:rsidR="006F0FDB" w:rsidRPr="0038459B" w:rsidRDefault="006F0FDB">
      <w:r w:rsidRPr="0038459B">
        <w:br w:type="page"/>
      </w:r>
    </w:p>
    <w:p w14:paraId="3A714AEC" w14:textId="2F3E48BB" w:rsidR="00AA0B4C" w:rsidRPr="0038459B" w:rsidRDefault="00AA0B4C" w:rsidP="00AA0B4C">
      <w:pPr>
        <w:pStyle w:val="HChG"/>
      </w:pPr>
      <w:r w:rsidRPr="0038459B">
        <w:lastRenderedPageBreak/>
        <w:t xml:space="preserve">Annex </w:t>
      </w:r>
      <w:r w:rsidRPr="0038459B">
        <w:tab/>
        <w:t>I</w:t>
      </w:r>
    </w:p>
    <w:p w14:paraId="25F4BA0D" w14:textId="77777777" w:rsidR="00602FBA" w:rsidRPr="0038459B" w:rsidRDefault="00AA0B4C" w:rsidP="00602FBA">
      <w:pPr>
        <w:pStyle w:val="HChG"/>
      </w:pPr>
      <w:r w:rsidRPr="0038459B">
        <w:tab/>
      </w:r>
      <w:r w:rsidRPr="0038459B">
        <w:tab/>
      </w:r>
      <w:r w:rsidR="00602FBA" w:rsidRPr="0038459B">
        <w:t>Draft amendments to annexes A and B of ADR for entry into force on 1 January 2025</w:t>
      </w:r>
    </w:p>
    <w:p w14:paraId="605FA1B6" w14:textId="77777777" w:rsidR="00602FBA" w:rsidRPr="0038459B" w:rsidRDefault="00602FBA" w:rsidP="00602FBA">
      <w:pPr>
        <w:pStyle w:val="H1G"/>
      </w:pPr>
      <w:r w:rsidRPr="0038459B">
        <w:tab/>
      </w:r>
      <w:r w:rsidRPr="0038459B">
        <w:tab/>
        <w:t>Chapter 1.6</w:t>
      </w:r>
    </w:p>
    <w:p w14:paraId="4FCB9E4E" w14:textId="77777777" w:rsidR="00602FBA" w:rsidRPr="0038459B" w:rsidRDefault="00602FBA" w:rsidP="00602FBA">
      <w:pPr>
        <w:pStyle w:val="SingleTxtG"/>
        <w:tabs>
          <w:tab w:val="clear" w:pos="1701"/>
          <w:tab w:val="clear" w:pos="2268"/>
          <w:tab w:val="clear" w:pos="2835"/>
        </w:tabs>
        <w:ind w:left="2268" w:hanging="1134"/>
      </w:pPr>
      <w:r w:rsidRPr="0038459B">
        <w:t>1.6.5.4</w:t>
      </w:r>
      <w:r w:rsidRPr="0038459B">
        <w:tab/>
        <w:t>Replace “</w:t>
      </w:r>
      <w:r w:rsidRPr="0038459B">
        <w:rPr>
          <w:i/>
          <w:iCs/>
        </w:rPr>
        <w:t>(Reserved)</w:t>
      </w:r>
      <w:r w:rsidRPr="0038459B">
        <w:t>” by “As regards the construction of AT vehicles, the requirements of Part 9 in force up to 31 December 2024 may be applied until 31 December 2026.”.</w:t>
      </w:r>
    </w:p>
    <w:p w14:paraId="5184F259" w14:textId="77777777" w:rsidR="00602FBA" w:rsidRPr="0038459B" w:rsidRDefault="00602FBA" w:rsidP="00602FBA">
      <w:pPr>
        <w:pStyle w:val="SingleTxtG"/>
        <w:tabs>
          <w:tab w:val="clear" w:pos="1701"/>
        </w:tabs>
        <w:rPr>
          <w:i/>
          <w:iCs/>
        </w:rPr>
      </w:pPr>
      <w:r w:rsidRPr="0038459B">
        <w:rPr>
          <w:i/>
          <w:iCs/>
        </w:rPr>
        <w:t>(Reference document: informal document INF.6, proposal 4)</w:t>
      </w:r>
    </w:p>
    <w:p w14:paraId="74521C44" w14:textId="77777777" w:rsidR="00602FBA" w:rsidRPr="0038459B" w:rsidRDefault="00602FBA" w:rsidP="00602FBA">
      <w:pPr>
        <w:pStyle w:val="SingleTxtG"/>
        <w:tabs>
          <w:tab w:val="clear" w:pos="1701"/>
        </w:tabs>
        <w:ind w:left="2268" w:hanging="1134"/>
      </w:pPr>
      <w:r w:rsidRPr="0038459B">
        <w:t>1.6.5</w:t>
      </w:r>
      <w:r w:rsidRPr="0038459B">
        <w:tab/>
        <w:t>Add the following new transitional measure:</w:t>
      </w:r>
    </w:p>
    <w:p w14:paraId="0D13580A" w14:textId="33252789" w:rsidR="00602FBA" w:rsidRPr="0038459B" w:rsidRDefault="00602FBA" w:rsidP="00602FBA">
      <w:pPr>
        <w:pStyle w:val="SingleTxtG"/>
        <w:ind w:left="2268" w:hanging="1134"/>
      </w:pPr>
      <w:r w:rsidRPr="0038459B">
        <w:t>“1.6.5.28</w:t>
      </w:r>
      <w:r w:rsidRPr="0038459B">
        <w:tab/>
        <w:t>Vehicles first registered (or which entered into service if registration is not mandatory) before 1 January 2027, approved as AT vehicle</w:t>
      </w:r>
      <w:r w:rsidR="00634BEF" w:rsidRPr="0038459B">
        <w:t>s</w:t>
      </w:r>
      <w:r w:rsidRPr="0038459B">
        <w:t>, not in compliance with the provisions of 9.2.4.3.1 concerning engines, may continue to be used.”</w:t>
      </w:r>
    </w:p>
    <w:p w14:paraId="3A252A83" w14:textId="77777777" w:rsidR="00602FBA" w:rsidRPr="0038459B" w:rsidRDefault="00602FBA" w:rsidP="00602FBA">
      <w:pPr>
        <w:pStyle w:val="SingleTxtG"/>
        <w:tabs>
          <w:tab w:val="clear" w:pos="1701"/>
        </w:tabs>
        <w:rPr>
          <w:i/>
          <w:iCs/>
        </w:rPr>
      </w:pPr>
      <w:r w:rsidRPr="0038459B">
        <w:rPr>
          <w:i/>
          <w:iCs/>
        </w:rPr>
        <w:t>(Reference document: ECE/TRANS/WP.15/2024/7, as amended)</w:t>
      </w:r>
    </w:p>
    <w:p w14:paraId="3EDCA3E1" w14:textId="77777777" w:rsidR="00602FBA" w:rsidRPr="0038459B" w:rsidRDefault="00602FBA" w:rsidP="00602FBA">
      <w:pPr>
        <w:pStyle w:val="H1G"/>
      </w:pPr>
      <w:r w:rsidRPr="0038459B">
        <w:tab/>
      </w:r>
      <w:r w:rsidRPr="0038459B">
        <w:tab/>
        <w:t>Chapter 4.1</w:t>
      </w:r>
    </w:p>
    <w:p w14:paraId="3187C2BC"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4.1.4.1, P200</w:t>
      </w:r>
      <w:r w:rsidRPr="0038459B">
        <w:rPr>
          <w:lang w:eastAsia="en-US"/>
        </w:rPr>
        <w:tab/>
        <w:t>Throughout the packing instruction, including tables 1 to 3, place the footnotes directly below the packing instruction, on those pages on which they appear and renumber them sequentially, as (a) to (i).</w:t>
      </w:r>
    </w:p>
    <w:p w14:paraId="40467186"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(5) (b), under the first and second formulas, after “where”, add a colon and start a new line after that.</w:t>
      </w:r>
    </w:p>
    <w:p w14:paraId="697E099A"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(5) (c), under the formula, after “where”, add a colon and start a new line after that.</w:t>
      </w:r>
    </w:p>
    <w:p w14:paraId="234356AD"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(10) z, under the first formula, replace “in which” by “where:” and start a new line after that. Under the second formula, after “where”, add a colon and start a new line after that.</w:t>
      </w:r>
    </w:p>
    <w:p w14:paraId="6960FCBE"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(10) ab, renumber (i) to (iii) as (a) to (c).</w:t>
      </w:r>
    </w:p>
    <w:p w14:paraId="48CCF351"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(10) ad, renumber (i) and (ii) as (a) and (b) and renumber the list with dashes as (i) and (ii).</w:t>
      </w:r>
    </w:p>
    <w:p w14:paraId="799F52A6"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(13) 2.2, renumber the list with bullets as (a) to (e).</w:t>
      </w:r>
    </w:p>
    <w:p w14:paraId="70329D8B"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(13) 2.3, renumber the list with bullets as (a) to (e) and renumber the list with dashes as (i) and (ii).</w:t>
      </w:r>
    </w:p>
    <w:p w14:paraId="60D2C56C" w14:textId="20AB1598" w:rsidR="00602FBA" w:rsidRPr="0038459B" w:rsidRDefault="00602FBA" w:rsidP="00602FBA">
      <w:pPr>
        <w:pStyle w:val="SingleTxtG"/>
        <w:rPr>
          <w:i/>
          <w:iCs/>
          <w:lang w:eastAsia="en-US"/>
        </w:rPr>
      </w:pPr>
      <w:r w:rsidRPr="0038459B">
        <w:rPr>
          <w:i/>
          <w:iCs/>
          <w:lang w:eastAsia="en-US"/>
        </w:rPr>
        <w:t>(The first amendment supersedes all amendments regarding the placement and renumbering of footnotes in P200 in ECE/TRANS/WP.15/265</w:t>
      </w:r>
      <w:r w:rsidR="002023F7" w:rsidRPr="0038459B">
        <w:rPr>
          <w:i/>
          <w:iCs/>
          <w:lang w:eastAsia="en-US"/>
        </w:rPr>
        <w:t>.</w:t>
      </w:r>
      <w:r w:rsidRPr="0038459B">
        <w:rPr>
          <w:i/>
          <w:iCs/>
          <w:lang w:eastAsia="en-US"/>
        </w:rPr>
        <w:t>)</w:t>
      </w:r>
    </w:p>
    <w:p w14:paraId="10EC97AE" w14:textId="77777777" w:rsidR="00602FBA" w:rsidRPr="0038459B" w:rsidRDefault="00602FBA" w:rsidP="00602FBA">
      <w:pPr>
        <w:pStyle w:val="SingleTxtG"/>
        <w:rPr>
          <w:i/>
          <w:iCs/>
          <w:lang w:eastAsia="en-US"/>
        </w:rPr>
      </w:pPr>
      <w:r w:rsidRPr="0038459B">
        <w:rPr>
          <w:i/>
          <w:iCs/>
          <w:lang w:eastAsia="en-US"/>
        </w:rPr>
        <w:t>(Reference document: informal document INF.8)</w:t>
      </w:r>
    </w:p>
    <w:p w14:paraId="5F83A0B6" w14:textId="77777777" w:rsidR="00602FBA" w:rsidRPr="0038459B" w:rsidRDefault="00602FBA" w:rsidP="00602FBA">
      <w:pPr>
        <w:pStyle w:val="H1G"/>
      </w:pPr>
      <w:r w:rsidRPr="0038459B">
        <w:tab/>
      </w:r>
      <w:r w:rsidRPr="0038459B">
        <w:tab/>
        <w:t>Chapter 5.3</w:t>
      </w:r>
    </w:p>
    <w:p w14:paraId="57B9504A" w14:textId="77777777" w:rsidR="00602FBA" w:rsidRPr="0038459B" w:rsidRDefault="00602FBA" w:rsidP="00602FBA">
      <w:pPr>
        <w:pStyle w:val="SingleTxtG"/>
        <w:tabs>
          <w:tab w:val="clear" w:pos="1701"/>
          <w:tab w:val="clear" w:pos="2268"/>
          <w:tab w:val="clear" w:pos="2835"/>
        </w:tabs>
        <w:ind w:left="2268" w:hanging="1134"/>
      </w:pPr>
      <w:r w:rsidRPr="0038459B">
        <w:t>5.3.2.1.1</w:t>
      </w:r>
      <w:r w:rsidRPr="0038459B">
        <w:tab/>
        <w:t>In the second paragraph, last sentence, at the end, add “or to UN 3475, as appropriate”.</w:t>
      </w:r>
    </w:p>
    <w:p w14:paraId="7B4A0F7B" w14:textId="77777777" w:rsidR="00602FBA" w:rsidRPr="0038459B" w:rsidRDefault="00602FBA" w:rsidP="00602FBA">
      <w:pPr>
        <w:pStyle w:val="SingleTxtG"/>
        <w:tabs>
          <w:tab w:val="clear" w:pos="1701"/>
        </w:tabs>
        <w:rPr>
          <w:i/>
          <w:iCs/>
        </w:rPr>
      </w:pPr>
      <w:r w:rsidRPr="0038459B">
        <w:rPr>
          <w:i/>
          <w:iCs/>
        </w:rPr>
        <w:t>(Reference document: ECE/TRANS/WP.15/2024/2, consequential amendment)</w:t>
      </w:r>
    </w:p>
    <w:p w14:paraId="6340D166" w14:textId="77777777" w:rsidR="00602FBA" w:rsidRPr="0038459B" w:rsidRDefault="00602FBA" w:rsidP="00602FBA">
      <w:pPr>
        <w:pStyle w:val="SingleTxtG"/>
        <w:tabs>
          <w:tab w:val="clear" w:pos="1701"/>
          <w:tab w:val="clear" w:pos="2268"/>
          <w:tab w:val="clear" w:pos="2835"/>
        </w:tabs>
        <w:ind w:left="2268" w:hanging="1134"/>
      </w:pPr>
      <w:r w:rsidRPr="0038459B">
        <w:t>5.3.2.1.3</w:t>
      </w:r>
      <w:r w:rsidRPr="0038459B">
        <w:tab/>
        <w:t>Replace “1203 or 1223” by “1203, 1223 or 3475” and amend the end of the paragraph to read as follows:</w:t>
      </w:r>
    </w:p>
    <w:p w14:paraId="48AE2FAA" w14:textId="77777777" w:rsidR="00602FBA" w:rsidRPr="0038459B" w:rsidRDefault="00602FBA" w:rsidP="00602FBA">
      <w:pPr>
        <w:pStyle w:val="SingleTxtG"/>
        <w:tabs>
          <w:tab w:val="clear" w:pos="1701"/>
          <w:tab w:val="clear" w:pos="2268"/>
          <w:tab w:val="clear" w:pos="2835"/>
        </w:tabs>
        <w:ind w:left="2268" w:hanging="1134"/>
      </w:pPr>
      <w:r w:rsidRPr="0038459B">
        <w:t>“… and the UN number prescribed:</w:t>
      </w:r>
    </w:p>
    <w:p w14:paraId="5D675F07" w14:textId="69299283" w:rsidR="00602FBA" w:rsidRPr="0038459B" w:rsidRDefault="00602FBA" w:rsidP="00602FBA">
      <w:pPr>
        <w:pStyle w:val="SingleTxtG"/>
        <w:tabs>
          <w:tab w:val="clear" w:pos="1701"/>
          <w:tab w:val="clear" w:pos="2268"/>
          <w:tab w:val="clear" w:pos="2835"/>
        </w:tabs>
        <w:ind w:left="2268" w:hanging="1134"/>
      </w:pPr>
      <w:r w:rsidRPr="0038459B">
        <w:lastRenderedPageBreak/>
        <w:t>(a)</w:t>
      </w:r>
      <w:r w:rsidRPr="0038459B">
        <w:tab/>
      </w:r>
      <w:r w:rsidR="004A36BE" w:rsidRPr="0038459B">
        <w:t>F</w:t>
      </w:r>
      <w:r w:rsidRPr="0038459B">
        <w:t>or UN No. 3475; or</w:t>
      </w:r>
    </w:p>
    <w:p w14:paraId="61B57A50" w14:textId="7A03CE56" w:rsidR="00602FBA" w:rsidRPr="0038459B" w:rsidRDefault="00602FBA" w:rsidP="00602FBA">
      <w:pPr>
        <w:pStyle w:val="SingleTxtG"/>
        <w:tabs>
          <w:tab w:val="clear" w:pos="1701"/>
          <w:tab w:val="clear" w:pos="2268"/>
          <w:tab w:val="clear" w:pos="2835"/>
        </w:tabs>
        <w:ind w:left="2268" w:hanging="1134"/>
      </w:pPr>
      <w:r w:rsidRPr="0038459B">
        <w:t>(b)</w:t>
      </w:r>
      <w:r w:rsidRPr="0038459B">
        <w:tab/>
      </w:r>
      <w:r w:rsidR="004A36BE" w:rsidRPr="0038459B">
        <w:t>F</w:t>
      </w:r>
      <w:r w:rsidRPr="0038459B">
        <w:t xml:space="preserve">or the most hazardous substance carried, </w:t>
      </w:r>
      <w:proofErr w:type="gramStart"/>
      <w:r w:rsidRPr="0038459B">
        <w:t>i.e.</w:t>
      </w:r>
      <w:proofErr w:type="gramEnd"/>
      <w:r w:rsidRPr="0038459B">
        <w:t xml:space="preserve"> the substance with the lowest flash-point in the absence of any substance assigned to UN No. 3475.”</w:t>
      </w:r>
    </w:p>
    <w:p w14:paraId="0A22490D" w14:textId="77777777" w:rsidR="00602FBA" w:rsidRPr="0038459B" w:rsidRDefault="00602FBA" w:rsidP="00602FBA">
      <w:pPr>
        <w:pStyle w:val="SingleTxtG"/>
        <w:tabs>
          <w:tab w:val="clear" w:pos="1701"/>
        </w:tabs>
        <w:rPr>
          <w:i/>
          <w:iCs/>
        </w:rPr>
      </w:pPr>
      <w:r w:rsidRPr="0038459B">
        <w:rPr>
          <w:i/>
          <w:iCs/>
        </w:rPr>
        <w:t>(Reference document: ECE/TRANS/WP.15/2024/2, editorially amended)</w:t>
      </w:r>
    </w:p>
    <w:p w14:paraId="6059201B" w14:textId="77777777" w:rsidR="00602FBA" w:rsidRPr="0038459B" w:rsidRDefault="00602FBA" w:rsidP="00602FBA">
      <w:pPr>
        <w:pStyle w:val="H1G"/>
      </w:pPr>
      <w:r w:rsidRPr="0038459B">
        <w:tab/>
      </w:r>
      <w:r w:rsidRPr="0038459B">
        <w:tab/>
        <w:t>Chapter 9.2</w:t>
      </w:r>
    </w:p>
    <w:p w14:paraId="5631A857" w14:textId="77777777" w:rsidR="00602FBA" w:rsidRPr="0038459B" w:rsidRDefault="00602FBA" w:rsidP="00602FBA">
      <w:pPr>
        <w:pStyle w:val="SingleTxtG"/>
        <w:tabs>
          <w:tab w:val="clear" w:pos="1701"/>
          <w:tab w:val="clear" w:pos="2268"/>
          <w:tab w:val="clear" w:pos="2835"/>
        </w:tabs>
        <w:ind w:left="2268" w:hanging="1134"/>
      </w:pPr>
      <w:r w:rsidRPr="0038459B">
        <w:t>9.2.2.3</w:t>
      </w:r>
      <w:r w:rsidRPr="0038459B">
        <w:tab/>
        <w:t>At the end of the list, replace the period by a semicolon and add a new item to read “- From the starter battery to the electric steering equipment.”</w:t>
      </w:r>
    </w:p>
    <w:p w14:paraId="4A13E719" w14:textId="77777777" w:rsidR="00602FBA" w:rsidRPr="0038459B" w:rsidRDefault="00602FBA" w:rsidP="00602FBA">
      <w:pPr>
        <w:pStyle w:val="SingleTxtG"/>
        <w:tabs>
          <w:tab w:val="clear" w:pos="1701"/>
        </w:tabs>
        <w:rPr>
          <w:i/>
          <w:iCs/>
        </w:rPr>
      </w:pPr>
      <w:r w:rsidRPr="0038459B">
        <w:rPr>
          <w:i/>
          <w:iCs/>
        </w:rPr>
        <w:t>(Reference document: ECE/TRANS/WP.15/2024/4)</w:t>
      </w:r>
    </w:p>
    <w:p w14:paraId="78958D95" w14:textId="77777777" w:rsidR="00602FBA" w:rsidRPr="0038459B" w:rsidRDefault="00602FBA" w:rsidP="00602FBA">
      <w:pPr>
        <w:pStyle w:val="SingleTxtG"/>
        <w:tabs>
          <w:tab w:val="clear" w:pos="1701"/>
          <w:tab w:val="clear" w:pos="2268"/>
          <w:tab w:val="clear" w:pos="2835"/>
        </w:tabs>
        <w:ind w:left="2268" w:hanging="1134"/>
      </w:pPr>
      <w:r w:rsidRPr="0038459B">
        <w:t>9.2.5.1 (current 9.2.4.8.1)</w:t>
      </w:r>
      <w:r w:rsidRPr="0038459B">
        <w:tab/>
        <w:t>Replace “9.2.4.8.2 to 9.2.4.8.6” by “9.2.5.2 to 9.2.5.6”.</w:t>
      </w:r>
    </w:p>
    <w:p w14:paraId="1C6595BA" w14:textId="77777777" w:rsidR="00602FBA" w:rsidRPr="0038459B" w:rsidRDefault="00602FBA" w:rsidP="00602FBA">
      <w:pPr>
        <w:pStyle w:val="SingleTxtG"/>
        <w:tabs>
          <w:tab w:val="clear" w:pos="1701"/>
          <w:tab w:val="clear" w:pos="2268"/>
          <w:tab w:val="clear" w:pos="2835"/>
        </w:tabs>
        <w:ind w:left="2268" w:hanging="1134"/>
      </w:pPr>
      <w:r w:rsidRPr="0038459B">
        <w:t>9.2.5.2 (current 9.2.4.8.2)</w:t>
      </w:r>
      <w:r w:rsidRPr="0038459B">
        <w:tab/>
        <w:t>Replace “9.2.4.3 and 9.2.4.5” by “9.2.4.2 and 9.2.4.3.2”.</w:t>
      </w:r>
    </w:p>
    <w:p w14:paraId="002DB925" w14:textId="77777777" w:rsidR="00602FBA" w:rsidRPr="0038459B" w:rsidRDefault="00602FBA" w:rsidP="00602FBA">
      <w:pPr>
        <w:pStyle w:val="SingleTxtG"/>
        <w:tabs>
          <w:tab w:val="clear" w:pos="1701"/>
          <w:tab w:val="clear" w:pos="2268"/>
          <w:tab w:val="clear" w:pos="2835"/>
        </w:tabs>
        <w:ind w:left="2268" w:hanging="1134"/>
      </w:pPr>
      <w:r w:rsidRPr="0038459B">
        <w:t>9.2.5.4 (current 9.2.4.8.4)</w:t>
      </w:r>
      <w:r w:rsidRPr="0038459B">
        <w:tab/>
        <w:t>In the first sentence, replace “9.2.4.8.3 (b) and (c)” by “9.2.5.3 (b) and (c)”.</w:t>
      </w:r>
    </w:p>
    <w:p w14:paraId="7524793C" w14:textId="77777777" w:rsidR="00602FBA" w:rsidRPr="0038459B" w:rsidRDefault="00602FBA" w:rsidP="00602FBA">
      <w:pPr>
        <w:pStyle w:val="SingleTxtG"/>
        <w:tabs>
          <w:tab w:val="clear" w:pos="1701"/>
        </w:tabs>
        <w:rPr>
          <w:i/>
          <w:iCs/>
        </w:rPr>
      </w:pPr>
      <w:r w:rsidRPr="0038459B">
        <w:rPr>
          <w:i/>
          <w:iCs/>
        </w:rPr>
        <w:t>(Reference document: ECE/TRANS/WP.15/2024/8)</w:t>
      </w:r>
    </w:p>
    <w:p w14:paraId="134BE6DE" w14:textId="77777777" w:rsidR="00602FBA" w:rsidRPr="0038459B" w:rsidRDefault="00602FBA" w:rsidP="00602FBA">
      <w:pPr>
        <w:pStyle w:val="H1G"/>
      </w:pPr>
      <w:r w:rsidRPr="0038459B">
        <w:tab/>
      </w:r>
      <w:r w:rsidRPr="0038459B">
        <w:tab/>
        <w:t>Chapter 9.3</w:t>
      </w:r>
    </w:p>
    <w:p w14:paraId="61E47C15" w14:textId="77777777" w:rsidR="00602FBA" w:rsidRPr="0038459B" w:rsidRDefault="00602FBA" w:rsidP="00602FBA">
      <w:pPr>
        <w:pStyle w:val="SingleTxtG"/>
        <w:tabs>
          <w:tab w:val="clear" w:pos="1701"/>
          <w:tab w:val="clear" w:pos="2268"/>
          <w:tab w:val="clear" w:pos="2835"/>
        </w:tabs>
        <w:ind w:left="2268" w:hanging="1134"/>
      </w:pPr>
      <w:r w:rsidRPr="0038459B">
        <w:t>9.3.2.2</w:t>
      </w:r>
      <w:r w:rsidRPr="0038459B">
        <w:tab/>
        <w:t>Replace “9.2.4.8.1, 9.2.4.8.2, 9.2.4.8.5 and 9.2.4.8.6” by “9.2.5.1, 9.2.5.2, 9.2.5.5 and 9.2.5.6”.</w:t>
      </w:r>
    </w:p>
    <w:p w14:paraId="15791CA1" w14:textId="77777777" w:rsidR="00602FBA" w:rsidRPr="0038459B" w:rsidRDefault="00602FBA" w:rsidP="00602FBA">
      <w:pPr>
        <w:pStyle w:val="SingleTxtG"/>
        <w:tabs>
          <w:tab w:val="clear" w:pos="1701"/>
        </w:tabs>
        <w:rPr>
          <w:i/>
          <w:iCs/>
        </w:rPr>
      </w:pPr>
      <w:r w:rsidRPr="0038459B">
        <w:rPr>
          <w:i/>
          <w:iCs/>
        </w:rPr>
        <w:t>(Reference document: ECE/TRANS/WP.15/2024/8)</w:t>
      </w:r>
    </w:p>
    <w:p w14:paraId="624C0EA6" w14:textId="77777777" w:rsidR="00602FBA" w:rsidRPr="0038459B" w:rsidRDefault="00602FBA" w:rsidP="00602FBA">
      <w:pPr>
        <w:pStyle w:val="H1G"/>
      </w:pPr>
      <w:r w:rsidRPr="0038459B">
        <w:tab/>
      </w:r>
      <w:r w:rsidRPr="0038459B">
        <w:tab/>
        <w:t>Chapter 9.7</w:t>
      </w:r>
    </w:p>
    <w:p w14:paraId="1ADADF0F" w14:textId="77777777" w:rsidR="00602FBA" w:rsidRPr="0038459B" w:rsidRDefault="00602FBA" w:rsidP="00602FBA">
      <w:pPr>
        <w:pStyle w:val="SingleTxtG"/>
        <w:tabs>
          <w:tab w:val="clear" w:pos="1701"/>
          <w:tab w:val="clear" w:pos="2268"/>
          <w:tab w:val="clear" w:pos="2835"/>
        </w:tabs>
        <w:ind w:left="2268" w:hanging="1134"/>
      </w:pPr>
      <w:r w:rsidRPr="0038459B">
        <w:t>9.7.7.1</w:t>
      </w:r>
      <w:r w:rsidRPr="0038459B">
        <w:tab/>
        <w:t>In the first paragraph, replace “9.2.4.8.1, 9.2.4.8.2, 9.2.4.8.5” by “9.2.5.1, 9.2.5.2, 9.2.5.5”.</w:t>
      </w:r>
    </w:p>
    <w:p w14:paraId="59ABF360" w14:textId="77777777" w:rsidR="00602FBA" w:rsidRPr="0038459B" w:rsidRDefault="00602FBA" w:rsidP="00602FBA">
      <w:pPr>
        <w:pStyle w:val="SingleTxtG"/>
        <w:tabs>
          <w:tab w:val="clear" w:pos="1701"/>
          <w:tab w:val="clear" w:pos="2268"/>
          <w:tab w:val="clear" w:pos="2835"/>
        </w:tabs>
        <w:ind w:left="2268" w:hanging="1134"/>
      </w:pPr>
      <w:r w:rsidRPr="0038459B">
        <w:tab/>
        <w:t>In the second paragraph, replace “9.2.4.8.3 and 9.2.4.8.4” by “9.2.5.3 and 9.2.5.4”.</w:t>
      </w:r>
    </w:p>
    <w:p w14:paraId="34A49B2B" w14:textId="77777777" w:rsidR="00602FBA" w:rsidRPr="0038459B" w:rsidRDefault="00602FBA" w:rsidP="00602FBA">
      <w:pPr>
        <w:pStyle w:val="SingleTxtG"/>
        <w:tabs>
          <w:tab w:val="clear" w:pos="1701"/>
        </w:tabs>
        <w:rPr>
          <w:i/>
          <w:iCs/>
        </w:rPr>
      </w:pPr>
      <w:r w:rsidRPr="0038459B">
        <w:rPr>
          <w:i/>
          <w:iCs/>
        </w:rPr>
        <w:t>(Reference document: ECE/TRANS/WP.15/2024/8)</w:t>
      </w:r>
    </w:p>
    <w:p w14:paraId="29E18CAD" w14:textId="77777777" w:rsidR="00602FBA" w:rsidRPr="0038459B" w:rsidRDefault="00602FBA" w:rsidP="00602FBA">
      <w:pPr>
        <w:pStyle w:val="SingleTxtG"/>
        <w:tabs>
          <w:tab w:val="clear" w:pos="1701"/>
          <w:tab w:val="clear" w:pos="2268"/>
          <w:tab w:val="clear" w:pos="2835"/>
        </w:tabs>
        <w:ind w:left="2268" w:hanging="1134"/>
      </w:pPr>
      <w:r w:rsidRPr="0038459B">
        <w:t>9.7.8.1</w:t>
      </w:r>
      <w:r w:rsidRPr="0038459B">
        <w:tab/>
        <w:t>Amend the first sentence to read “Additions to or modifications of the electrical installation on vehicles shall meet the relevant requirements of Chapter 9.2 as appropriate (see table 9.2.1.1).”. Delete the second paragraph.</w:t>
      </w:r>
    </w:p>
    <w:p w14:paraId="4CDE8A56" w14:textId="77777777" w:rsidR="00602FBA" w:rsidRPr="0038459B" w:rsidRDefault="00602FBA" w:rsidP="00602FBA">
      <w:pPr>
        <w:pStyle w:val="SingleTxtG"/>
        <w:tabs>
          <w:tab w:val="clear" w:pos="1701"/>
        </w:tabs>
        <w:rPr>
          <w:i/>
          <w:iCs/>
        </w:rPr>
      </w:pPr>
      <w:r w:rsidRPr="0038459B">
        <w:rPr>
          <w:i/>
          <w:iCs/>
        </w:rPr>
        <w:t>(Reference document: ECE/TRANS/WP.15/2024/5, as amended)</w:t>
      </w:r>
    </w:p>
    <w:p w14:paraId="106DD5A5" w14:textId="77777777" w:rsidR="00602FBA" w:rsidRPr="0038459B" w:rsidRDefault="00602FBA" w:rsidP="00602FBA">
      <w:pPr>
        <w:pStyle w:val="H1G"/>
      </w:pPr>
      <w:r w:rsidRPr="0038459B">
        <w:tab/>
      </w:r>
      <w:r w:rsidRPr="0038459B">
        <w:tab/>
        <w:t>Chapter 9.8</w:t>
      </w:r>
    </w:p>
    <w:p w14:paraId="60A9CA98" w14:textId="77777777" w:rsidR="00602FBA" w:rsidRPr="0038459B" w:rsidRDefault="00602FBA" w:rsidP="00602FBA">
      <w:pPr>
        <w:pStyle w:val="SingleTxtG"/>
        <w:tabs>
          <w:tab w:val="clear" w:pos="1701"/>
          <w:tab w:val="clear" w:pos="2268"/>
          <w:tab w:val="clear" w:pos="2835"/>
        </w:tabs>
        <w:ind w:left="2268" w:hanging="1134"/>
      </w:pPr>
      <w:r w:rsidRPr="0038459B">
        <w:t>9.8.6.1</w:t>
      </w:r>
      <w:r w:rsidRPr="0038459B">
        <w:tab/>
        <w:t>Replace “9.2.4.8.1, 9.2.4.8.2, 9.2.4.8.5, 9.2.4.8.6” by “9.2.5.1, 9.2.5.2, 9.2.5.5, 9.2.5.6”.</w:t>
      </w:r>
    </w:p>
    <w:p w14:paraId="6CCE1723" w14:textId="77777777" w:rsidR="00602FBA" w:rsidRPr="0038459B" w:rsidRDefault="00602FBA" w:rsidP="00602FBA">
      <w:pPr>
        <w:pStyle w:val="SingleTxtG"/>
        <w:tabs>
          <w:tab w:val="clear" w:pos="1701"/>
        </w:tabs>
        <w:rPr>
          <w:i/>
          <w:iCs/>
        </w:rPr>
      </w:pPr>
      <w:r w:rsidRPr="0038459B">
        <w:rPr>
          <w:i/>
          <w:iCs/>
        </w:rPr>
        <w:t>(Reference document: ECE/TRANS/WP.15/2024/8)</w:t>
      </w:r>
    </w:p>
    <w:p w14:paraId="395A8576" w14:textId="77777777" w:rsidR="00602FBA" w:rsidRPr="0038459B" w:rsidRDefault="00602FBA" w:rsidP="00602FBA">
      <w:pPr>
        <w:pStyle w:val="H1G"/>
      </w:pPr>
      <w:r w:rsidRPr="0038459B">
        <w:tab/>
      </w:r>
      <w:r w:rsidRPr="0038459B">
        <w:tab/>
        <w:t>Informal document INF.12, part A, adopted with the following modifications:</w:t>
      </w:r>
    </w:p>
    <w:p w14:paraId="60BEE17F"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Remove all square brackets.</w:t>
      </w:r>
    </w:p>
    <w:p w14:paraId="15DDB8FB"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1.8.6.3.1</w:t>
      </w:r>
      <w:r w:rsidRPr="0038459B">
        <w:rPr>
          <w:lang w:eastAsia="en-US"/>
        </w:rPr>
        <w:tab/>
        <w:t>The modification does not apply to the English text.</w:t>
      </w:r>
    </w:p>
    <w:p w14:paraId="760E219D"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6.2.4.1</w:t>
      </w:r>
      <w:r w:rsidRPr="0038459B">
        <w:rPr>
          <w:lang w:eastAsia="en-US"/>
        </w:rPr>
        <w:tab/>
        <w:t>Delete the amendments related to EN ISO 17871.</w:t>
      </w:r>
    </w:p>
    <w:p w14:paraId="172C793A" w14:textId="77777777" w:rsidR="00602FBA" w:rsidRPr="0038459B" w:rsidRDefault="00602FBA" w:rsidP="00492EF9">
      <w:pPr>
        <w:pStyle w:val="SingleTxtG"/>
        <w:tabs>
          <w:tab w:val="clear" w:pos="1701"/>
          <w:tab w:val="clear" w:pos="2268"/>
          <w:tab w:val="clear" w:pos="2835"/>
        </w:tabs>
        <w:suppressAutoHyphens/>
        <w:ind w:left="2268" w:hanging="1134"/>
        <w:rPr>
          <w:lang w:eastAsia="en-US"/>
        </w:rPr>
      </w:pPr>
      <w:r w:rsidRPr="0038459B">
        <w:rPr>
          <w:lang w:eastAsia="en-US"/>
        </w:rPr>
        <w:t xml:space="preserve">6.8.2.6.2 </w:t>
      </w:r>
      <w:r w:rsidRPr="0038459B">
        <w:rPr>
          <w:lang w:eastAsia="en-US"/>
        </w:rPr>
        <w:tab/>
        <w:t>In the new row for “EN 12972:2018 + A1:2024”, in column (3), before “6.8.2.4” add “6.8.2.3,”.</w:t>
      </w:r>
    </w:p>
    <w:p w14:paraId="20335CD8" w14:textId="77777777" w:rsidR="00602FBA" w:rsidRPr="0038459B" w:rsidRDefault="00602FBA" w:rsidP="00602FBA">
      <w:pPr>
        <w:pStyle w:val="SingleTxtG"/>
        <w:tabs>
          <w:tab w:val="clear" w:pos="1701"/>
          <w:tab w:val="clear" w:pos="2268"/>
          <w:tab w:val="clear" w:pos="2835"/>
        </w:tabs>
        <w:suppressAutoHyphens/>
        <w:ind w:left="2268" w:hanging="1134"/>
        <w:rPr>
          <w:i/>
          <w:iCs/>
          <w:lang w:eastAsia="en-US"/>
        </w:rPr>
      </w:pPr>
      <w:r w:rsidRPr="0038459B">
        <w:rPr>
          <w:i/>
          <w:iCs/>
          <w:lang w:eastAsia="en-US"/>
        </w:rPr>
        <w:lastRenderedPageBreak/>
        <w:t>(Consequential amendment)</w:t>
      </w:r>
    </w:p>
    <w:p w14:paraId="6D7D9BD7"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6.11</w:t>
      </w:r>
      <w:r w:rsidRPr="0038459B">
        <w:rPr>
          <w:lang w:eastAsia="en-US"/>
        </w:rPr>
        <w:tab/>
        <w:t>Renumber 6.11.1.4 as 6.11.4.1.</w:t>
      </w:r>
    </w:p>
    <w:p w14:paraId="06D06AFD" w14:textId="3231F90B" w:rsidR="00602FBA" w:rsidRPr="0038459B" w:rsidRDefault="00602FBA" w:rsidP="00602FBA">
      <w:pPr>
        <w:pStyle w:val="H1G"/>
      </w:pPr>
      <w:r w:rsidRPr="0038459B">
        <w:tab/>
      </w:r>
      <w:r w:rsidRPr="0038459B">
        <w:tab/>
        <w:t>Document ECE/TRANS/WP.15/264, annex III adopted with the following modifications:</w:t>
      </w:r>
    </w:p>
    <w:p w14:paraId="04A52456" w14:textId="77777777" w:rsidR="00602FBA" w:rsidRPr="0038459B" w:rsidRDefault="00602FBA" w:rsidP="00602FBA">
      <w:pPr>
        <w:pStyle w:val="SingleTxtG"/>
        <w:tabs>
          <w:tab w:val="clear" w:pos="1701"/>
          <w:tab w:val="clear" w:pos="2268"/>
          <w:tab w:val="clear" w:pos="2835"/>
        </w:tabs>
        <w:ind w:left="2268" w:hanging="1134"/>
      </w:pPr>
      <w:r w:rsidRPr="0038459B">
        <w:t>1.6.5.26</w:t>
      </w:r>
      <w:r w:rsidRPr="0038459B">
        <w:tab/>
        <w:t xml:space="preserve">Replace “[1 April 2026]” by “1 January 2027”. </w:t>
      </w:r>
    </w:p>
    <w:p w14:paraId="4E6FA21A" w14:textId="77777777" w:rsidR="00602FBA" w:rsidRPr="0038459B" w:rsidRDefault="00602FBA" w:rsidP="00602FBA">
      <w:pPr>
        <w:pStyle w:val="SingleTxtG"/>
        <w:tabs>
          <w:tab w:val="clear" w:pos="1701"/>
          <w:tab w:val="clear" w:pos="2268"/>
          <w:tab w:val="clear" w:pos="2835"/>
        </w:tabs>
        <w:ind w:left="2268" w:hanging="1134"/>
      </w:pPr>
      <w:r w:rsidRPr="0038459B">
        <w:t>1.6.5.27</w:t>
      </w:r>
      <w:r w:rsidRPr="0038459B">
        <w:tab/>
        <w:t xml:space="preserve">Replace “[1 April 2026]” by “1 January 2027”. </w:t>
      </w:r>
    </w:p>
    <w:p w14:paraId="2BAA9564" w14:textId="77777777" w:rsidR="00602FBA" w:rsidRPr="0038459B" w:rsidRDefault="00602FBA" w:rsidP="00602FBA">
      <w:pPr>
        <w:pStyle w:val="SingleTxtG"/>
        <w:tabs>
          <w:tab w:val="clear" w:pos="1701"/>
          <w:tab w:val="clear" w:pos="2268"/>
          <w:tab w:val="clear" w:pos="2835"/>
        </w:tabs>
        <w:ind w:left="2268" w:hanging="1134"/>
      </w:pPr>
      <w:r w:rsidRPr="0038459B">
        <w:t>The amendments to Chapter 1.8 are replaced by those in informal document INF.12.</w:t>
      </w:r>
    </w:p>
    <w:p w14:paraId="4A31DDEB" w14:textId="77777777" w:rsidR="00602FBA" w:rsidRPr="0038459B" w:rsidRDefault="00602FBA" w:rsidP="00602FBA">
      <w:pPr>
        <w:pStyle w:val="SingleTxtG"/>
        <w:tabs>
          <w:tab w:val="clear" w:pos="1701"/>
          <w:tab w:val="clear" w:pos="2268"/>
          <w:tab w:val="clear" w:pos="2835"/>
        </w:tabs>
        <w:ind w:left="2268" w:hanging="1134"/>
      </w:pPr>
      <w:r w:rsidRPr="0038459B">
        <w:t>The amendments to Chapters 6.2 and 6.8 are withdrawn.</w:t>
      </w:r>
    </w:p>
    <w:p w14:paraId="761B49DF" w14:textId="77777777" w:rsidR="00602FBA" w:rsidRPr="0038459B" w:rsidRDefault="00602FBA" w:rsidP="00602FBA">
      <w:pPr>
        <w:pStyle w:val="SingleTxtG"/>
        <w:tabs>
          <w:tab w:val="clear" w:pos="1701"/>
          <w:tab w:val="clear" w:pos="2268"/>
          <w:tab w:val="clear" w:pos="2835"/>
        </w:tabs>
        <w:ind w:left="2268" w:hanging="1134"/>
      </w:pPr>
      <w:r w:rsidRPr="0038459B">
        <w:t>9.2.1.1</w:t>
      </w:r>
      <w:r w:rsidRPr="0038459B">
        <w:tab/>
        <w:t>In the second bullet point, replace “vehicles first registered after [31 March 2026]” by “vehicles using fuels other than hydrogen, first registered after 31 December 2026”.</w:t>
      </w:r>
    </w:p>
    <w:p w14:paraId="0FEDF77C" w14:textId="77777777" w:rsidR="00602FBA" w:rsidRPr="0038459B" w:rsidRDefault="00602FBA" w:rsidP="00602FBA">
      <w:pPr>
        <w:pStyle w:val="SingleTxtG"/>
        <w:tabs>
          <w:tab w:val="clear" w:pos="1701"/>
          <w:tab w:val="clear" w:pos="2268"/>
          <w:tab w:val="clear" w:pos="2835"/>
        </w:tabs>
        <w:ind w:left="2268" w:hanging="1134"/>
      </w:pPr>
      <w:r w:rsidRPr="0038459B">
        <w:tab/>
        <w:t>Modify the third bullet point to read as follows:</w:t>
      </w:r>
    </w:p>
    <w:p w14:paraId="373C131C" w14:textId="77777777" w:rsidR="00602FBA" w:rsidRPr="0038459B" w:rsidRDefault="00602FBA" w:rsidP="00602FBA">
      <w:pPr>
        <w:pStyle w:val="SingleTxtG"/>
        <w:tabs>
          <w:tab w:val="clear" w:pos="1701"/>
          <w:tab w:val="clear" w:pos="2268"/>
          <w:tab w:val="clear" w:pos="2835"/>
        </w:tabs>
        <w:ind w:left="2268" w:hanging="1134"/>
      </w:pPr>
      <w:r w:rsidRPr="0038459B">
        <w:t>“</w:t>
      </w:r>
      <w:r w:rsidRPr="0038459B">
        <w:tab/>
        <w:t>• Replace the row for 9.2.4.4 by:</w:t>
      </w:r>
    </w:p>
    <w:tbl>
      <w:tblPr>
        <w:tblStyle w:val="TableGrid"/>
        <w:tblW w:w="7371" w:type="dxa"/>
        <w:tblInd w:w="1129" w:type="dxa"/>
        <w:tblLook w:val="04A0" w:firstRow="1" w:lastRow="0" w:firstColumn="1" w:lastColumn="0" w:noHBand="0" w:noVBand="1"/>
      </w:tblPr>
      <w:tblGrid>
        <w:gridCol w:w="993"/>
        <w:gridCol w:w="2126"/>
        <w:gridCol w:w="425"/>
        <w:gridCol w:w="425"/>
        <w:gridCol w:w="567"/>
        <w:gridCol w:w="426"/>
        <w:gridCol w:w="2409"/>
      </w:tblGrid>
      <w:tr w:rsidR="00602FBA" w:rsidRPr="0038459B" w14:paraId="0CD2C1A6" w14:textId="77777777" w:rsidTr="00F75566">
        <w:tc>
          <w:tcPr>
            <w:tcW w:w="993" w:type="dxa"/>
            <w:tcBorders>
              <w:top w:val="single" w:sz="4" w:space="0" w:color="auto"/>
              <w:left w:val="single" w:sz="4" w:space="0" w:color="auto"/>
              <w:bottom w:val="single" w:sz="4" w:space="0" w:color="auto"/>
              <w:right w:val="single" w:sz="4" w:space="0" w:color="auto"/>
            </w:tcBorders>
          </w:tcPr>
          <w:p w14:paraId="16B5E274" w14:textId="77777777" w:rsidR="00602FBA" w:rsidRPr="0038459B" w:rsidRDefault="00602FBA" w:rsidP="00F75566">
            <w:pPr>
              <w:ind w:left="139"/>
            </w:pPr>
            <w:r w:rsidRPr="0038459B">
              <w:t>9.2.4.3</w:t>
            </w:r>
          </w:p>
        </w:tc>
        <w:tc>
          <w:tcPr>
            <w:tcW w:w="2126" w:type="dxa"/>
            <w:tcBorders>
              <w:top w:val="single" w:sz="4" w:space="0" w:color="auto"/>
              <w:left w:val="single" w:sz="4" w:space="0" w:color="auto"/>
              <w:bottom w:val="single" w:sz="4" w:space="0" w:color="auto"/>
              <w:right w:val="single" w:sz="4" w:space="0" w:color="auto"/>
            </w:tcBorders>
          </w:tcPr>
          <w:p w14:paraId="5ABD4857" w14:textId="77777777" w:rsidR="00602FBA" w:rsidRPr="0038459B" w:rsidRDefault="00602FBA" w:rsidP="00F75566">
            <w:pPr>
              <w:ind w:left="139"/>
            </w:pPr>
            <w:r w:rsidRPr="0038459B">
              <w:t>Internal combustion engine</w:t>
            </w:r>
          </w:p>
        </w:tc>
        <w:tc>
          <w:tcPr>
            <w:tcW w:w="425" w:type="dxa"/>
            <w:tcBorders>
              <w:top w:val="single" w:sz="4" w:space="0" w:color="auto"/>
              <w:left w:val="single" w:sz="4" w:space="0" w:color="auto"/>
              <w:bottom w:val="single" w:sz="4" w:space="0" w:color="auto"/>
              <w:right w:val="single" w:sz="4" w:space="0" w:color="auto"/>
            </w:tcBorders>
          </w:tcPr>
          <w:p w14:paraId="2A8D2765" w14:textId="77777777" w:rsidR="00602FBA" w:rsidRPr="0038459B" w:rsidRDefault="00602FBA" w:rsidP="00F75566">
            <w:pPr>
              <w:ind w:left="139"/>
            </w:pPr>
            <w:r w:rsidRPr="0038459B">
              <w:t>X</w:t>
            </w:r>
          </w:p>
        </w:tc>
        <w:tc>
          <w:tcPr>
            <w:tcW w:w="425" w:type="dxa"/>
            <w:tcBorders>
              <w:top w:val="single" w:sz="4" w:space="0" w:color="auto"/>
              <w:left w:val="single" w:sz="4" w:space="0" w:color="auto"/>
              <w:bottom w:val="single" w:sz="4" w:space="0" w:color="auto"/>
              <w:right w:val="single" w:sz="4" w:space="0" w:color="auto"/>
            </w:tcBorders>
          </w:tcPr>
          <w:p w14:paraId="042D15DA" w14:textId="77777777" w:rsidR="00602FBA" w:rsidRPr="0038459B" w:rsidRDefault="00602FBA" w:rsidP="00F75566">
            <w:pPr>
              <w:ind w:left="139"/>
            </w:pPr>
            <w:r w:rsidRPr="0038459B">
              <w:t>X</w:t>
            </w:r>
          </w:p>
        </w:tc>
        <w:tc>
          <w:tcPr>
            <w:tcW w:w="567" w:type="dxa"/>
            <w:tcBorders>
              <w:top w:val="single" w:sz="4" w:space="0" w:color="auto"/>
              <w:left w:val="single" w:sz="4" w:space="0" w:color="auto"/>
              <w:bottom w:val="single" w:sz="4" w:space="0" w:color="auto"/>
              <w:right w:val="single" w:sz="4" w:space="0" w:color="auto"/>
            </w:tcBorders>
          </w:tcPr>
          <w:p w14:paraId="50ABFC99" w14:textId="77777777" w:rsidR="00602FBA" w:rsidRPr="0038459B" w:rsidRDefault="00602FBA" w:rsidP="00F75566">
            <w:pPr>
              <w:ind w:left="139"/>
            </w:pPr>
            <w:proofErr w:type="spellStart"/>
            <w:r w:rsidRPr="0038459B">
              <w:t>X</w:t>
            </w:r>
            <w:r w:rsidRPr="0038459B">
              <w:rPr>
                <w:vertAlign w:val="superscript"/>
              </w:rPr>
              <w:t>k</w:t>
            </w:r>
            <w:proofErr w:type="spellEnd"/>
          </w:p>
        </w:tc>
        <w:tc>
          <w:tcPr>
            <w:tcW w:w="426" w:type="dxa"/>
            <w:tcBorders>
              <w:top w:val="single" w:sz="4" w:space="0" w:color="auto"/>
              <w:left w:val="single" w:sz="4" w:space="0" w:color="auto"/>
              <w:bottom w:val="single" w:sz="4" w:space="0" w:color="auto"/>
              <w:right w:val="single" w:sz="4" w:space="0" w:color="auto"/>
            </w:tcBorders>
          </w:tcPr>
          <w:p w14:paraId="71066075" w14:textId="77777777" w:rsidR="00602FBA" w:rsidRPr="0038459B" w:rsidRDefault="00602FBA" w:rsidP="00F75566">
            <w:pPr>
              <w:ind w:left="139"/>
            </w:pPr>
            <w:r w:rsidRPr="0038459B">
              <w:t>X</w:t>
            </w:r>
          </w:p>
        </w:tc>
        <w:tc>
          <w:tcPr>
            <w:tcW w:w="2409" w:type="dxa"/>
            <w:tcBorders>
              <w:top w:val="single" w:sz="4" w:space="0" w:color="auto"/>
              <w:left w:val="single" w:sz="4" w:space="0" w:color="auto"/>
              <w:bottom w:val="single" w:sz="4" w:space="0" w:color="auto"/>
              <w:right w:val="single" w:sz="4" w:space="0" w:color="auto"/>
            </w:tcBorders>
          </w:tcPr>
          <w:p w14:paraId="1CAF5168" w14:textId="683E252D" w:rsidR="00602FBA" w:rsidRPr="0038459B" w:rsidRDefault="00602FBA" w:rsidP="00F75566">
            <w:pPr>
              <w:ind w:left="139"/>
              <w:rPr>
                <w:vertAlign w:val="superscript"/>
              </w:rPr>
            </w:pPr>
            <w:r w:rsidRPr="0038459B">
              <w:rPr>
                <w:vertAlign w:val="superscript"/>
              </w:rPr>
              <w:t xml:space="preserve">k </w:t>
            </w:r>
            <w:r w:rsidRPr="0038459B">
              <w:t>Applicable to motor vehicles first registered after 31 December 2026</w:t>
            </w:r>
            <w:r w:rsidR="00634BEF" w:rsidRPr="0038459B">
              <w:t>.</w:t>
            </w:r>
          </w:p>
        </w:tc>
      </w:tr>
      <w:tr w:rsidR="00602FBA" w:rsidRPr="0038459B" w14:paraId="1DBDD57B" w14:textId="77777777" w:rsidTr="00F75566">
        <w:tc>
          <w:tcPr>
            <w:tcW w:w="993" w:type="dxa"/>
            <w:tcBorders>
              <w:top w:val="single" w:sz="4" w:space="0" w:color="auto"/>
              <w:left w:val="single" w:sz="4" w:space="0" w:color="auto"/>
              <w:bottom w:val="single" w:sz="4" w:space="0" w:color="auto"/>
              <w:right w:val="single" w:sz="4" w:space="0" w:color="auto"/>
            </w:tcBorders>
          </w:tcPr>
          <w:p w14:paraId="0C5BBFFF" w14:textId="77777777" w:rsidR="00602FBA" w:rsidRPr="0038459B" w:rsidRDefault="00602FBA" w:rsidP="00F75566">
            <w:pPr>
              <w:ind w:left="139"/>
            </w:pPr>
            <w:r w:rsidRPr="0038459B">
              <w:t>9.2.4.3.1</w:t>
            </w:r>
          </w:p>
        </w:tc>
        <w:tc>
          <w:tcPr>
            <w:tcW w:w="2126" w:type="dxa"/>
            <w:tcBorders>
              <w:top w:val="single" w:sz="4" w:space="0" w:color="auto"/>
              <w:left w:val="single" w:sz="4" w:space="0" w:color="auto"/>
              <w:bottom w:val="single" w:sz="4" w:space="0" w:color="auto"/>
              <w:right w:val="single" w:sz="4" w:space="0" w:color="auto"/>
            </w:tcBorders>
          </w:tcPr>
          <w:p w14:paraId="36E14013" w14:textId="77777777" w:rsidR="00602FBA" w:rsidRPr="0038459B" w:rsidRDefault="00602FBA" w:rsidP="00F75566">
            <w:pPr>
              <w:ind w:left="139"/>
            </w:pPr>
            <w:r w:rsidRPr="0038459B">
              <w:t>Engine</w:t>
            </w:r>
          </w:p>
        </w:tc>
        <w:tc>
          <w:tcPr>
            <w:tcW w:w="425" w:type="dxa"/>
            <w:tcBorders>
              <w:top w:val="single" w:sz="4" w:space="0" w:color="auto"/>
              <w:left w:val="single" w:sz="4" w:space="0" w:color="auto"/>
              <w:bottom w:val="single" w:sz="4" w:space="0" w:color="auto"/>
              <w:right w:val="single" w:sz="4" w:space="0" w:color="auto"/>
            </w:tcBorders>
            <w:hideMark/>
          </w:tcPr>
          <w:p w14:paraId="7A63F9B5" w14:textId="77777777" w:rsidR="00602FBA" w:rsidRPr="0038459B" w:rsidRDefault="00602FBA" w:rsidP="00F75566">
            <w:pPr>
              <w:ind w:left="139"/>
            </w:pPr>
            <w:r w:rsidRPr="0038459B">
              <w:t>X</w:t>
            </w:r>
          </w:p>
        </w:tc>
        <w:tc>
          <w:tcPr>
            <w:tcW w:w="425" w:type="dxa"/>
            <w:tcBorders>
              <w:top w:val="single" w:sz="4" w:space="0" w:color="auto"/>
              <w:left w:val="single" w:sz="4" w:space="0" w:color="auto"/>
              <w:bottom w:val="single" w:sz="4" w:space="0" w:color="auto"/>
              <w:right w:val="single" w:sz="4" w:space="0" w:color="auto"/>
            </w:tcBorders>
            <w:hideMark/>
          </w:tcPr>
          <w:p w14:paraId="686F88AA" w14:textId="77777777" w:rsidR="00602FBA" w:rsidRPr="0038459B" w:rsidRDefault="00602FBA" w:rsidP="00F75566">
            <w:pPr>
              <w:ind w:left="139"/>
            </w:pPr>
            <w:r w:rsidRPr="0038459B">
              <w:t>X</w:t>
            </w:r>
          </w:p>
        </w:tc>
        <w:tc>
          <w:tcPr>
            <w:tcW w:w="567" w:type="dxa"/>
            <w:tcBorders>
              <w:top w:val="single" w:sz="4" w:space="0" w:color="auto"/>
              <w:left w:val="single" w:sz="4" w:space="0" w:color="auto"/>
              <w:bottom w:val="single" w:sz="4" w:space="0" w:color="auto"/>
              <w:right w:val="single" w:sz="4" w:space="0" w:color="auto"/>
            </w:tcBorders>
            <w:hideMark/>
          </w:tcPr>
          <w:p w14:paraId="19DAE1F6" w14:textId="77777777" w:rsidR="00602FBA" w:rsidRPr="0038459B" w:rsidRDefault="00602FBA" w:rsidP="00F75566">
            <w:pPr>
              <w:ind w:left="139"/>
            </w:pPr>
            <w:proofErr w:type="spellStart"/>
            <w:r w:rsidRPr="0038459B">
              <w:t>X</w:t>
            </w:r>
            <w:r w:rsidRPr="0038459B">
              <w:rPr>
                <w:vertAlign w:val="superscript"/>
              </w:rPr>
              <w:t>k</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7D1B6C09" w14:textId="77777777" w:rsidR="00602FBA" w:rsidRPr="0038459B" w:rsidRDefault="00602FBA" w:rsidP="00F75566">
            <w:pPr>
              <w:ind w:left="139"/>
            </w:pPr>
            <w:r w:rsidRPr="0038459B">
              <w:t>X</w:t>
            </w:r>
          </w:p>
        </w:tc>
        <w:tc>
          <w:tcPr>
            <w:tcW w:w="2409" w:type="dxa"/>
            <w:tcBorders>
              <w:top w:val="single" w:sz="4" w:space="0" w:color="auto"/>
              <w:left w:val="single" w:sz="4" w:space="0" w:color="auto"/>
              <w:bottom w:val="single" w:sz="4" w:space="0" w:color="auto"/>
              <w:right w:val="single" w:sz="4" w:space="0" w:color="auto"/>
            </w:tcBorders>
            <w:hideMark/>
          </w:tcPr>
          <w:p w14:paraId="200C9506" w14:textId="21021722" w:rsidR="00602FBA" w:rsidRPr="0038459B" w:rsidRDefault="00602FBA" w:rsidP="00F75566">
            <w:pPr>
              <w:ind w:left="139"/>
              <w:rPr>
                <w:i/>
                <w:iCs/>
              </w:rPr>
            </w:pPr>
            <w:r w:rsidRPr="0038459B">
              <w:rPr>
                <w:vertAlign w:val="superscript"/>
              </w:rPr>
              <w:t xml:space="preserve">k </w:t>
            </w:r>
            <w:r w:rsidRPr="0038459B">
              <w:t>Applicable to motor vehicles first registered after 31 December 2026</w:t>
            </w:r>
            <w:r w:rsidR="00634BEF" w:rsidRPr="0038459B">
              <w:t>.</w:t>
            </w:r>
          </w:p>
        </w:tc>
      </w:tr>
      <w:tr w:rsidR="00602FBA" w:rsidRPr="0038459B" w14:paraId="774339B8" w14:textId="77777777" w:rsidTr="00F75566">
        <w:tc>
          <w:tcPr>
            <w:tcW w:w="993" w:type="dxa"/>
            <w:tcBorders>
              <w:top w:val="single" w:sz="4" w:space="0" w:color="auto"/>
              <w:left w:val="single" w:sz="4" w:space="0" w:color="auto"/>
              <w:bottom w:val="single" w:sz="4" w:space="0" w:color="auto"/>
              <w:right w:val="single" w:sz="4" w:space="0" w:color="auto"/>
            </w:tcBorders>
          </w:tcPr>
          <w:p w14:paraId="16B3A268" w14:textId="77777777" w:rsidR="00602FBA" w:rsidRPr="0038459B" w:rsidRDefault="00602FBA" w:rsidP="00F75566">
            <w:pPr>
              <w:ind w:left="139"/>
            </w:pPr>
            <w:r w:rsidRPr="0038459B">
              <w:t>9.2.4.3.2</w:t>
            </w:r>
          </w:p>
          <w:p w14:paraId="046A37A4" w14:textId="77777777" w:rsidR="00602FBA" w:rsidRPr="0038459B" w:rsidRDefault="00602FBA" w:rsidP="00F75566">
            <w:pPr>
              <w:ind w:left="139"/>
            </w:pPr>
          </w:p>
        </w:tc>
        <w:tc>
          <w:tcPr>
            <w:tcW w:w="2126" w:type="dxa"/>
            <w:tcBorders>
              <w:top w:val="single" w:sz="4" w:space="0" w:color="auto"/>
              <w:left w:val="single" w:sz="4" w:space="0" w:color="auto"/>
              <w:bottom w:val="single" w:sz="4" w:space="0" w:color="auto"/>
              <w:right w:val="single" w:sz="4" w:space="0" w:color="auto"/>
            </w:tcBorders>
          </w:tcPr>
          <w:p w14:paraId="79E54978" w14:textId="77777777" w:rsidR="00602FBA" w:rsidRPr="0038459B" w:rsidRDefault="00602FBA" w:rsidP="00F75566">
            <w:pPr>
              <w:ind w:left="139"/>
            </w:pPr>
            <w:r w:rsidRPr="0038459B">
              <w:t>Exhaust system</w:t>
            </w:r>
          </w:p>
        </w:tc>
        <w:tc>
          <w:tcPr>
            <w:tcW w:w="425" w:type="dxa"/>
            <w:tcBorders>
              <w:top w:val="single" w:sz="4" w:space="0" w:color="auto"/>
              <w:left w:val="single" w:sz="4" w:space="0" w:color="auto"/>
              <w:bottom w:val="single" w:sz="4" w:space="0" w:color="auto"/>
              <w:right w:val="single" w:sz="4" w:space="0" w:color="auto"/>
            </w:tcBorders>
          </w:tcPr>
          <w:p w14:paraId="6C4077F4" w14:textId="77777777" w:rsidR="00602FBA" w:rsidRPr="0038459B" w:rsidRDefault="00602FBA" w:rsidP="00F75566">
            <w:pPr>
              <w:ind w:left="139"/>
            </w:pPr>
            <w:r w:rsidRPr="0038459B">
              <w:t>X</w:t>
            </w:r>
          </w:p>
        </w:tc>
        <w:tc>
          <w:tcPr>
            <w:tcW w:w="425" w:type="dxa"/>
            <w:tcBorders>
              <w:top w:val="single" w:sz="4" w:space="0" w:color="auto"/>
              <w:left w:val="single" w:sz="4" w:space="0" w:color="auto"/>
              <w:bottom w:val="single" w:sz="4" w:space="0" w:color="auto"/>
              <w:right w:val="single" w:sz="4" w:space="0" w:color="auto"/>
            </w:tcBorders>
          </w:tcPr>
          <w:p w14:paraId="0046B31F" w14:textId="77777777" w:rsidR="00602FBA" w:rsidRPr="0038459B" w:rsidRDefault="00602FBA" w:rsidP="00F75566">
            <w:pPr>
              <w:ind w:left="139"/>
            </w:pPr>
            <w:r w:rsidRPr="0038459B">
              <w:t>X</w:t>
            </w:r>
          </w:p>
        </w:tc>
        <w:tc>
          <w:tcPr>
            <w:tcW w:w="567" w:type="dxa"/>
            <w:tcBorders>
              <w:top w:val="single" w:sz="4" w:space="0" w:color="auto"/>
              <w:left w:val="single" w:sz="4" w:space="0" w:color="auto"/>
              <w:bottom w:val="single" w:sz="4" w:space="0" w:color="auto"/>
              <w:right w:val="single" w:sz="4" w:space="0" w:color="auto"/>
            </w:tcBorders>
          </w:tcPr>
          <w:p w14:paraId="335259E5" w14:textId="77777777" w:rsidR="00602FBA" w:rsidRPr="0038459B" w:rsidRDefault="00602FBA" w:rsidP="00F75566">
            <w:pPr>
              <w:ind w:left="139"/>
            </w:pPr>
          </w:p>
        </w:tc>
        <w:tc>
          <w:tcPr>
            <w:tcW w:w="426" w:type="dxa"/>
            <w:tcBorders>
              <w:top w:val="single" w:sz="4" w:space="0" w:color="auto"/>
              <w:left w:val="single" w:sz="4" w:space="0" w:color="auto"/>
              <w:bottom w:val="single" w:sz="4" w:space="0" w:color="auto"/>
              <w:right w:val="single" w:sz="4" w:space="0" w:color="auto"/>
            </w:tcBorders>
          </w:tcPr>
          <w:p w14:paraId="794F716B" w14:textId="77777777" w:rsidR="00602FBA" w:rsidRPr="0038459B" w:rsidRDefault="00602FBA" w:rsidP="00F75566">
            <w:pPr>
              <w:ind w:left="139"/>
            </w:pPr>
            <w:r w:rsidRPr="0038459B">
              <w:t>X</w:t>
            </w:r>
          </w:p>
        </w:tc>
        <w:tc>
          <w:tcPr>
            <w:tcW w:w="2409" w:type="dxa"/>
            <w:tcBorders>
              <w:top w:val="single" w:sz="4" w:space="0" w:color="auto"/>
              <w:left w:val="single" w:sz="4" w:space="0" w:color="auto"/>
              <w:bottom w:val="single" w:sz="4" w:space="0" w:color="auto"/>
              <w:right w:val="single" w:sz="4" w:space="0" w:color="auto"/>
            </w:tcBorders>
          </w:tcPr>
          <w:p w14:paraId="77BF0C2E" w14:textId="77777777" w:rsidR="00602FBA" w:rsidRPr="0038459B" w:rsidRDefault="00602FBA" w:rsidP="00F75566">
            <w:pPr>
              <w:ind w:left="139"/>
            </w:pPr>
          </w:p>
        </w:tc>
      </w:tr>
    </w:tbl>
    <w:p w14:paraId="690A2F2B" w14:textId="77777777" w:rsidR="00602FBA" w:rsidRPr="0038459B" w:rsidRDefault="00602FBA" w:rsidP="00602FBA">
      <w:pPr>
        <w:pStyle w:val="SingleTxtG"/>
        <w:tabs>
          <w:tab w:val="clear" w:pos="1701"/>
          <w:tab w:val="clear" w:pos="2268"/>
          <w:tab w:val="clear" w:pos="2835"/>
        </w:tabs>
        <w:ind w:left="2268" w:hanging="1134"/>
      </w:pPr>
      <w:r w:rsidRPr="0038459B">
        <w:t>”</w:t>
      </w:r>
    </w:p>
    <w:p w14:paraId="46C0710B" w14:textId="77777777" w:rsidR="00602FBA" w:rsidRPr="0038459B" w:rsidRDefault="00602FBA" w:rsidP="00602FBA">
      <w:pPr>
        <w:pStyle w:val="SingleTxtG"/>
        <w:tabs>
          <w:tab w:val="clear" w:pos="1701"/>
          <w:tab w:val="clear" w:pos="2268"/>
          <w:tab w:val="clear" w:pos="2835"/>
        </w:tabs>
        <w:ind w:left="2268" w:hanging="1134"/>
      </w:pPr>
      <w:r w:rsidRPr="0038459B">
        <w:tab/>
        <w:t>Modify the fifth and sixth bullet points to read as follows:</w:t>
      </w:r>
    </w:p>
    <w:p w14:paraId="5FBD8677" w14:textId="77777777" w:rsidR="00602FBA" w:rsidRPr="0038459B" w:rsidRDefault="00602FBA" w:rsidP="00602FBA">
      <w:pPr>
        <w:pStyle w:val="SingleTxtG"/>
        <w:tabs>
          <w:tab w:val="clear" w:pos="1701"/>
          <w:tab w:val="clear" w:pos="2268"/>
          <w:tab w:val="clear" w:pos="2835"/>
        </w:tabs>
        <w:ind w:left="2268" w:hanging="1134"/>
      </w:pPr>
      <w:r w:rsidRPr="0038459B">
        <w:t>“</w:t>
      </w:r>
      <w:r w:rsidRPr="0038459B">
        <w:tab/>
        <w:t>• Replace the row for 9.2.4.6 by:</w:t>
      </w:r>
    </w:p>
    <w:tbl>
      <w:tblPr>
        <w:tblStyle w:val="TableGrid"/>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602FBA" w:rsidRPr="0038459B" w14:paraId="4AE90416" w14:textId="77777777" w:rsidTr="00F75566">
        <w:tc>
          <w:tcPr>
            <w:tcW w:w="993" w:type="dxa"/>
          </w:tcPr>
          <w:p w14:paraId="04DC6A69" w14:textId="77777777" w:rsidR="00602FBA" w:rsidRPr="0038459B" w:rsidRDefault="00602FBA" w:rsidP="00F75566">
            <w:r w:rsidRPr="0038459B">
              <w:t>9.2.4.4</w:t>
            </w:r>
          </w:p>
        </w:tc>
        <w:tc>
          <w:tcPr>
            <w:tcW w:w="2551" w:type="dxa"/>
          </w:tcPr>
          <w:p w14:paraId="16EAF632" w14:textId="77777777" w:rsidR="00602FBA" w:rsidRPr="0038459B" w:rsidRDefault="00602FBA" w:rsidP="00F75566">
            <w:r w:rsidRPr="0038459B">
              <w:t>Electric power train</w:t>
            </w:r>
          </w:p>
        </w:tc>
        <w:tc>
          <w:tcPr>
            <w:tcW w:w="436" w:type="dxa"/>
            <w:vAlign w:val="center"/>
          </w:tcPr>
          <w:p w14:paraId="4EF38A8B" w14:textId="77777777" w:rsidR="00602FBA" w:rsidRPr="0038459B" w:rsidRDefault="00602FBA" w:rsidP="00F75566">
            <w:pPr>
              <w:jc w:val="center"/>
            </w:pPr>
          </w:p>
        </w:tc>
        <w:tc>
          <w:tcPr>
            <w:tcW w:w="437" w:type="dxa"/>
            <w:vAlign w:val="center"/>
          </w:tcPr>
          <w:p w14:paraId="7016E10B" w14:textId="77777777" w:rsidR="00602FBA" w:rsidRPr="0038459B" w:rsidRDefault="00602FBA" w:rsidP="00F75566">
            <w:pPr>
              <w:jc w:val="center"/>
            </w:pPr>
          </w:p>
        </w:tc>
        <w:tc>
          <w:tcPr>
            <w:tcW w:w="437" w:type="dxa"/>
            <w:vAlign w:val="center"/>
          </w:tcPr>
          <w:p w14:paraId="38C44813" w14:textId="77777777" w:rsidR="00602FBA" w:rsidRPr="0038459B" w:rsidRDefault="00602FBA" w:rsidP="00F75566">
            <w:pPr>
              <w:jc w:val="center"/>
            </w:pPr>
          </w:p>
        </w:tc>
        <w:tc>
          <w:tcPr>
            <w:tcW w:w="437" w:type="dxa"/>
            <w:vAlign w:val="center"/>
          </w:tcPr>
          <w:p w14:paraId="5D0DDC17" w14:textId="77777777" w:rsidR="00602FBA" w:rsidRPr="0038459B" w:rsidRDefault="00602FBA" w:rsidP="00F75566">
            <w:pPr>
              <w:jc w:val="center"/>
            </w:pPr>
          </w:p>
        </w:tc>
        <w:tc>
          <w:tcPr>
            <w:tcW w:w="2126" w:type="dxa"/>
          </w:tcPr>
          <w:p w14:paraId="77C13A5D" w14:textId="77777777" w:rsidR="00602FBA" w:rsidRPr="0038459B" w:rsidRDefault="00602FBA" w:rsidP="00F75566"/>
        </w:tc>
      </w:tr>
      <w:tr w:rsidR="00602FBA" w:rsidRPr="0038459B" w14:paraId="6D704BCC" w14:textId="77777777" w:rsidTr="00F75566">
        <w:tc>
          <w:tcPr>
            <w:tcW w:w="993" w:type="dxa"/>
          </w:tcPr>
          <w:p w14:paraId="684E9509" w14:textId="77777777" w:rsidR="00602FBA" w:rsidRPr="0038459B" w:rsidRDefault="00602FBA" w:rsidP="00F75566">
            <w:r w:rsidRPr="0038459B">
              <w:t>9.2.4.4.1</w:t>
            </w:r>
          </w:p>
        </w:tc>
        <w:tc>
          <w:tcPr>
            <w:tcW w:w="2551" w:type="dxa"/>
          </w:tcPr>
          <w:p w14:paraId="29B85A54" w14:textId="77777777" w:rsidR="00602FBA" w:rsidRPr="0038459B" w:rsidRDefault="00602FBA" w:rsidP="00F75566">
            <w:r w:rsidRPr="0038459B">
              <w:t>General provisions</w:t>
            </w:r>
          </w:p>
        </w:tc>
        <w:tc>
          <w:tcPr>
            <w:tcW w:w="436" w:type="dxa"/>
            <w:vAlign w:val="center"/>
          </w:tcPr>
          <w:p w14:paraId="206E1D1D" w14:textId="77777777" w:rsidR="00602FBA" w:rsidRPr="0038459B" w:rsidRDefault="00602FBA" w:rsidP="00F75566">
            <w:pPr>
              <w:jc w:val="center"/>
            </w:pPr>
          </w:p>
        </w:tc>
        <w:tc>
          <w:tcPr>
            <w:tcW w:w="437" w:type="dxa"/>
            <w:vAlign w:val="center"/>
          </w:tcPr>
          <w:p w14:paraId="3B5F97C9" w14:textId="77777777" w:rsidR="00602FBA" w:rsidRPr="0038459B" w:rsidRDefault="00602FBA" w:rsidP="00F75566">
            <w:pPr>
              <w:jc w:val="center"/>
            </w:pPr>
          </w:p>
        </w:tc>
        <w:tc>
          <w:tcPr>
            <w:tcW w:w="437" w:type="dxa"/>
            <w:vAlign w:val="center"/>
          </w:tcPr>
          <w:p w14:paraId="5D4EC0FA" w14:textId="77777777" w:rsidR="00602FBA" w:rsidRPr="0038459B" w:rsidRDefault="00602FBA" w:rsidP="00F75566">
            <w:pPr>
              <w:jc w:val="center"/>
            </w:pPr>
            <w:r w:rsidRPr="0038459B">
              <w:t>X</w:t>
            </w:r>
          </w:p>
        </w:tc>
        <w:tc>
          <w:tcPr>
            <w:tcW w:w="437" w:type="dxa"/>
            <w:vAlign w:val="center"/>
          </w:tcPr>
          <w:p w14:paraId="314E112F" w14:textId="77777777" w:rsidR="00602FBA" w:rsidRPr="0038459B" w:rsidRDefault="00602FBA" w:rsidP="00F75566">
            <w:pPr>
              <w:jc w:val="center"/>
            </w:pPr>
            <w:r w:rsidRPr="0038459B">
              <w:t>X</w:t>
            </w:r>
          </w:p>
        </w:tc>
        <w:tc>
          <w:tcPr>
            <w:tcW w:w="2126" w:type="dxa"/>
          </w:tcPr>
          <w:p w14:paraId="1AF6142A" w14:textId="77777777" w:rsidR="00602FBA" w:rsidRPr="0038459B" w:rsidRDefault="00602FBA" w:rsidP="00F75566"/>
        </w:tc>
      </w:tr>
      <w:tr w:rsidR="00602FBA" w:rsidRPr="0038459B" w14:paraId="704F9A38" w14:textId="77777777" w:rsidTr="00F75566">
        <w:tc>
          <w:tcPr>
            <w:tcW w:w="993" w:type="dxa"/>
          </w:tcPr>
          <w:p w14:paraId="0818C853" w14:textId="77777777" w:rsidR="00602FBA" w:rsidRPr="0038459B" w:rsidRDefault="00602FBA" w:rsidP="00F75566">
            <w:r w:rsidRPr="0038459B">
              <w:t>9.2.4.4.2</w:t>
            </w:r>
          </w:p>
        </w:tc>
        <w:tc>
          <w:tcPr>
            <w:tcW w:w="2551" w:type="dxa"/>
          </w:tcPr>
          <w:p w14:paraId="39C9CB54" w14:textId="77777777" w:rsidR="00602FBA" w:rsidRPr="0038459B" w:rsidRDefault="00602FBA" w:rsidP="00F75566">
            <w:r w:rsidRPr="0038459B">
              <w:t>Rechargeable electrical energy system</w:t>
            </w:r>
          </w:p>
        </w:tc>
        <w:tc>
          <w:tcPr>
            <w:tcW w:w="436" w:type="dxa"/>
            <w:vAlign w:val="center"/>
          </w:tcPr>
          <w:p w14:paraId="0D8A31AE" w14:textId="77777777" w:rsidR="00602FBA" w:rsidRPr="0038459B" w:rsidRDefault="00602FBA" w:rsidP="00F75566">
            <w:pPr>
              <w:jc w:val="center"/>
            </w:pPr>
          </w:p>
        </w:tc>
        <w:tc>
          <w:tcPr>
            <w:tcW w:w="437" w:type="dxa"/>
            <w:vAlign w:val="center"/>
          </w:tcPr>
          <w:p w14:paraId="09A0A3BA" w14:textId="77777777" w:rsidR="00602FBA" w:rsidRPr="0038459B" w:rsidRDefault="00602FBA" w:rsidP="00F75566">
            <w:pPr>
              <w:jc w:val="center"/>
            </w:pPr>
          </w:p>
        </w:tc>
        <w:tc>
          <w:tcPr>
            <w:tcW w:w="437" w:type="dxa"/>
            <w:vAlign w:val="center"/>
          </w:tcPr>
          <w:p w14:paraId="72B5BCEE" w14:textId="77777777" w:rsidR="00602FBA" w:rsidRPr="0038459B" w:rsidRDefault="00602FBA" w:rsidP="00F75566">
            <w:pPr>
              <w:jc w:val="center"/>
              <w:rPr>
                <w:vertAlign w:val="superscript"/>
              </w:rPr>
            </w:pPr>
            <w:proofErr w:type="spellStart"/>
            <w:r w:rsidRPr="0038459B">
              <w:t>X</w:t>
            </w:r>
            <w:r w:rsidRPr="0038459B">
              <w:rPr>
                <w:vertAlign w:val="superscript"/>
              </w:rPr>
              <w:t>k</w:t>
            </w:r>
            <w:proofErr w:type="spellEnd"/>
          </w:p>
        </w:tc>
        <w:tc>
          <w:tcPr>
            <w:tcW w:w="437" w:type="dxa"/>
            <w:vAlign w:val="center"/>
          </w:tcPr>
          <w:p w14:paraId="411DF6AA" w14:textId="77777777" w:rsidR="00602FBA" w:rsidRPr="0038459B" w:rsidRDefault="00602FBA" w:rsidP="00F75566">
            <w:pPr>
              <w:jc w:val="center"/>
            </w:pPr>
            <w:r w:rsidRPr="0038459B">
              <w:t>X</w:t>
            </w:r>
          </w:p>
        </w:tc>
        <w:tc>
          <w:tcPr>
            <w:tcW w:w="2126" w:type="dxa"/>
          </w:tcPr>
          <w:p w14:paraId="358CA981" w14:textId="77777777" w:rsidR="00602FBA" w:rsidRPr="0038459B" w:rsidRDefault="00602FBA" w:rsidP="00F75566">
            <w:r w:rsidRPr="0038459B">
              <w:rPr>
                <w:vertAlign w:val="superscript"/>
              </w:rPr>
              <w:t xml:space="preserve">k </w:t>
            </w:r>
            <w:r w:rsidRPr="0038459B">
              <w:t>Applicable to motor vehicles first registered after 31 December 2026.</w:t>
            </w:r>
          </w:p>
        </w:tc>
      </w:tr>
      <w:tr w:rsidR="00602FBA" w:rsidRPr="0038459B" w14:paraId="20437124" w14:textId="77777777" w:rsidTr="00F75566">
        <w:tc>
          <w:tcPr>
            <w:tcW w:w="993" w:type="dxa"/>
          </w:tcPr>
          <w:p w14:paraId="38DC46D0" w14:textId="77777777" w:rsidR="00602FBA" w:rsidRPr="0038459B" w:rsidRDefault="00602FBA" w:rsidP="00F75566">
            <w:r w:rsidRPr="0038459B">
              <w:t>9.2.4.4.3</w:t>
            </w:r>
          </w:p>
        </w:tc>
        <w:tc>
          <w:tcPr>
            <w:tcW w:w="2551" w:type="dxa"/>
          </w:tcPr>
          <w:p w14:paraId="759565C3" w14:textId="77777777" w:rsidR="00602FBA" w:rsidRPr="0038459B" w:rsidRDefault="00602FBA" w:rsidP="00F75566">
            <w:r w:rsidRPr="0038459B">
              <w:t>Measures against thermal propagation</w:t>
            </w:r>
          </w:p>
        </w:tc>
        <w:tc>
          <w:tcPr>
            <w:tcW w:w="436" w:type="dxa"/>
            <w:vAlign w:val="center"/>
          </w:tcPr>
          <w:p w14:paraId="7F6DDFA0" w14:textId="77777777" w:rsidR="00602FBA" w:rsidRPr="0038459B" w:rsidRDefault="00602FBA" w:rsidP="00F75566">
            <w:pPr>
              <w:jc w:val="center"/>
            </w:pPr>
          </w:p>
        </w:tc>
        <w:tc>
          <w:tcPr>
            <w:tcW w:w="437" w:type="dxa"/>
            <w:vAlign w:val="center"/>
          </w:tcPr>
          <w:p w14:paraId="3528EBA5" w14:textId="77777777" w:rsidR="00602FBA" w:rsidRPr="0038459B" w:rsidRDefault="00602FBA" w:rsidP="00F75566">
            <w:pPr>
              <w:jc w:val="center"/>
            </w:pPr>
          </w:p>
        </w:tc>
        <w:tc>
          <w:tcPr>
            <w:tcW w:w="437" w:type="dxa"/>
            <w:vAlign w:val="center"/>
          </w:tcPr>
          <w:p w14:paraId="7DE4EFC8" w14:textId="77777777" w:rsidR="00602FBA" w:rsidRPr="0038459B" w:rsidRDefault="00602FBA" w:rsidP="00F75566">
            <w:pPr>
              <w:jc w:val="center"/>
            </w:pPr>
          </w:p>
        </w:tc>
        <w:tc>
          <w:tcPr>
            <w:tcW w:w="437" w:type="dxa"/>
            <w:vAlign w:val="center"/>
          </w:tcPr>
          <w:p w14:paraId="52CFB980" w14:textId="77777777" w:rsidR="00602FBA" w:rsidRPr="0038459B" w:rsidRDefault="00602FBA" w:rsidP="00F75566">
            <w:pPr>
              <w:jc w:val="center"/>
            </w:pPr>
            <w:r w:rsidRPr="0038459B">
              <w:t>X</w:t>
            </w:r>
          </w:p>
        </w:tc>
        <w:tc>
          <w:tcPr>
            <w:tcW w:w="2126" w:type="dxa"/>
          </w:tcPr>
          <w:p w14:paraId="060C486F" w14:textId="77777777" w:rsidR="00602FBA" w:rsidRPr="0038459B" w:rsidRDefault="00602FBA" w:rsidP="00F75566"/>
        </w:tc>
      </w:tr>
      <w:tr w:rsidR="00602FBA" w:rsidRPr="0038459B" w14:paraId="24932685" w14:textId="77777777" w:rsidTr="00F75566">
        <w:tc>
          <w:tcPr>
            <w:tcW w:w="993" w:type="dxa"/>
          </w:tcPr>
          <w:p w14:paraId="56582900" w14:textId="77777777" w:rsidR="00602FBA" w:rsidRPr="0038459B" w:rsidRDefault="00602FBA" w:rsidP="00F75566">
            <w:r w:rsidRPr="0038459B">
              <w:t>9.2.4.4.4</w:t>
            </w:r>
          </w:p>
        </w:tc>
        <w:tc>
          <w:tcPr>
            <w:tcW w:w="2551" w:type="dxa"/>
          </w:tcPr>
          <w:p w14:paraId="0F29C450" w14:textId="77777777" w:rsidR="00602FBA" w:rsidRPr="0038459B" w:rsidRDefault="00602FBA" w:rsidP="00F75566">
            <w:r w:rsidRPr="0038459B">
              <w:t>Vehicle charging inlet</w:t>
            </w:r>
          </w:p>
        </w:tc>
        <w:tc>
          <w:tcPr>
            <w:tcW w:w="436" w:type="dxa"/>
            <w:vAlign w:val="center"/>
          </w:tcPr>
          <w:p w14:paraId="505CE656" w14:textId="77777777" w:rsidR="00602FBA" w:rsidRPr="0038459B" w:rsidRDefault="00602FBA" w:rsidP="00F75566">
            <w:pPr>
              <w:jc w:val="center"/>
            </w:pPr>
          </w:p>
        </w:tc>
        <w:tc>
          <w:tcPr>
            <w:tcW w:w="437" w:type="dxa"/>
            <w:vAlign w:val="center"/>
          </w:tcPr>
          <w:p w14:paraId="16FD50B4" w14:textId="77777777" w:rsidR="00602FBA" w:rsidRPr="0038459B" w:rsidRDefault="00602FBA" w:rsidP="00F75566">
            <w:pPr>
              <w:jc w:val="center"/>
            </w:pPr>
          </w:p>
        </w:tc>
        <w:tc>
          <w:tcPr>
            <w:tcW w:w="437" w:type="dxa"/>
            <w:vAlign w:val="center"/>
          </w:tcPr>
          <w:p w14:paraId="0F0DCC9B" w14:textId="77777777" w:rsidR="00602FBA" w:rsidRPr="0038459B" w:rsidRDefault="00602FBA" w:rsidP="00F75566">
            <w:pPr>
              <w:jc w:val="center"/>
            </w:pPr>
          </w:p>
        </w:tc>
        <w:tc>
          <w:tcPr>
            <w:tcW w:w="437" w:type="dxa"/>
            <w:vAlign w:val="center"/>
          </w:tcPr>
          <w:p w14:paraId="1F6F072A" w14:textId="77777777" w:rsidR="00602FBA" w:rsidRPr="0038459B" w:rsidRDefault="00602FBA" w:rsidP="00F75566">
            <w:pPr>
              <w:jc w:val="center"/>
            </w:pPr>
            <w:r w:rsidRPr="0038459B">
              <w:t>X</w:t>
            </w:r>
          </w:p>
        </w:tc>
        <w:tc>
          <w:tcPr>
            <w:tcW w:w="2126" w:type="dxa"/>
          </w:tcPr>
          <w:p w14:paraId="01729A39" w14:textId="77777777" w:rsidR="00602FBA" w:rsidRPr="0038459B" w:rsidRDefault="00602FBA" w:rsidP="00F75566"/>
        </w:tc>
      </w:tr>
    </w:tbl>
    <w:p w14:paraId="3C397D6E" w14:textId="77777777" w:rsidR="00602FBA" w:rsidRPr="0038459B" w:rsidRDefault="00602FBA" w:rsidP="00602FBA">
      <w:pPr>
        <w:pStyle w:val="SingleTxtG"/>
        <w:tabs>
          <w:tab w:val="clear" w:pos="1701"/>
          <w:tab w:val="clear" w:pos="2268"/>
          <w:tab w:val="clear" w:pos="2835"/>
        </w:tabs>
        <w:ind w:left="2268" w:hanging="1134"/>
      </w:pPr>
      <w:r w:rsidRPr="0038459B">
        <w:t>”</w:t>
      </w:r>
    </w:p>
    <w:p w14:paraId="048DC463" w14:textId="77777777" w:rsidR="00602FBA" w:rsidRPr="0038459B" w:rsidRDefault="00602FBA" w:rsidP="00602FBA">
      <w:pPr>
        <w:pStyle w:val="SingleTxtG"/>
        <w:tabs>
          <w:tab w:val="clear" w:pos="1701"/>
          <w:tab w:val="clear" w:pos="2268"/>
          <w:tab w:val="clear" w:pos="2835"/>
        </w:tabs>
        <w:ind w:left="2268" w:hanging="1134"/>
      </w:pPr>
      <w:r w:rsidRPr="0038459B">
        <w:t>9.2.2.1</w:t>
      </w:r>
      <w:r w:rsidRPr="0038459B">
        <w:tab/>
        <w:t>Delete the amendment in square brackets.</w:t>
      </w:r>
    </w:p>
    <w:p w14:paraId="4DB3B679" w14:textId="77777777" w:rsidR="00602FBA" w:rsidRPr="0038459B" w:rsidRDefault="00602FBA" w:rsidP="00602FBA">
      <w:pPr>
        <w:pStyle w:val="SingleTxtG"/>
        <w:tabs>
          <w:tab w:val="clear" w:pos="1701"/>
          <w:tab w:val="clear" w:pos="2268"/>
          <w:tab w:val="clear" w:pos="2835"/>
        </w:tabs>
        <w:ind w:left="2268" w:hanging="1134"/>
      </w:pPr>
      <w:r w:rsidRPr="0038459B">
        <w:t>9.2.4.3</w:t>
      </w:r>
      <w:r w:rsidRPr="0038459B">
        <w:tab/>
        <w:t>In the fourth bullet point, in (e), replace “</w:t>
      </w:r>
      <w:bookmarkStart w:id="4" w:name="_Hlk150410091"/>
      <w:r w:rsidRPr="0038459B">
        <w:t>[Global Technical Regulation No.13</w:t>
      </w:r>
      <w:r w:rsidRPr="0038459B">
        <w:rPr>
          <w:vertAlign w:val="superscript"/>
        </w:rPr>
        <w:t>10</w:t>
      </w:r>
      <w:r w:rsidRPr="0038459B">
        <w:t>, Phase 2, part 7]</w:t>
      </w:r>
      <w:bookmarkEnd w:id="4"/>
      <w:r w:rsidRPr="0038459B">
        <w:t>” by “Global Technical Regulation No.13</w:t>
      </w:r>
      <w:r w:rsidRPr="0038459B">
        <w:rPr>
          <w:vertAlign w:val="superscript"/>
        </w:rPr>
        <w:t>10</w:t>
      </w:r>
      <w:r w:rsidRPr="0038459B">
        <w:t>, Amendment 1, part 7”.</w:t>
      </w:r>
    </w:p>
    <w:p w14:paraId="026C15C1" w14:textId="77777777" w:rsidR="00602FBA" w:rsidRPr="0038459B" w:rsidRDefault="00602FBA" w:rsidP="00602FBA">
      <w:pPr>
        <w:pStyle w:val="SingleTxtG"/>
        <w:tabs>
          <w:tab w:val="clear" w:pos="1701"/>
          <w:tab w:val="clear" w:pos="2268"/>
          <w:tab w:val="clear" w:pos="2835"/>
        </w:tabs>
        <w:ind w:left="2268" w:hanging="1134"/>
      </w:pPr>
      <w:r w:rsidRPr="0038459B">
        <w:t>9.2.4.3.1</w:t>
      </w:r>
      <w:r w:rsidRPr="0038459B">
        <w:tab/>
        <w:t>Add a heading to read “</w:t>
      </w:r>
      <w:r w:rsidRPr="0038459B">
        <w:rPr>
          <w:i/>
          <w:iCs/>
        </w:rPr>
        <w:t>Engine</w:t>
      </w:r>
      <w:r w:rsidRPr="0038459B">
        <w:t>”. In (c), replace “[Global Technical Regulation No.13</w:t>
      </w:r>
      <w:r w:rsidRPr="0038459B">
        <w:rPr>
          <w:vertAlign w:val="superscript"/>
        </w:rPr>
        <w:t>10</w:t>
      </w:r>
      <w:r w:rsidRPr="0038459B">
        <w:t>, Phase 2]” by “Global Technical Regulation No.13</w:t>
      </w:r>
      <w:r w:rsidRPr="0038459B">
        <w:rPr>
          <w:vertAlign w:val="superscript"/>
        </w:rPr>
        <w:t>10</w:t>
      </w:r>
      <w:r w:rsidRPr="0038459B">
        <w:t>, Amendment 1”.</w:t>
      </w:r>
    </w:p>
    <w:p w14:paraId="078B3FC5" w14:textId="77777777" w:rsidR="00602FBA" w:rsidRPr="0038459B" w:rsidRDefault="00602FBA" w:rsidP="00602FBA">
      <w:pPr>
        <w:pStyle w:val="SingleTxtG"/>
        <w:tabs>
          <w:tab w:val="clear" w:pos="1701"/>
          <w:tab w:val="clear" w:pos="2268"/>
          <w:tab w:val="clear" w:pos="2835"/>
        </w:tabs>
        <w:ind w:left="2268" w:hanging="1134"/>
      </w:pPr>
      <w:r w:rsidRPr="0038459B">
        <w:t>9.2.4.4</w:t>
      </w:r>
      <w:r w:rsidRPr="0038459B">
        <w:tab/>
        <w:t>Transfer the first paragraph under the heading of 9.2.4.4.1 directly under the heading of 9.2.4.4.</w:t>
      </w:r>
    </w:p>
    <w:p w14:paraId="041A13F5" w14:textId="77777777" w:rsidR="00602FBA" w:rsidRPr="0038459B" w:rsidRDefault="00602FBA" w:rsidP="00602FBA">
      <w:pPr>
        <w:pStyle w:val="SingleTxtG"/>
        <w:tabs>
          <w:tab w:val="clear" w:pos="1701"/>
          <w:tab w:val="clear" w:pos="2268"/>
          <w:tab w:val="clear" w:pos="2835"/>
        </w:tabs>
        <w:ind w:left="2268" w:hanging="1134"/>
      </w:pPr>
      <w:r w:rsidRPr="0038459B">
        <w:t>9.2.4.4.1</w:t>
      </w:r>
      <w:r w:rsidRPr="0038459B">
        <w:tab/>
        <w:t>In the last paragraph, at the end, add “, as amended at least by the 03 series of amendments”.</w:t>
      </w:r>
    </w:p>
    <w:p w14:paraId="777C48A0" w14:textId="453BE715" w:rsidR="00602FBA" w:rsidRPr="0038459B" w:rsidRDefault="00602FBA" w:rsidP="00602FBA">
      <w:pPr>
        <w:pStyle w:val="SingleTxtG"/>
        <w:tabs>
          <w:tab w:val="clear" w:pos="1701"/>
          <w:tab w:val="clear" w:pos="2268"/>
          <w:tab w:val="clear" w:pos="2835"/>
        </w:tabs>
        <w:ind w:left="2268" w:hanging="1134"/>
      </w:pPr>
      <w:r w:rsidRPr="0038459B">
        <w:t>9.2.4.4.2</w:t>
      </w:r>
      <w:r w:rsidRPr="0038459B">
        <w:tab/>
        <w:t>In the paragraph under the first note, second sentence, remove the square brackets, delete the parentheses and replace “</w:t>
      </w:r>
      <w:proofErr w:type="gramStart"/>
      <w:r w:rsidRPr="0038459B">
        <w:t>e.g.</w:t>
      </w:r>
      <w:proofErr w:type="gramEnd"/>
      <w:r w:rsidRPr="0038459B">
        <w:t>” by “such as a”. The last amendment does not apply to the English text.</w:t>
      </w:r>
    </w:p>
    <w:p w14:paraId="75FB20A1" w14:textId="77777777" w:rsidR="00602FBA" w:rsidRPr="0038459B" w:rsidRDefault="00602FBA" w:rsidP="00602FBA">
      <w:pPr>
        <w:pStyle w:val="SingleTxtG"/>
        <w:tabs>
          <w:tab w:val="clear" w:pos="1701"/>
          <w:tab w:val="clear" w:pos="2268"/>
          <w:tab w:val="clear" w:pos="2835"/>
        </w:tabs>
        <w:ind w:left="2268" w:hanging="1134"/>
      </w:pPr>
      <w:r w:rsidRPr="0038459B">
        <w:lastRenderedPageBreak/>
        <w:t>9.2.4.4.3</w:t>
      </w:r>
      <w:r w:rsidRPr="0038459B">
        <w:tab/>
        <w:t>In the first sentence under the heading, replace “prevent” by “mitigate”. Remove the sentence in square brackets.</w:t>
      </w:r>
    </w:p>
    <w:p w14:paraId="3E1FB933" w14:textId="77777777" w:rsidR="00602FBA" w:rsidRPr="0038459B" w:rsidRDefault="00602FBA" w:rsidP="00602FBA">
      <w:pPr>
        <w:pStyle w:val="SingleTxtG"/>
        <w:tabs>
          <w:tab w:val="clear" w:pos="1701"/>
          <w:tab w:val="clear" w:pos="2268"/>
          <w:tab w:val="clear" w:pos="2835"/>
        </w:tabs>
        <w:ind w:left="2268" w:hanging="1134"/>
      </w:pPr>
      <w:r w:rsidRPr="0038459B">
        <w:t>9.2.4.4</w:t>
      </w:r>
      <w:r w:rsidRPr="0038459B">
        <w:tab/>
        <w:t>Add a new 9.2.4.4.4 to read as follows:</w:t>
      </w:r>
    </w:p>
    <w:p w14:paraId="6210A4FA" w14:textId="77777777" w:rsidR="00602FBA" w:rsidRPr="0038459B" w:rsidRDefault="00602FBA" w:rsidP="00602FBA">
      <w:pPr>
        <w:pStyle w:val="SingleTxtG"/>
        <w:ind w:left="2268" w:hanging="1134"/>
      </w:pPr>
      <w:r w:rsidRPr="0038459B">
        <w:t>“9.2.4.4.4</w:t>
      </w:r>
      <w:r w:rsidRPr="0038459B">
        <w:tab/>
      </w:r>
      <w:r w:rsidRPr="0038459B">
        <w:rPr>
          <w:i/>
          <w:iCs/>
        </w:rPr>
        <w:t xml:space="preserve">Vehicle charging </w:t>
      </w:r>
      <w:proofErr w:type="gramStart"/>
      <w:r w:rsidRPr="0038459B">
        <w:rPr>
          <w:i/>
          <w:iCs/>
        </w:rPr>
        <w:t>inlet</w:t>
      </w:r>
      <w:proofErr w:type="gramEnd"/>
    </w:p>
    <w:p w14:paraId="339607A7" w14:textId="77777777" w:rsidR="00602FBA" w:rsidRPr="0038459B" w:rsidRDefault="00602FBA" w:rsidP="00602FBA">
      <w:pPr>
        <w:pStyle w:val="SingleTxtG"/>
        <w:ind w:left="2268" w:hanging="1134"/>
      </w:pPr>
      <w:r w:rsidRPr="0038459B">
        <w:tab/>
      </w:r>
      <w:r w:rsidRPr="0038459B">
        <w:tab/>
        <w:t xml:space="preserve">The vehicle charging inlet shall be provided with thermal sensing function which limits or interrupts current transfer according to ISO 17409:2020, when the temperature exceeds component rated values or required limits by applicable product standards, see </w:t>
      </w:r>
      <w:proofErr w:type="gramStart"/>
      <w:r w:rsidRPr="0038459B">
        <w:t>e.g.</w:t>
      </w:r>
      <w:proofErr w:type="gramEnd"/>
      <w:r w:rsidRPr="0038459B">
        <w:t xml:space="preserve"> IEC 62196-3-1:2020.”</w:t>
      </w:r>
    </w:p>
    <w:p w14:paraId="1DB05CAC" w14:textId="77777777" w:rsidR="00602FBA" w:rsidRPr="0038459B" w:rsidRDefault="00602FBA" w:rsidP="00602FBA">
      <w:pPr>
        <w:pStyle w:val="SingleTxtG"/>
        <w:tabs>
          <w:tab w:val="clear" w:pos="1701"/>
          <w:tab w:val="clear" w:pos="2268"/>
          <w:tab w:val="clear" w:pos="2835"/>
        </w:tabs>
        <w:ind w:left="2268" w:hanging="1134"/>
      </w:pPr>
      <w:r w:rsidRPr="0038459B">
        <w:t>9.2.4.5.2</w:t>
      </w:r>
      <w:r w:rsidRPr="0038459B">
        <w:tab/>
        <w:t>In the second sentence, replace “[Global Technical Regulation No.13</w:t>
      </w:r>
      <w:r w:rsidRPr="0038459B">
        <w:rPr>
          <w:vertAlign w:val="superscript"/>
        </w:rPr>
        <w:t>10</w:t>
      </w:r>
      <w:r w:rsidRPr="0038459B">
        <w:t>, Phase 2]” by “Global Technical Regulation No.13</w:t>
      </w:r>
      <w:r w:rsidRPr="0038459B">
        <w:rPr>
          <w:vertAlign w:val="superscript"/>
        </w:rPr>
        <w:t>10</w:t>
      </w:r>
      <w:r w:rsidRPr="0038459B">
        <w:t>, Amendment 1”.</w:t>
      </w:r>
    </w:p>
    <w:p w14:paraId="11E00582" w14:textId="77777777" w:rsidR="00602FBA" w:rsidRPr="0038459B" w:rsidRDefault="00602FBA" w:rsidP="00602FBA">
      <w:pPr>
        <w:pStyle w:val="SingleTxtG"/>
        <w:tabs>
          <w:tab w:val="clear" w:pos="1701"/>
          <w:tab w:val="clear" w:pos="2268"/>
          <w:tab w:val="clear" w:pos="2835"/>
        </w:tabs>
        <w:ind w:left="2268" w:hanging="1134"/>
      </w:pPr>
      <w:r w:rsidRPr="0038459B">
        <w:t>9.2.4.5.3</w:t>
      </w:r>
      <w:r w:rsidRPr="0038459B">
        <w:tab/>
        <w:t>Remove the square brackets.</w:t>
      </w:r>
    </w:p>
    <w:p w14:paraId="5A400997" w14:textId="77777777" w:rsidR="00602FBA" w:rsidRPr="0038459B" w:rsidRDefault="00602FBA" w:rsidP="00602FBA">
      <w:pPr>
        <w:pStyle w:val="SingleTxtG"/>
        <w:tabs>
          <w:tab w:val="clear" w:pos="1701"/>
          <w:tab w:val="clear" w:pos="2268"/>
          <w:tab w:val="clear" w:pos="2835"/>
        </w:tabs>
        <w:ind w:left="2268" w:hanging="1134"/>
      </w:pPr>
      <w:r w:rsidRPr="0038459B">
        <w:t>9.2.4</w:t>
      </w:r>
      <w:r w:rsidRPr="0038459B">
        <w:tab/>
        <w:t>In the last amendment to 9.2.4, remove the square brackets.</w:t>
      </w:r>
    </w:p>
    <w:p w14:paraId="65BCDCFD" w14:textId="77777777" w:rsidR="00602FBA" w:rsidRPr="0038459B" w:rsidRDefault="00602FBA" w:rsidP="00602FBA">
      <w:pPr>
        <w:pStyle w:val="SingleTxtG"/>
        <w:tabs>
          <w:tab w:val="clear" w:pos="1701"/>
        </w:tabs>
        <w:rPr>
          <w:i/>
          <w:iCs/>
        </w:rPr>
      </w:pPr>
      <w:r w:rsidRPr="0038459B">
        <w:rPr>
          <w:i/>
          <w:iCs/>
        </w:rPr>
        <w:t>(Reference documents: ECE/TRANS/WP.15/2024/8, as amended, informal document INF.6, as amended, informal document INF.10, as amended, and in-session discussions)</w:t>
      </w:r>
    </w:p>
    <w:p w14:paraId="65505C7A" w14:textId="77777777" w:rsidR="00602FBA" w:rsidRPr="0038459B" w:rsidRDefault="00602FBA">
      <w:pPr>
        <w:rPr>
          <w:b/>
          <w:sz w:val="28"/>
        </w:rPr>
      </w:pPr>
      <w:r w:rsidRPr="0038459B">
        <w:br w:type="page"/>
      </w:r>
    </w:p>
    <w:p w14:paraId="4A31EDD9" w14:textId="561AD05D" w:rsidR="00602FBA" w:rsidRPr="0038459B" w:rsidRDefault="00602FBA" w:rsidP="00602FBA">
      <w:pPr>
        <w:pStyle w:val="HChG"/>
      </w:pPr>
      <w:r w:rsidRPr="0038459B">
        <w:lastRenderedPageBreak/>
        <w:t xml:space="preserve">Annex </w:t>
      </w:r>
      <w:r w:rsidRPr="0038459B">
        <w:tab/>
        <w:t>II</w:t>
      </w:r>
    </w:p>
    <w:p w14:paraId="1976CEC6" w14:textId="37D6BBB9" w:rsidR="00602FBA" w:rsidRPr="0038459B" w:rsidRDefault="00602FBA" w:rsidP="00602FBA">
      <w:pPr>
        <w:pStyle w:val="HChG"/>
      </w:pPr>
      <w:r w:rsidRPr="0038459B">
        <w:tab/>
      </w:r>
      <w:r w:rsidRPr="0038459B">
        <w:tab/>
      </w:r>
      <w:r w:rsidRPr="0038459B">
        <w:tab/>
        <w:t>Draft amendments to annexes A and B of ADR for entry into force on 1 January 2027</w:t>
      </w:r>
    </w:p>
    <w:p w14:paraId="7DE734E1" w14:textId="77777777" w:rsidR="00602FBA" w:rsidRPr="0038459B" w:rsidRDefault="00602FBA" w:rsidP="00602FBA">
      <w:pPr>
        <w:pStyle w:val="H1G"/>
      </w:pPr>
      <w:r w:rsidRPr="0038459B">
        <w:tab/>
      </w:r>
      <w:r w:rsidRPr="0038459B">
        <w:tab/>
        <w:t>Chapter 6.2</w:t>
      </w:r>
    </w:p>
    <w:p w14:paraId="29E4895C" w14:textId="22A08062"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6.2.4.1</w:t>
      </w:r>
      <w:r w:rsidRPr="0038459B">
        <w:rPr>
          <w:lang w:eastAsia="en-US"/>
        </w:rPr>
        <w:tab/>
        <w:t>In the row for standard EN ISO 17871:2020, in column (4), replace “Until further notice” by “Between 1 January 2025 and 31 December 2028”. Add a new row beneath this row as follows:</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602FBA" w:rsidRPr="0038459B" w14:paraId="1E5B2F76" w14:textId="77777777" w:rsidTr="00F75566">
        <w:tc>
          <w:tcPr>
            <w:tcW w:w="1991" w:type="dxa"/>
          </w:tcPr>
          <w:p w14:paraId="3F765E5F" w14:textId="77777777" w:rsidR="00602FBA" w:rsidRPr="0038459B" w:rsidRDefault="00602FBA" w:rsidP="00F75566">
            <w:pPr>
              <w:widowControl w:val="0"/>
              <w:rPr>
                <w:rFonts w:cs="Arial"/>
                <w:szCs w:val="22"/>
              </w:rPr>
            </w:pPr>
            <w:r w:rsidRPr="0038459B">
              <w:rPr>
                <w:rFonts w:cs="Arial"/>
                <w:szCs w:val="22"/>
              </w:rPr>
              <w:t>(1)</w:t>
            </w:r>
          </w:p>
        </w:tc>
        <w:tc>
          <w:tcPr>
            <w:tcW w:w="3261" w:type="dxa"/>
          </w:tcPr>
          <w:p w14:paraId="3B0F3515" w14:textId="77777777" w:rsidR="00602FBA" w:rsidRPr="0038459B" w:rsidRDefault="00602FBA" w:rsidP="00F75566">
            <w:pPr>
              <w:widowControl w:val="0"/>
              <w:rPr>
                <w:rFonts w:cs="Arial"/>
                <w:szCs w:val="22"/>
              </w:rPr>
            </w:pPr>
            <w:r w:rsidRPr="0038459B">
              <w:rPr>
                <w:rFonts w:cs="Arial"/>
                <w:szCs w:val="22"/>
              </w:rPr>
              <w:t>(2)</w:t>
            </w:r>
          </w:p>
        </w:tc>
        <w:tc>
          <w:tcPr>
            <w:tcW w:w="1012" w:type="dxa"/>
          </w:tcPr>
          <w:p w14:paraId="517446E9" w14:textId="77777777" w:rsidR="00602FBA" w:rsidRPr="0038459B" w:rsidRDefault="00602FBA" w:rsidP="00F75566">
            <w:pPr>
              <w:widowControl w:val="0"/>
              <w:rPr>
                <w:rFonts w:cs="Arial"/>
                <w:szCs w:val="22"/>
              </w:rPr>
            </w:pPr>
            <w:r w:rsidRPr="0038459B">
              <w:rPr>
                <w:rFonts w:cs="Arial"/>
                <w:szCs w:val="22"/>
              </w:rPr>
              <w:t>(3)</w:t>
            </w:r>
          </w:p>
        </w:tc>
        <w:tc>
          <w:tcPr>
            <w:tcW w:w="956" w:type="dxa"/>
          </w:tcPr>
          <w:p w14:paraId="74D14224" w14:textId="77777777" w:rsidR="00602FBA" w:rsidRPr="0038459B" w:rsidRDefault="00602FBA" w:rsidP="00F75566">
            <w:pPr>
              <w:widowControl w:val="0"/>
              <w:rPr>
                <w:rFonts w:cs="Arial"/>
                <w:szCs w:val="22"/>
              </w:rPr>
            </w:pPr>
            <w:r w:rsidRPr="0038459B">
              <w:rPr>
                <w:rFonts w:cs="Arial"/>
                <w:szCs w:val="22"/>
              </w:rPr>
              <w:t>(4)</w:t>
            </w:r>
          </w:p>
        </w:tc>
        <w:tc>
          <w:tcPr>
            <w:tcW w:w="664" w:type="dxa"/>
          </w:tcPr>
          <w:p w14:paraId="1AE355B1" w14:textId="77777777" w:rsidR="00602FBA" w:rsidRPr="0038459B" w:rsidRDefault="00602FBA" w:rsidP="00F75566">
            <w:pPr>
              <w:widowControl w:val="0"/>
              <w:rPr>
                <w:rFonts w:cs="Arial"/>
                <w:szCs w:val="22"/>
              </w:rPr>
            </w:pPr>
            <w:r w:rsidRPr="0038459B">
              <w:rPr>
                <w:rFonts w:cs="Arial"/>
                <w:szCs w:val="22"/>
              </w:rPr>
              <w:t>(5)</w:t>
            </w:r>
          </w:p>
        </w:tc>
      </w:tr>
      <w:tr w:rsidR="00602FBA" w:rsidRPr="0038459B" w14:paraId="583C804F" w14:textId="77777777" w:rsidTr="00F75566">
        <w:tc>
          <w:tcPr>
            <w:tcW w:w="1991" w:type="dxa"/>
            <w:vAlign w:val="center"/>
          </w:tcPr>
          <w:p w14:paraId="2B387246" w14:textId="77777777" w:rsidR="00602FBA" w:rsidRPr="0038459B" w:rsidRDefault="00602FBA" w:rsidP="00F75566">
            <w:pPr>
              <w:widowControl w:val="0"/>
              <w:rPr>
                <w:rFonts w:cs="Arial"/>
                <w:szCs w:val="22"/>
              </w:rPr>
            </w:pPr>
            <w:r w:rsidRPr="0038459B">
              <w:rPr>
                <w:szCs w:val="22"/>
              </w:rPr>
              <w:t>EN ISO 17871:2020 + A</w:t>
            </w:r>
            <w:proofErr w:type="gramStart"/>
            <w:r w:rsidRPr="0038459B">
              <w:rPr>
                <w:szCs w:val="22"/>
              </w:rPr>
              <w:t>1:</w:t>
            </w:r>
            <w:r w:rsidRPr="0038459B">
              <w:rPr>
                <w:bCs/>
                <w:szCs w:val="22"/>
              </w:rPr>
              <w:t>[</w:t>
            </w:r>
            <w:proofErr w:type="gramEnd"/>
            <w:r w:rsidRPr="0038459B">
              <w:rPr>
                <w:bCs/>
                <w:szCs w:val="22"/>
              </w:rPr>
              <w:t>2024]</w:t>
            </w:r>
          </w:p>
        </w:tc>
        <w:tc>
          <w:tcPr>
            <w:tcW w:w="3261" w:type="dxa"/>
            <w:vAlign w:val="center"/>
          </w:tcPr>
          <w:p w14:paraId="2F84A7F2" w14:textId="77777777" w:rsidR="00602FBA" w:rsidRPr="0038459B" w:rsidRDefault="00602FBA" w:rsidP="00F75566">
            <w:pPr>
              <w:widowControl w:val="0"/>
              <w:rPr>
                <w:rFonts w:cs="Arial"/>
                <w:bCs/>
                <w:szCs w:val="22"/>
              </w:rPr>
            </w:pPr>
            <w:r w:rsidRPr="0038459B">
              <w:t>Gas cylinders – Quick-release cylinder valves – Specification and type testing</w:t>
            </w:r>
          </w:p>
        </w:tc>
        <w:tc>
          <w:tcPr>
            <w:tcW w:w="1012" w:type="dxa"/>
            <w:vAlign w:val="center"/>
          </w:tcPr>
          <w:p w14:paraId="0F2BB174" w14:textId="77777777" w:rsidR="00602FBA" w:rsidRPr="0038459B" w:rsidRDefault="00602FBA" w:rsidP="00F75566">
            <w:pPr>
              <w:widowControl w:val="0"/>
              <w:rPr>
                <w:rFonts w:cs="Arial"/>
                <w:szCs w:val="22"/>
              </w:rPr>
            </w:pPr>
            <w:r w:rsidRPr="0038459B">
              <w:rPr>
                <w:rFonts w:cs="Arial"/>
                <w:szCs w:val="22"/>
              </w:rPr>
              <w:t>6.2.3.1, 6.2.3.3 and 6.2.3.4</w:t>
            </w:r>
          </w:p>
        </w:tc>
        <w:tc>
          <w:tcPr>
            <w:tcW w:w="956" w:type="dxa"/>
            <w:vAlign w:val="center"/>
          </w:tcPr>
          <w:p w14:paraId="1A436E02" w14:textId="77777777" w:rsidR="00602FBA" w:rsidRPr="0038459B" w:rsidRDefault="00602FBA" w:rsidP="00F75566">
            <w:pPr>
              <w:widowControl w:val="0"/>
              <w:jc w:val="center"/>
              <w:rPr>
                <w:rFonts w:cs="Arial"/>
                <w:szCs w:val="22"/>
              </w:rPr>
            </w:pPr>
            <w:r w:rsidRPr="0038459B">
              <w:rPr>
                <w:rFonts w:cs="Arial"/>
                <w:szCs w:val="22"/>
              </w:rPr>
              <w:t>Until further notice</w:t>
            </w:r>
          </w:p>
        </w:tc>
        <w:tc>
          <w:tcPr>
            <w:tcW w:w="664" w:type="dxa"/>
            <w:vAlign w:val="center"/>
          </w:tcPr>
          <w:p w14:paraId="27E0056A" w14:textId="77777777" w:rsidR="00602FBA" w:rsidRPr="0038459B" w:rsidRDefault="00602FBA" w:rsidP="00F75566">
            <w:pPr>
              <w:widowControl w:val="0"/>
              <w:rPr>
                <w:rFonts w:cs="Arial"/>
                <w:szCs w:val="22"/>
              </w:rPr>
            </w:pPr>
          </w:p>
        </w:tc>
      </w:tr>
    </w:tbl>
    <w:p w14:paraId="24133782" w14:textId="77777777" w:rsidR="00602FBA" w:rsidRPr="0038459B" w:rsidRDefault="00602FBA" w:rsidP="00602FBA">
      <w:pPr>
        <w:pStyle w:val="SingleTxtG"/>
        <w:spacing w:before="120"/>
        <w:rPr>
          <w:i/>
          <w:iCs/>
        </w:rPr>
      </w:pPr>
      <w:r w:rsidRPr="0038459B">
        <w:rPr>
          <w:i/>
          <w:iCs/>
        </w:rPr>
        <w:t>(Reference document: informal document INF.12, part A)</w:t>
      </w:r>
    </w:p>
    <w:p w14:paraId="104543C8" w14:textId="77777777" w:rsidR="00602FBA" w:rsidRPr="0038459B" w:rsidRDefault="00602FBA" w:rsidP="00602FBA">
      <w:pPr>
        <w:pStyle w:val="H1G"/>
      </w:pPr>
      <w:r w:rsidRPr="0038459B">
        <w:tab/>
      </w:r>
      <w:r w:rsidRPr="0038459B">
        <w:tab/>
        <w:t>Informal document INF.15 adopted.</w:t>
      </w:r>
    </w:p>
    <w:p w14:paraId="0B35148D" w14:textId="77777777" w:rsidR="00602FBA" w:rsidRPr="0038459B" w:rsidRDefault="00602FBA">
      <w:pPr>
        <w:rPr>
          <w:b/>
          <w:sz w:val="28"/>
        </w:rPr>
      </w:pPr>
      <w:r w:rsidRPr="0038459B">
        <w:br w:type="page"/>
      </w:r>
    </w:p>
    <w:p w14:paraId="271FA2E7" w14:textId="64AE6CF2" w:rsidR="00602FBA" w:rsidRPr="0038459B" w:rsidRDefault="00602FBA" w:rsidP="00602FBA">
      <w:pPr>
        <w:pStyle w:val="HChG"/>
      </w:pPr>
      <w:r w:rsidRPr="0038459B">
        <w:lastRenderedPageBreak/>
        <w:t>Annex III</w:t>
      </w:r>
    </w:p>
    <w:p w14:paraId="4C46030E" w14:textId="32FDCB1E" w:rsidR="00602FBA" w:rsidRPr="0038459B" w:rsidRDefault="00602FBA" w:rsidP="00602FBA">
      <w:pPr>
        <w:pStyle w:val="HChG"/>
      </w:pPr>
      <w:r w:rsidRPr="0038459B">
        <w:tab/>
      </w:r>
      <w:r w:rsidRPr="0038459B">
        <w:tab/>
        <w:t>Corrections to ECE/TRANS/WP.15/265</w:t>
      </w:r>
    </w:p>
    <w:p w14:paraId="7B34B2AD" w14:textId="77777777" w:rsidR="00602FBA" w:rsidRPr="0038459B" w:rsidRDefault="00602FBA" w:rsidP="00602FBA">
      <w:pPr>
        <w:pStyle w:val="SingleTxtG"/>
        <w:rPr>
          <w:b/>
          <w:bCs/>
        </w:rPr>
      </w:pPr>
      <w:r w:rsidRPr="0038459B">
        <w:rPr>
          <w:b/>
          <w:bCs/>
        </w:rPr>
        <w:t>Chapter 7.3, 7.3.3.2.7, new AP11</w:t>
      </w:r>
    </w:p>
    <w:p w14:paraId="2FB78B10" w14:textId="77777777" w:rsidR="00602FBA" w:rsidRPr="0038459B" w:rsidRDefault="00602FBA" w:rsidP="00602FBA">
      <w:pPr>
        <w:pStyle w:val="SingleTxtG"/>
      </w:pPr>
      <w:r w:rsidRPr="0038459B">
        <w:rPr>
          <w:i/>
          <w:iCs/>
        </w:rPr>
        <w:t xml:space="preserve">For </w:t>
      </w:r>
      <w:r w:rsidRPr="0038459B">
        <w:t xml:space="preserve">EN 12972:2018 </w:t>
      </w:r>
      <w:r w:rsidRPr="0038459B">
        <w:rPr>
          <w:i/>
          <w:iCs/>
        </w:rPr>
        <w:t xml:space="preserve">read </w:t>
      </w:r>
      <w:r w:rsidRPr="0038459B">
        <w:t>EN 12972:2018 + A1:2024</w:t>
      </w:r>
    </w:p>
    <w:p w14:paraId="2F5EB42A" w14:textId="77777777" w:rsidR="00602FBA" w:rsidRPr="0038459B" w:rsidRDefault="00602FBA" w:rsidP="00602FBA">
      <w:pPr>
        <w:pStyle w:val="SingleTxtG"/>
        <w:rPr>
          <w:b/>
          <w:bCs/>
        </w:rPr>
      </w:pPr>
      <w:r w:rsidRPr="0038459B">
        <w:rPr>
          <w:b/>
          <w:bCs/>
        </w:rPr>
        <w:t>Chapter 9.7, amendment to 9.7.8</w:t>
      </w:r>
    </w:p>
    <w:p w14:paraId="5F327072" w14:textId="77777777" w:rsidR="00602FBA" w:rsidRPr="0038459B" w:rsidRDefault="00602FBA" w:rsidP="00602FBA">
      <w:pPr>
        <w:pStyle w:val="SingleTxtG"/>
        <w:rPr>
          <w:i/>
          <w:iCs/>
        </w:rPr>
      </w:pPr>
      <w:r w:rsidRPr="0038459B">
        <w:rPr>
          <w:i/>
          <w:iCs/>
        </w:rPr>
        <w:t>Delete</w:t>
      </w:r>
    </w:p>
    <w:p w14:paraId="2D10A04E" w14:textId="77777777" w:rsidR="00602FBA" w:rsidRPr="0038459B" w:rsidRDefault="00602FBA" w:rsidP="00602FBA">
      <w:pPr>
        <w:pStyle w:val="SingleTxtG"/>
        <w:tabs>
          <w:tab w:val="clear" w:pos="1701"/>
        </w:tabs>
        <w:rPr>
          <w:i/>
          <w:iCs/>
        </w:rPr>
      </w:pPr>
      <w:r w:rsidRPr="0038459B">
        <w:rPr>
          <w:i/>
          <w:iCs/>
        </w:rPr>
        <w:t>(Reference document: ECE/TRANS/WP.15/2024/5, as amended)</w:t>
      </w:r>
    </w:p>
    <w:p w14:paraId="71E29079" w14:textId="7FA1594E" w:rsidR="00602FBA" w:rsidRPr="0038459B" w:rsidRDefault="00602FBA" w:rsidP="00602FBA">
      <w:pPr>
        <w:pStyle w:val="H1G"/>
      </w:pPr>
      <w:r w:rsidRPr="0038459B">
        <w:tab/>
      </w:r>
      <w:r w:rsidRPr="0038459B">
        <w:tab/>
        <w:t>Informal document INF.12, part B adopted with the following correction:</w:t>
      </w:r>
    </w:p>
    <w:p w14:paraId="1BCD5E61" w14:textId="77777777" w:rsidR="00602FBA" w:rsidRPr="00011231" w:rsidRDefault="00602FBA" w:rsidP="00492EF9">
      <w:pPr>
        <w:pStyle w:val="SingleTxtG"/>
      </w:pPr>
      <w:r w:rsidRPr="0038459B">
        <w:t>The correction does not apply to the English version.</w:t>
      </w:r>
    </w:p>
    <w:p w14:paraId="29F01601" w14:textId="49EA60E3" w:rsidR="007409DF" w:rsidRPr="00011231" w:rsidRDefault="00F71A87" w:rsidP="00F71A87">
      <w:pPr>
        <w:spacing w:before="240"/>
        <w:jc w:val="center"/>
        <w:rPr>
          <w:u w:val="single"/>
        </w:rPr>
      </w:pPr>
      <w:r w:rsidRPr="00011231">
        <w:rPr>
          <w:u w:val="single"/>
        </w:rPr>
        <w:tab/>
      </w:r>
      <w:r w:rsidRPr="00011231">
        <w:rPr>
          <w:u w:val="single"/>
        </w:rPr>
        <w:tab/>
      </w:r>
      <w:r w:rsidRPr="00011231">
        <w:rPr>
          <w:u w:val="single"/>
        </w:rPr>
        <w:tab/>
      </w:r>
    </w:p>
    <w:sectPr w:rsidR="007409DF" w:rsidRPr="00011231" w:rsidSect="0089518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BA0D" w14:textId="77777777" w:rsidR="008F48E0" w:rsidRDefault="008F48E0"/>
  </w:endnote>
  <w:endnote w:type="continuationSeparator" w:id="0">
    <w:p w14:paraId="15D80B78" w14:textId="77777777" w:rsidR="008F48E0" w:rsidRDefault="008F48E0"/>
  </w:endnote>
  <w:endnote w:type="continuationNotice" w:id="1">
    <w:p w14:paraId="6224D539" w14:textId="77777777" w:rsidR="008F48E0" w:rsidRDefault="008F4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CF3F" w14:textId="7FE19F23" w:rsidR="0089518A" w:rsidRPr="0089518A" w:rsidRDefault="0089518A" w:rsidP="0089518A">
    <w:pPr>
      <w:pStyle w:val="Footer"/>
      <w:tabs>
        <w:tab w:val="right" w:pos="9638"/>
      </w:tabs>
      <w:rPr>
        <w:sz w:val="18"/>
      </w:rPr>
    </w:pPr>
    <w:r w:rsidRPr="0089518A">
      <w:rPr>
        <w:b/>
        <w:sz w:val="18"/>
      </w:rPr>
      <w:fldChar w:fldCharType="begin"/>
    </w:r>
    <w:r w:rsidRPr="0089518A">
      <w:rPr>
        <w:b/>
        <w:sz w:val="18"/>
      </w:rPr>
      <w:instrText xml:space="preserve"> PAGE  \* MERGEFORMAT </w:instrText>
    </w:r>
    <w:r w:rsidRPr="0089518A">
      <w:rPr>
        <w:b/>
        <w:sz w:val="18"/>
      </w:rPr>
      <w:fldChar w:fldCharType="separate"/>
    </w:r>
    <w:r w:rsidRPr="0089518A">
      <w:rPr>
        <w:b/>
        <w:noProof/>
        <w:sz w:val="18"/>
      </w:rPr>
      <w:t>2</w:t>
    </w:r>
    <w:r w:rsidRPr="008951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363C" w14:textId="0397C45F" w:rsidR="0089518A" w:rsidRPr="0089518A" w:rsidRDefault="0089518A" w:rsidP="0089518A">
    <w:pPr>
      <w:pStyle w:val="Footer"/>
      <w:tabs>
        <w:tab w:val="right" w:pos="9638"/>
      </w:tabs>
      <w:rPr>
        <w:b/>
        <w:sz w:val="18"/>
      </w:rPr>
    </w:pPr>
    <w:r>
      <w:tab/>
    </w:r>
    <w:r w:rsidRPr="0089518A">
      <w:rPr>
        <w:b/>
        <w:sz w:val="18"/>
      </w:rPr>
      <w:fldChar w:fldCharType="begin"/>
    </w:r>
    <w:r w:rsidRPr="0089518A">
      <w:rPr>
        <w:b/>
        <w:sz w:val="18"/>
      </w:rPr>
      <w:instrText xml:space="preserve"> PAGE  \* MERGEFORMAT </w:instrText>
    </w:r>
    <w:r w:rsidRPr="0089518A">
      <w:rPr>
        <w:b/>
        <w:sz w:val="18"/>
      </w:rPr>
      <w:fldChar w:fldCharType="separate"/>
    </w:r>
    <w:r w:rsidRPr="0089518A">
      <w:rPr>
        <w:b/>
        <w:noProof/>
        <w:sz w:val="18"/>
      </w:rPr>
      <w:t>3</w:t>
    </w:r>
    <w:r w:rsidRPr="008951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9D3" w14:textId="7E090E53" w:rsidR="00ED08AD" w:rsidRDefault="00ED08AD" w:rsidP="00ED08AD">
    <w:pPr>
      <w:pStyle w:val="Footer"/>
    </w:pPr>
    <w:r>
      <w:rPr>
        <w:noProof/>
        <w:sz w:val="20"/>
      </w:rPr>
      <w:drawing>
        <wp:anchor distT="0" distB="0" distL="114300" distR="114300" simplePos="0" relativeHeight="251660288" behindDoc="0" locked="0" layoutInCell="1" allowOverlap="1" wp14:anchorId="2032CC81" wp14:editId="607E043C">
          <wp:simplePos x="0" y="0"/>
          <wp:positionH relativeFrom="margin">
            <wp:posOffset>5615940</wp:posOffset>
          </wp:positionH>
          <wp:positionV relativeFrom="margin">
            <wp:posOffset>9095345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3D912265" wp14:editId="03E1499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865691" w14:textId="0452F837" w:rsidR="00ED08AD" w:rsidRPr="00ED08AD" w:rsidRDefault="00ED08AD" w:rsidP="00ED08AD">
    <w:pPr>
      <w:pStyle w:val="Footer"/>
      <w:ind w:right="1134"/>
      <w:rPr>
        <w:sz w:val="20"/>
      </w:rPr>
    </w:pPr>
    <w:r>
      <w:rPr>
        <w:sz w:val="20"/>
      </w:rPr>
      <w:t>GE.24-</w:t>
    </w:r>
    <w:proofErr w:type="gramStart"/>
    <w:r>
      <w:rPr>
        <w:sz w:val="20"/>
      </w:rPr>
      <w:t>06993  (</w:t>
    </w:r>
    <w:proofErr w:type="gramEnd"/>
    <w:r>
      <w:rPr>
        <w:sz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AA41" w14:textId="77777777" w:rsidR="008F48E0" w:rsidRPr="000B175B" w:rsidRDefault="008F48E0" w:rsidP="000B175B">
      <w:pPr>
        <w:tabs>
          <w:tab w:val="right" w:pos="2155"/>
        </w:tabs>
        <w:spacing w:after="80"/>
        <w:ind w:left="680"/>
        <w:rPr>
          <w:u w:val="single"/>
        </w:rPr>
      </w:pPr>
      <w:r>
        <w:rPr>
          <w:u w:val="single"/>
        </w:rPr>
        <w:tab/>
      </w:r>
    </w:p>
  </w:footnote>
  <w:footnote w:type="continuationSeparator" w:id="0">
    <w:p w14:paraId="59333E09" w14:textId="77777777" w:rsidR="008F48E0" w:rsidRPr="00FC68B7" w:rsidRDefault="008F48E0" w:rsidP="00FC68B7">
      <w:pPr>
        <w:tabs>
          <w:tab w:val="left" w:pos="2155"/>
        </w:tabs>
        <w:spacing w:after="80"/>
        <w:ind w:left="680"/>
        <w:rPr>
          <w:u w:val="single"/>
        </w:rPr>
      </w:pPr>
      <w:r>
        <w:rPr>
          <w:u w:val="single"/>
        </w:rPr>
        <w:tab/>
      </w:r>
    </w:p>
  </w:footnote>
  <w:footnote w:type="continuationNotice" w:id="1">
    <w:p w14:paraId="2F48253E" w14:textId="77777777" w:rsidR="008F48E0" w:rsidRDefault="008F48E0"/>
  </w:footnote>
  <w:footnote w:id="2">
    <w:p w14:paraId="02D10F7F" w14:textId="1A403D95" w:rsidR="00ED0A44" w:rsidRPr="00553B54" w:rsidRDefault="00ED0A44" w:rsidP="00553B54">
      <w:pPr>
        <w:pStyle w:val="FootnoteText"/>
        <w:widowControl w:val="0"/>
        <w:suppressAutoHyphens/>
        <w:rPr>
          <w:lang w:val="fr-CH"/>
        </w:rPr>
      </w:pPr>
      <w:r>
        <w:tab/>
      </w:r>
      <w:r>
        <w:rPr>
          <w:rStyle w:val="FootnoteReference"/>
        </w:rPr>
        <w:footnoteRef/>
      </w:r>
      <w:r>
        <w:tab/>
      </w:r>
      <w:r w:rsidR="00242677" w:rsidRPr="00242677">
        <w:t xml:space="preserve">Circulated by the Intergovernmental Organization for International Carriage by Rail (OTIF) under the symbol </w:t>
      </w:r>
      <w:r>
        <w:rPr>
          <w:color w:val="1F497D"/>
          <w:lang w:val="en-US" w:eastAsia="en-US"/>
        </w:rPr>
        <w:t>OTIF/RID/RC/2024-A</w:t>
      </w:r>
      <w:r w:rsidR="002426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BA0A" w14:textId="258474DB" w:rsidR="0089518A" w:rsidRPr="0089518A" w:rsidRDefault="00ED08AD">
    <w:pPr>
      <w:pStyle w:val="Header"/>
    </w:pPr>
    <w:r>
      <w:fldChar w:fldCharType="begin"/>
    </w:r>
    <w:r>
      <w:instrText xml:space="preserve"> TITLE  \* MERGEFORMAT </w:instrText>
    </w:r>
    <w:r>
      <w:fldChar w:fldCharType="separate"/>
    </w:r>
    <w:r w:rsidR="0089518A">
      <w:t>ECE/TRANS/WP.15/267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B069" w14:textId="3E302CCE" w:rsidR="0089518A" w:rsidRPr="0089518A" w:rsidRDefault="00ED08AD" w:rsidP="0089518A">
    <w:pPr>
      <w:pStyle w:val="Header"/>
      <w:jc w:val="right"/>
    </w:pPr>
    <w:r>
      <w:fldChar w:fldCharType="begin"/>
    </w:r>
    <w:r>
      <w:instrText xml:space="preserve"> TITLE  \* MERGEFORMAT </w:instrText>
    </w:r>
    <w:r>
      <w:fldChar w:fldCharType="separate"/>
    </w:r>
    <w:r w:rsidR="0089518A">
      <w:t>ECE/TRANS/WP.15/267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1024336">
    <w:abstractNumId w:val="1"/>
  </w:num>
  <w:num w:numId="2" w16cid:durableId="1245609753">
    <w:abstractNumId w:val="0"/>
  </w:num>
  <w:num w:numId="3" w16cid:durableId="1648852581">
    <w:abstractNumId w:val="2"/>
  </w:num>
  <w:num w:numId="4" w16cid:durableId="340546246">
    <w:abstractNumId w:val="3"/>
  </w:num>
  <w:num w:numId="5" w16cid:durableId="1921057580">
    <w:abstractNumId w:val="8"/>
  </w:num>
  <w:num w:numId="6" w16cid:durableId="2111394409">
    <w:abstractNumId w:val="9"/>
  </w:num>
  <w:num w:numId="7" w16cid:durableId="1291983902">
    <w:abstractNumId w:val="7"/>
  </w:num>
  <w:num w:numId="8" w16cid:durableId="332269764">
    <w:abstractNumId w:val="6"/>
  </w:num>
  <w:num w:numId="9" w16cid:durableId="616136077">
    <w:abstractNumId w:val="5"/>
  </w:num>
  <w:num w:numId="10" w16cid:durableId="1783039708">
    <w:abstractNumId w:val="4"/>
  </w:num>
  <w:num w:numId="11" w16cid:durableId="482935093">
    <w:abstractNumId w:val="15"/>
  </w:num>
  <w:num w:numId="12" w16cid:durableId="265117571">
    <w:abstractNumId w:val="14"/>
  </w:num>
  <w:num w:numId="13" w16cid:durableId="875895816">
    <w:abstractNumId w:val="10"/>
  </w:num>
  <w:num w:numId="14" w16cid:durableId="1450394793">
    <w:abstractNumId w:val="12"/>
  </w:num>
  <w:num w:numId="15" w16cid:durableId="1585914773">
    <w:abstractNumId w:val="16"/>
  </w:num>
  <w:num w:numId="16" w16cid:durableId="2123062809">
    <w:abstractNumId w:val="13"/>
  </w:num>
  <w:num w:numId="17" w16cid:durableId="1983853083">
    <w:abstractNumId w:val="17"/>
  </w:num>
  <w:num w:numId="18" w16cid:durableId="1309089452">
    <w:abstractNumId w:val="18"/>
  </w:num>
  <w:num w:numId="19" w16cid:durableId="479003023">
    <w:abstractNumId w:val="11"/>
  </w:num>
  <w:num w:numId="20" w16cid:durableId="19650300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8A"/>
    <w:rsid w:val="00002A7D"/>
    <w:rsid w:val="000038A8"/>
    <w:rsid w:val="00006790"/>
    <w:rsid w:val="00011231"/>
    <w:rsid w:val="00024358"/>
    <w:rsid w:val="00027624"/>
    <w:rsid w:val="00031F1D"/>
    <w:rsid w:val="00050F6B"/>
    <w:rsid w:val="000548A5"/>
    <w:rsid w:val="000678CD"/>
    <w:rsid w:val="00072C8C"/>
    <w:rsid w:val="00081CE0"/>
    <w:rsid w:val="00083527"/>
    <w:rsid w:val="00084D30"/>
    <w:rsid w:val="00090320"/>
    <w:rsid w:val="000931C0"/>
    <w:rsid w:val="0009332F"/>
    <w:rsid w:val="0009354B"/>
    <w:rsid w:val="0009732C"/>
    <w:rsid w:val="000A01F9"/>
    <w:rsid w:val="000A2E09"/>
    <w:rsid w:val="000B175B"/>
    <w:rsid w:val="000B3A0F"/>
    <w:rsid w:val="000E0415"/>
    <w:rsid w:val="000F7715"/>
    <w:rsid w:val="00121A5B"/>
    <w:rsid w:val="00156B99"/>
    <w:rsid w:val="00166124"/>
    <w:rsid w:val="00176FF1"/>
    <w:rsid w:val="00184DDA"/>
    <w:rsid w:val="001900CD"/>
    <w:rsid w:val="00197904"/>
    <w:rsid w:val="001A0452"/>
    <w:rsid w:val="001B4B04"/>
    <w:rsid w:val="001B5875"/>
    <w:rsid w:val="001C2211"/>
    <w:rsid w:val="001C4B9C"/>
    <w:rsid w:val="001C6502"/>
    <w:rsid w:val="001C6663"/>
    <w:rsid w:val="001C7895"/>
    <w:rsid w:val="001D26DF"/>
    <w:rsid w:val="001E555D"/>
    <w:rsid w:val="001E5F91"/>
    <w:rsid w:val="001F1599"/>
    <w:rsid w:val="001F19C4"/>
    <w:rsid w:val="001F1C81"/>
    <w:rsid w:val="002023F7"/>
    <w:rsid w:val="002043F0"/>
    <w:rsid w:val="0021184A"/>
    <w:rsid w:val="00211E0B"/>
    <w:rsid w:val="002238CB"/>
    <w:rsid w:val="00232575"/>
    <w:rsid w:val="00242677"/>
    <w:rsid w:val="00247258"/>
    <w:rsid w:val="0025037F"/>
    <w:rsid w:val="00257CAC"/>
    <w:rsid w:val="00264441"/>
    <w:rsid w:val="0027237A"/>
    <w:rsid w:val="002849F7"/>
    <w:rsid w:val="00287A42"/>
    <w:rsid w:val="00287C6F"/>
    <w:rsid w:val="002974E9"/>
    <w:rsid w:val="002A7F94"/>
    <w:rsid w:val="002B109A"/>
    <w:rsid w:val="002B4F87"/>
    <w:rsid w:val="002C6D45"/>
    <w:rsid w:val="002D6E53"/>
    <w:rsid w:val="002E3759"/>
    <w:rsid w:val="002E5418"/>
    <w:rsid w:val="002F046D"/>
    <w:rsid w:val="002F3023"/>
    <w:rsid w:val="00301764"/>
    <w:rsid w:val="00315F15"/>
    <w:rsid w:val="003229D8"/>
    <w:rsid w:val="00330325"/>
    <w:rsid w:val="003303F3"/>
    <w:rsid w:val="00336C97"/>
    <w:rsid w:val="00337F88"/>
    <w:rsid w:val="00342432"/>
    <w:rsid w:val="00345B78"/>
    <w:rsid w:val="0035223F"/>
    <w:rsid w:val="00352D4B"/>
    <w:rsid w:val="0035638C"/>
    <w:rsid w:val="003675FD"/>
    <w:rsid w:val="003826CB"/>
    <w:rsid w:val="0038459B"/>
    <w:rsid w:val="003A46BB"/>
    <w:rsid w:val="003A4EC7"/>
    <w:rsid w:val="003A7295"/>
    <w:rsid w:val="003B1F60"/>
    <w:rsid w:val="003C2CC4"/>
    <w:rsid w:val="003D4B23"/>
    <w:rsid w:val="003E278A"/>
    <w:rsid w:val="00413520"/>
    <w:rsid w:val="0042279A"/>
    <w:rsid w:val="00430D57"/>
    <w:rsid w:val="004325CB"/>
    <w:rsid w:val="00440A07"/>
    <w:rsid w:val="0045489D"/>
    <w:rsid w:val="00462880"/>
    <w:rsid w:val="00476F24"/>
    <w:rsid w:val="00492EF9"/>
    <w:rsid w:val="004A36BE"/>
    <w:rsid w:val="004A5F41"/>
    <w:rsid w:val="004C0236"/>
    <w:rsid w:val="004C55B0"/>
    <w:rsid w:val="004F6BA0"/>
    <w:rsid w:val="00503854"/>
    <w:rsid w:val="00503BEA"/>
    <w:rsid w:val="0051559F"/>
    <w:rsid w:val="005330DB"/>
    <w:rsid w:val="00533616"/>
    <w:rsid w:val="00535ABA"/>
    <w:rsid w:val="0053768B"/>
    <w:rsid w:val="005420F2"/>
    <w:rsid w:val="0054285C"/>
    <w:rsid w:val="00544DAD"/>
    <w:rsid w:val="00552FE7"/>
    <w:rsid w:val="00553B54"/>
    <w:rsid w:val="00572BE8"/>
    <w:rsid w:val="00584173"/>
    <w:rsid w:val="00595520"/>
    <w:rsid w:val="005A44B9"/>
    <w:rsid w:val="005B1BA0"/>
    <w:rsid w:val="005B3DB3"/>
    <w:rsid w:val="005D15CA"/>
    <w:rsid w:val="005D7969"/>
    <w:rsid w:val="005F08DF"/>
    <w:rsid w:val="005F3066"/>
    <w:rsid w:val="005F3E61"/>
    <w:rsid w:val="005F5268"/>
    <w:rsid w:val="00602FBA"/>
    <w:rsid w:val="00604DDD"/>
    <w:rsid w:val="006115CC"/>
    <w:rsid w:val="00611FC4"/>
    <w:rsid w:val="006176FB"/>
    <w:rsid w:val="00630FCB"/>
    <w:rsid w:val="00634BEF"/>
    <w:rsid w:val="00640B26"/>
    <w:rsid w:val="00642A33"/>
    <w:rsid w:val="006546C7"/>
    <w:rsid w:val="00655358"/>
    <w:rsid w:val="0065766B"/>
    <w:rsid w:val="00676537"/>
    <w:rsid w:val="006770B2"/>
    <w:rsid w:val="00686A48"/>
    <w:rsid w:val="006940E1"/>
    <w:rsid w:val="006A3C72"/>
    <w:rsid w:val="006A7392"/>
    <w:rsid w:val="006B03A1"/>
    <w:rsid w:val="006B67D9"/>
    <w:rsid w:val="006C5535"/>
    <w:rsid w:val="006D0589"/>
    <w:rsid w:val="006D2F7A"/>
    <w:rsid w:val="006E564B"/>
    <w:rsid w:val="006E7154"/>
    <w:rsid w:val="006F0FDB"/>
    <w:rsid w:val="007003CD"/>
    <w:rsid w:val="0070701E"/>
    <w:rsid w:val="007173E0"/>
    <w:rsid w:val="0072033E"/>
    <w:rsid w:val="007252A9"/>
    <w:rsid w:val="0072632A"/>
    <w:rsid w:val="007358E8"/>
    <w:rsid w:val="00736ECE"/>
    <w:rsid w:val="007409DF"/>
    <w:rsid w:val="007433BD"/>
    <w:rsid w:val="0074533B"/>
    <w:rsid w:val="00746845"/>
    <w:rsid w:val="00753615"/>
    <w:rsid w:val="007643BC"/>
    <w:rsid w:val="00774ADC"/>
    <w:rsid w:val="007801C5"/>
    <w:rsid w:val="00780C68"/>
    <w:rsid w:val="007901F8"/>
    <w:rsid w:val="007959FE"/>
    <w:rsid w:val="007A0CF1"/>
    <w:rsid w:val="007A478E"/>
    <w:rsid w:val="007B6BA5"/>
    <w:rsid w:val="007C3390"/>
    <w:rsid w:val="007C42D8"/>
    <w:rsid w:val="007C4F4B"/>
    <w:rsid w:val="007D0B79"/>
    <w:rsid w:val="007D7362"/>
    <w:rsid w:val="007F0ACF"/>
    <w:rsid w:val="007F20E3"/>
    <w:rsid w:val="007F5CE2"/>
    <w:rsid w:val="007F6611"/>
    <w:rsid w:val="00800522"/>
    <w:rsid w:val="00810BAC"/>
    <w:rsid w:val="008175E9"/>
    <w:rsid w:val="008242D7"/>
    <w:rsid w:val="0082577B"/>
    <w:rsid w:val="008272DD"/>
    <w:rsid w:val="00861774"/>
    <w:rsid w:val="00866893"/>
    <w:rsid w:val="00866F02"/>
    <w:rsid w:val="00867D18"/>
    <w:rsid w:val="00871F9A"/>
    <w:rsid w:val="00871FD5"/>
    <w:rsid w:val="00877D6D"/>
    <w:rsid w:val="0088172E"/>
    <w:rsid w:val="00881EFA"/>
    <w:rsid w:val="008879CB"/>
    <w:rsid w:val="00894FE4"/>
    <w:rsid w:val="0089518A"/>
    <w:rsid w:val="008979B1"/>
    <w:rsid w:val="008A6B25"/>
    <w:rsid w:val="008A6C4F"/>
    <w:rsid w:val="008A77AE"/>
    <w:rsid w:val="008B389E"/>
    <w:rsid w:val="008D045E"/>
    <w:rsid w:val="008D3F25"/>
    <w:rsid w:val="008D4D82"/>
    <w:rsid w:val="008E0E46"/>
    <w:rsid w:val="008E7116"/>
    <w:rsid w:val="008F143B"/>
    <w:rsid w:val="008F28BF"/>
    <w:rsid w:val="008F3882"/>
    <w:rsid w:val="008F48E0"/>
    <w:rsid w:val="008F4B7C"/>
    <w:rsid w:val="00926E47"/>
    <w:rsid w:val="0094061B"/>
    <w:rsid w:val="00947162"/>
    <w:rsid w:val="009610D0"/>
    <w:rsid w:val="00962D64"/>
    <w:rsid w:val="0096375C"/>
    <w:rsid w:val="009662E6"/>
    <w:rsid w:val="0097095E"/>
    <w:rsid w:val="0098592B"/>
    <w:rsid w:val="00985FC4"/>
    <w:rsid w:val="00990766"/>
    <w:rsid w:val="00991261"/>
    <w:rsid w:val="009964C4"/>
    <w:rsid w:val="009A4833"/>
    <w:rsid w:val="009A7B81"/>
    <w:rsid w:val="009C5720"/>
    <w:rsid w:val="009C7DD5"/>
    <w:rsid w:val="009D01C0"/>
    <w:rsid w:val="009D13AA"/>
    <w:rsid w:val="009D6A08"/>
    <w:rsid w:val="009E0A16"/>
    <w:rsid w:val="009E6CB7"/>
    <w:rsid w:val="009E7970"/>
    <w:rsid w:val="009F2EAC"/>
    <w:rsid w:val="009F4915"/>
    <w:rsid w:val="009F57E3"/>
    <w:rsid w:val="00A10F4F"/>
    <w:rsid w:val="00A11067"/>
    <w:rsid w:val="00A1704A"/>
    <w:rsid w:val="00A425EB"/>
    <w:rsid w:val="00A72F22"/>
    <w:rsid w:val="00A733BC"/>
    <w:rsid w:val="00A748A6"/>
    <w:rsid w:val="00A76A69"/>
    <w:rsid w:val="00A879A4"/>
    <w:rsid w:val="00A929FF"/>
    <w:rsid w:val="00AA0B4C"/>
    <w:rsid w:val="00AA0FF8"/>
    <w:rsid w:val="00AA2BAB"/>
    <w:rsid w:val="00AC0F2C"/>
    <w:rsid w:val="00AC2DA8"/>
    <w:rsid w:val="00AC502A"/>
    <w:rsid w:val="00AF58C1"/>
    <w:rsid w:val="00B03A14"/>
    <w:rsid w:val="00B04A3F"/>
    <w:rsid w:val="00B06643"/>
    <w:rsid w:val="00B15055"/>
    <w:rsid w:val="00B20551"/>
    <w:rsid w:val="00B23D55"/>
    <w:rsid w:val="00B30179"/>
    <w:rsid w:val="00B33FC7"/>
    <w:rsid w:val="00B37B15"/>
    <w:rsid w:val="00B45C02"/>
    <w:rsid w:val="00B52388"/>
    <w:rsid w:val="00B679AF"/>
    <w:rsid w:val="00B70B63"/>
    <w:rsid w:val="00B72A1E"/>
    <w:rsid w:val="00B81E12"/>
    <w:rsid w:val="00B902AF"/>
    <w:rsid w:val="00BA339B"/>
    <w:rsid w:val="00BB23CC"/>
    <w:rsid w:val="00BC1E7E"/>
    <w:rsid w:val="00BC27B5"/>
    <w:rsid w:val="00BC56D9"/>
    <w:rsid w:val="00BC74E9"/>
    <w:rsid w:val="00BE36A9"/>
    <w:rsid w:val="00BE618E"/>
    <w:rsid w:val="00BE7BEC"/>
    <w:rsid w:val="00BF0A5A"/>
    <w:rsid w:val="00BF0E63"/>
    <w:rsid w:val="00BF12A3"/>
    <w:rsid w:val="00BF16D7"/>
    <w:rsid w:val="00BF2373"/>
    <w:rsid w:val="00C0294F"/>
    <w:rsid w:val="00C02D65"/>
    <w:rsid w:val="00C044E2"/>
    <w:rsid w:val="00C048CB"/>
    <w:rsid w:val="00C066F3"/>
    <w:rsid w:val="00C2658D"/>
    <w:rsid w:val="00C408B7"/>
    <w:rsid w:val="00C411EB"/>
    <w:rsid w:val="00C463DD"/>
    <w:rsid w:val="00C5354F"/>
    <w:rsid w:val="00C745C3"/>
    <w:rsid w:val="00C84A4E"/>
    <w:rsid w:val="00C86583"/>
    <w:rsid w:val="00C975E3"/>
    <w:rsid w:val="00C978F5"/>
    <w:rsid w:val="00CA24A4"/>
    <w:rsid w:val="00CB348D"/>
    <w:rsid w:val="00CB681E"/>
    <w:rsid w:val="00CD46F5"/>
    <w:rsid w:val="00CE4A8F"/>
    <w:rsid w:val="00CE78F6"/>
    <w:rsid w:val="00CF071D"/>
    <w:rsid w:val="00D0123D"/>
    <w:rsid w:val="00D15B04"/>
    <w:rsid w:val="00D164AC"/>
    <w:rsid w:val="00D2031B"/>
    <w:rsid w:val="00D25FE2"/>
    <w:rsid w:val="00D368BE"/>
    <w:rsid w:val="00D37DA9"/>
    <w:rsid w:val="00D40616"/>
    <w:rsid w:val="00D406A7"/>
    <w:rsid w:val="00D40765"/>
    <w:rsid w:val="00D43252"/>
    <w:rsid w:val="00D44D86"/>
    <w:rsid w:val="00D50B7D"/>
    <w:rsid w:val="00D52012"/>
    <w:rsid w:val="00D704E5"/>
    <w:rsid w:val="00D72727"/>
    <w:rsid w:val="00D978C6"/>
    <w:rsid w:val="00DA0956"/>
    <w:rsid w:val="00DA357F"/>
    <w:rsid w:val="00DA37B3"/>
    <w:rsid w:val="00DA3E12"/>
    <w:rsid w:val="00DA4061"/>
    <w:rsid w:val="00DA6907"/>
    <w:rsid w:val="00DB6908"/>
    <w:rsid w:val="00DC18AD"/>
    <w:rsid w:val="00DC44F3"/>
    <w:rsid w:val="00DC5308"/>
    <w:rsid w:val="00DE4364"/>
    <w:rsid w:val="00DF4F31"/>
    <w:rsid w:val="00DF7CAE"/>
    <w:rsid w:val="00E21EA9"/>
    <w:rsid w:val="00E37CE4"/>
    <w:rsid w:val="00E40469"/>
    <w:rsid w:val="00E423C0"/>
    <w:rsid w:val="00E57094"/>
    <w:rsid w:val="00E6414C"/>
    <w:rsid w:val="00E7260F"/>
    <w:rsid w:val="00E8702D"/>
    <w:rsid w:val="00E905F4"/>
    <w:rsid w:val="00E916A9"/>
    <w:rsid w:val="00E916DE"/>
    <w:rsid w:val="00E925AD"/>
    <w:rsid w:val="00E96630"/>
    <w:rsid w:val="00EC4EAB"/>
    <w:rsid w:val="00ED08AD"/>
    <w:rsid w:val="00ED0A44"/>
    <w:rsid w:val="00ED18DC"/>
    <w:rsid w:val="00ED3320"/>
    <w:rsid w:val="00ED6201"/>
    <w:rsid w:val="00ED7A2A"/>
    <w:rsid w:val="00EE1849"/>
    <w:rsid w:val="00EE2196"/>
    <w:rsid w:val="00EF1D7F"/>
    <w:rsid w:val="00F0050F"/>
    <w:rsid w:val="00F0137E"/>
    <w:rsid w:val="00F039E1"/>
    <w:rsid w:val="00F05D5A"/>
    <w:rsid w:val="00F21786"/>
    <w:rsid w:val="00F3742B"/>
    <w:rsid w:val="00F41FDB"/>
    <w:rsid w:val="00F5009F"/>
    <w:rsid w:val="00F50596"/>
    <w:rsid w:val="00F56D63"/>
    <w:rsid w:val="00F609A9"/>
    <w:rsid w:val="00F71A87"/>
    <w:rsid w:val="00F75566"/>
    <w:rsid w:val="00F80C99"/>
    <w:rsid w:val="00F867EC"/>
    <w:rsid w:val="00F91B2B"/>
    <w:rsid w:val="00F9303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9F26"/>
  <w15:docId w15:val="{7F0E65F3-DC96-4FF6-A671-53A6B9BA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rsid w:val="00503854"/>
    <w:rPr>
      <w:b/>
      <w:sz w:val="28"/>
      <w:lang w:val="en-GB"/>
    </w:rPr>
  </w:style>
  <w:style w:type="character" w:styleId="CommentReference">
    <w:name w:val="annotation reference"/>
    <w:basedOn w:val="DefaultParagraphFont"/>
    <w:semiHidden/>
    <w:unhideWhenUsed/>
    <w:rsid w:val="003303F3"/>
    <w:rPr>
      <w:sz w:val="16"/>
      <w:szCs w:val="16"/>
    </w:rPr>
  </w:style>
  <w:style w:type="paragraph" w:styleId="CommentText">
    <w:name w:val="annotation text"/>
    <w:basedOn w:val="Normal"/>
    <w:link w:val="CommentTextChar"/>
    <w:unhideWhenUsed/>
    <w:rsid w:val="003303F3"/>
    <w:pPr>
      <w:spacing w:line="240" w:lineRule="auto"/>
    </w:pPr>
  </w:style>
  <w:style w:type="character" w:customStyle="1" w:styleId="CommentTextChar">
    <w:name w:val="Comment Text Char"/>
    <w:basedOn w:val="DefaultParagraphFont"/>
    <w:link w:val="CommentText"/>
    <w:rsid w:val="003303F3"/>
    <w:rPr>
      <w:lang w:val="en-GB"/>
    </w:rPr>
  </w:style>
  <w:style w:type="character" w:customStyle="1" w:styleId="H1GChar">
    <w:name w:val="_ H_1_G Char"/>
    <w:link w:val="H1G"/>
    <w:qFormat/>
    <w:rsid w:val="00861774"/>
    <w:rPr>
      <w:b/>
      <w:sz w:val="24"/>
      <w:lang w:val="en-GB"/>
    </w:rPr>
  </w:style>
  <w:style w:type="paragraph" w:styleId="CommentSubject">
    <w:name w:val="annotation subject"/>
    <w:basedOn w:val="CommentText"/>
    <w:next w:val="CommentText"/>
    <w:link w:val="CommentSubjectChar"/>
    <w:semiHidden/>
    <w:unhideWhenUsed/>
    <w:rsid w:val="00861774"/>
    <w:rPr>
      <w:b/>
      <w:bCs/>
    </w:rPr>
  </w:style>
  <w:style w:type="character" w:customStyle="1" w:styleId="CommentSubjectChar">
    <w:name w:val="Comment Subject Char"/>
    <w:basedOn w:val="CommentTextChar"/>
    <w:link w:val="CommentSubject"/>
    <w:semiHidden/>
    <w:rsid w:val="00861774"/>
    <w:rPr>
      <w:b/>
      <w:bCs/>
      <w:lang w:val="en-GB"/>
    </w:rPr>
  </w:style>
  <w:style w:type="character" w:customStyle="1" w:styleId="H23GChar">
    <w:name w:val="_ H_2/3_G Char"/>
    <w:link w:val="H23G"/>
    <w:rsid w:val="001F1C81"/>
    <w:rPr>
      <w:b/>
      <w:lang w:val="en-GB"/>
    </w:rPr>
  </w:style>
  <w:style w:type="paragraph" w:styleId="Revision">
    <w:name w:val="Revision"/>
    <w:hidden/>
    <w:uiPriority w:val="99"/>
    <w:semiHidden/>
    <w:rsid w:val="001F1C8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A8A2A90E-333B-4A3C-B48B-2E5595FD86C5}"/>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17</Pages>
  <Words>5360</Words>
  <Characters>29074</Characters>
  <Application>Microsoft Office Word</Application>
  <DocSecurity>0</DocSecurity>
  <Lines>647</Lines>
  <Paragraphs>343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ECE/TRANS/WP.15/267</dc:title>
  <dc:subject>2406993</dc:subject>
  <dc:creator>Sabrina Mansion</dc:creator>
  <cp:keywords/>
  <dc:description/>
  <cp:lastModifiedBy>Pauline Anne Escalante</cp:lastModifiedBy>
  <cp:revision>2</cp:revision>
  <cp:lastPrinted>2009-02-18T18:36:00Z</cp:lastPrinted>
  <dcterms:created xsi:type="dcterms:W3CDTF">2024-04-17T09:56:00Z</dcterms:created>
  <dcterms:modified xsi:type="dcterms:W3CDTF">2024-04-17T09:56:00Z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