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433FD" w:rsidRPr="00C059EB" w14:paraId="12F13FBE" w14:textId="77777777" w:rsidTr="005316B0">
        <w:trPr>
          <w:trHeight w:hRule="exact" w:val="851"/>
        </w:trPr>
        <w:tc>
          <w:tcPr>
            <w:tcW w:w="1276" w:type="dxa"/>
            <w:tcBorders>
              <w:bottom w:val="single" w:sz="4" w:space="0" w:color="auto"/>
            </w:tcBorders>
          </w:tcPr>
          <w:p w14:paraId="5E1ADFA2" w14:textId="77777777" w:rsidR="001433FD" w:rsidRPr="00C059EB" w:rsidRDefault="001433FD" w:rsidP="0001207F">
            <w:pPr>
              <w:rPr>
                <w:lang w:val="fr-FR"/>
              </w:rPr>
            </w:pPr>
          </w:p>
        </w:tc>
        <w:tc>
          <w:tcPr>
            <w:tcW w:w="2268" w:type="dxa"/>
            <w:tcBorders>
              <w:bottom w:val="single" w:sz="4" w:space="0" w:color="auto"/>
            </w:tcBorders>
            <w:vAlign w:val="bottom"/>
          </w:tcPr>
          <w:p w14:paraId="480244A9" w14:textId="77777777" w:rsidR="001433FD" w:rsidRPr="00C059EB" w:rsidRDefault="001433FD" w:rsidP="007D3236">
            <w:pPr>
              <w:spacing w:after="80" w:line="300" w:lineRule="exact"/>
              <w:rPr>
                <w:sz w:val="28"/>
                <w:lang w:val="fr-FR"/>
              </w:rPr>
            </w:pPr>
            <w:r w:rsidRPr="00C059EB">
              <w:rPr>
                <w:sz w:val="28"/>
                <w:lang w:val="fr-FR"/>
              </w:rPr>
              <w:t>Nations Unies</w:t>
            </w:r>
          </w:p>
        </w:tc>
        <w:tc>
          <w:tcPr>
            <w:tcW w:w="6095" w:type="dxa"/>
            <w:gridSpan w:val="2"/>
            <w:tcBorders>
              <w:bottom w:val="single" w:sz="4" w:space="0" w:color="auto"/>
            </w:tcBorders>
            <w:vAlign w:val="bottom"/>
          </w:tcPr>
          <w:p w14:paraId="1A10D612" w14:textId="706A4795" w:rsidR="001433FD" w:rsidRPr="007468EF" w:rsidRDefault="007468EF" w:rsidP="007468EF">
            <w:pPr>
              <w:jc w:val="right"/>
              <w:rPr>
                <w:lang w:val="fr-FR"/>
              </w:rPr>
            </w:pPr>
            <w:r w:rsidRPr="007468EF">
              <w:rPr>
                <w:sz w:val="40"/>
                <w:lang w:val="fr-FR"/>
              </w:rPr>
              <w:t>ECE</w:t>
            </w:r>
            <w:r>
              <w:rPr>
                <w:lang w:val="fr-FR"/>
              </w:rPr>
              <w:t>/TRANS/WP.15/265/Corr.1</w:t>
            </w:r>
          </w:p>
        </w:tc>
      </w:tr>
      <w:tr w:rsidR="001433FD" w:rsidRPr="00C059EB" w14:paraId="747D4B48" w14:textId="77777777" w:rsidTr="007D3236">
        <w:trPr>
          <w:trHeight w:hRule="exact" w:val="2835"/>
        </w:trPr>
        <w:tc>
          <w:tcPr>
            <w:tcW w:w="1276" w:type="dxa"/>
            <w:tcBorders>
              <w:top w:val="single" w:sz="4" w:space="0" w:color="auto"/>
              <w:bottom w:val="single" w:sz="12" w:space="0" w:color="auto"/>
            </w:tcBorders>
          </w:tcPr>
          <w:p w14:paraId="4C270F46" w14:textId="77777777" w:rsidR="001433FD" w:rsidRPr="00C059EB" w:rsidRDefault="001433FD" w:rsidP="007D3236">
            <w:pPr>
              <w:spacing w:before="120"/>
              <w:jc w:val="center"/>
              <w:rPr>
                <w:lang w:val="fr-FR"/>
              </w:rPr>
            </w:pPr>
            <w:r w:rsidRPr="00C059EB">
              <w:rPr>
                <w:noProof/>
                <w:lang w:val="fr-FR" w:eastAsia="fr-CH"/>
              </w:rPr>
              <w:drawing>
                <wp:inline distT="0" distB="0" distL="0" distR="0" wp14:anchorId="6218D29B" wp14:editId="6D54609E">
                  <wp:extent cx="714375" cy="590550"/>
                  <wp:effectExtent l="0" t="0" r="9525" b="0"/>
                  <wp:docPr id="3" name="Picture 3"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181D390" w14:textId="77777777" w:rsidR="001433FD" w:rsidRPr="00C059EB" w:rsidRDefault="001433FD" w:rsidP="007D3236">
            <w:pPr>
              <w:spacing w:before="120" w:line="420" w:lineRule="exact"/>
              <w:rPr>
                <w:b/>
                <w:sz w:val="40"/>
                <w:szCs w:val="40"/>
                <w:lang w:val="fr-FR"/>
              </w:rPr>
            </w:pPr>
            <w:r w:rsidRPr="00C059EB">
              <w:rPr>
                <w:b/>
                <w:sz w:val="40"/>
                <w:szCs w:val="40"/>
                <w:lang w:val="fr-FR"/>
              </w:rPr>
              <w:t>Conseil économique et social</w:t>
            </w:r>
          </w:p>
        </w:tc>
        <w:tc>
          <w:tcPr>
            <w:tcW w:w="2835" w:type="dxa"/>
            <w:tcBorders>
              <w:top w:val="single" w:sz="4" w:space="0" w:color="auto"/>
              <w:bottom w:val="single" w:sz="12" w:space="0" w:color="auto"/>
            </w:tcBorders>
          </w:tcPr>
          <w:p w14:paraId="3C9DFAB4" w14:textId="77777777" w:rsidR="0001207F" w:rsidRPr="00C059EB" w:rsidRDefault="003A759D" w:rsidP="003A759D">
            <w:pPr>
              <w:spacing w:before="240" w:line="240" w:lineRule="exact"/>
              <w:rPr>
                <w:lang w:val="fr-FR"/>
              </w:rPr>
            </w:pPr>
            <w:proofErr w:type="spellStart"/>
            <w:r w:rsidRPr="00C059EB">
              <w:rPr>
                <w:lang w:val="fr-FR"/>
              </w:rPr>
              <w:t>Distr</w:t>
            </w:r>
            <w:proofErr w:type="spellEnd"/>
            <w:r w:rsidRPr="00C059EB">
              <w:rPr>
                <w:lang w:val="fr-FR"/>
              </w:rPr>
              <w:t>. générale</w:t>
            </w:r>
          </w:p>
          <w:p w14:paraId="13A7987F" w14:textId="2FA695CD" w:rsidR="003A759D" w:rsidRPr="00C059EB" w:rsidRDefault="00EC363E" w:rsidP="003A759D">
            <w:pPr>
              <w:spacing w:line="240" w:lineRule="exact"/>
              <w:rPr>
                <w:lang w:val="fr-FR"/>
              </w:rPr>
            </w:pPr>
            <w:r>
              <w:rPr>
                <w:lang w:val="fr-FR"/>
              </w:rPr>
              <w:t>16</w:t>
            </w:r>
            <w:r w:rsidR="003A759D" w:rsidRPr="00C059EB">
              <w:rPr>
                <w:lang w:val="fr-FR"/>
              </w:rPr>
              <w:t xml:space="preserve"> mai 2024</w:t>
            </w:r>
          </w:p>
          <w:p w14:paraId="1F91F018" w14:textId="152B95EE" w:rsidR="003A759D" w:rsidRPr="00C059EB" w:rsidRDefault="00264FE7" w:rsidP="003A759D">
            <w:pPr>
              <w:spacing w:line="240" w:lineRule="exact"/>
              <w:rPr>
                <w:lang w:val="fr-FR"/>
              </w:rPr>
            </w:pPr>
            <w:r w:rsidRPr="00C059EB">
              <w:rPr>
                <w:lang w:val="fr-FR"/>
              </w:rPr>
              <w:t>Français</w:t>
            </w:r>
          </w:p>
          <w:p w14:paraId="3CB485C9" w14:textId="06882820" w:rsidR="003A759D" w:rsidRPr="00C059EB" w:rsidRDefault="003A759D" w:rsidP="003A759D">
            <w:pPr>
              <w:spacing w:line="240" w:lineRule="exact"/>
              <w:rPr>
                <w:lang w:val="fr-FR"/>
              </w:rPr>
            </w:pPr>
            <w:r w:rsidRPr="00C059EB">
              <w:rPr>
                <w:lang w:val="fr-FR"/>
              </w:rPr>
              <w:t xml:space="preserve">Original : </w:t>
            </w:r>
            <w:r w:rsidR="00264FE7" w:rsidRPr="00C059EB">
              <w:rPr>
                <w:lang w:val="fr-FR"/>
              </w:rPr>
              <w:t xml:space="preserve">anglais et </w:t>
            </w:r>
            <w:r w:rsidRPr="00C059EB">
              <w:rPr>
                <w:lang w:val="fr-FR"/>
              </w:rPr>
              <w:t>français</w:t>
            </w:r>
          </w:p>
        </w:tc>
      </w:tr>
    </w:tbl>
    <w:p w14:paraId="146A721B" w14:textId="77777777" w:rsidR="00523286" w:rsidRPr="00C059EB" w:rsidRDefault="00523286" w:rsidP="00523286">
      <w:pPr>
        <w:spacing w:before="120"/>
        <w:rPr>
          <w:b/>
          <w:sz w:val="28"/>
          <w:szCs w:val="28"/>
          <w:lang w:val="fr-FR"/>
        </w:rPr>
      </w:pPr>
      <w:r w:rsidRPr="00C059EB">
        <w:rPr>
          <w:b/>
          <w:sz w:val="28"/>
          <w:szCs w:val="28"/>
          <w:lang w:val="fr-FR"/>
        </w:rPr>
        <w:t>Commission économique pour l’Europe</w:t>
      </w:r>
    </w:p>
    <w:p w14:paraId="52A82ADB" w14:textId="77777777" w:rsidR="00523286" w:rsidRPr="00C059EB" w:rsidRDefault="00523286" w:rsidP="00523286">
      <w:pPr>
        <w:spacing w:before="120"/>
        <w:rPr>
          <w:sz w:val="28"/>
          <w:szCs w:val="28"/>
          <w:lang w:val="fr-FR"/>
        </w:rPr>
      </w:pPr>
      <w:r w:rsidRPr="00C059EB">
        <w:rPr>
          <w:sz w:val="28"/>
          <w:szCs w:val="28"/>
          <w:lang w:val="fr-FR"/>
        </w:rPr>
        <w:t>Comité des transports intérieurs</w:t>
      </w:r>
    </w:p>
    <w:p w14:paraId="1881047A" w14:textId="77777777" w:rsidR="00523286" w:rsidRPr="00C059EB" w:rsidRDefault="00523286" w:rsidP="00523286">
      <w:pPr>
        <w:spacing w:before="120"/>
        <w:rPr>
          <w:b/>
          <w:sz w:val="24"/>
          <w:szCs w:val="24"/>
          <w:lang w:val="fr-FR"/>
        </w:rPr>
      </w:pPr>
      <w:r w:rsidRPr="00C059EB">
        <w:rPr>
          <w:b/>
          <w:sz w:val="24"/>
          <w:szCs w:val="24"/>
          <w:lang w:val="fr-FR"/>
        </w:rPr>
        <w:t xml:space="preserve">Groupe de travail des transports </w:t>
      </w:r>
      <w:r w:rsidRPr="00C059EB">
        <w:rPr>
          <w:b/>
          <w:sz w:val="24"/>
          <w:szCs w:val="24"/>
          <w:lang w:val="fr-FR"/>
        </w:rPr>
        <w:br/>
        <w:t>de marchandises dangereuses</w:t>
      </w:r>
    </w:p>
    <w:p w14:paraId="28958BE5" w14:textId="77777777" w:rsidR="00523286" w:rsidRPr="00C059EB" w:rsidRDefault="00523286" w:rsidP="00523286">
      <w:pPr>
        <w:keepNext/>
        <w:keepLines/>
        <w:tabs>
          <w:tab w:val="right" w:pos="851"/>
        </w:tabs>
        <w:spacing w:before="360" w:after="240" w:line="300" w:lineRule="exact"/>
        <w:ind w:left="1134" w:right="1134" w:hanging="1134"/>
        <w:rPr>
          <w:b/>
          <w:sz w:val="28"/>
          <w:lang w:val="fr-FR"/>
        </w:rPr>
      </w:pPr>
      <w:r w:rsidRPr="00C059EB">
        <w:rPr>
          <w:b/>
          <w:sz w:val="28"/>
          <w:lang w:val="fr-FR"/>
        </w:rPr>
        <w:tab/>
      </w:r>
      <w:r w:rsidRPr="00C059EB">
        <w:rPr>
          <w:b/>
          <w:sz w:val="28"/>
          <w:lang w:val="fr-FR"/>
        </w:rPr>
        <w:tab/>
        <w:t>Accord relatif au transport international des marchandises dangereuses par route (ADR)</w:t>
      </w:r>
    </w:p>
    <w:p w14:paraId="0C24A64A" w14:textId="77777777" w:rsidR="00523286" w:rsidRPr="00C059EB" w:rsidRDefault="00523286" w:rsidP="00523286">
      <w:pPr>
        <w:keepNext/>
        <w:keepLines/>
        <w:tabs>
          <w:tab w:val="right" w:pos="851"/>
        </w:tabs>
        <w:spacing w:before="360" w:after="240" w:line="270" w:lineRule="exact"/>
        <w:ind w:left="1134" w:right="1134" w:hanging="1134"/>
        <w:outlineLvl w:val="0"/>
        <w:rPr>
          <w:b/>
          <w:sz w:val="24"/>
          <w:lang w:val="fr-FR"/>
        </w:rPr>
      </w:pPr>
      <w:r w:rsidRPr="00C059EB">
        <w:rPr>
          <w:b/>
          <w:sz w:val="24"/>
          <w:lang w:val="fr-FR"/>
        </w:rPr>
        <w:tab/>
      </w:r>
      <w:r w:rsidRPr="00C059EB">
        <w:rPr>
          <w:b/>
          <w:sz w:val="24"/>
          <w:lang w:val="fr-FR"/>
        </w:rPr>
        <w:tab/>
        <w:t>Projet d'amendements aux annexes A et B de l'ADR</w:t>
      </w:r>
    </w:p>
    <w:p w14:paraId="750C0D0B" w14:textId="77777777" w:rsidR="00523286" w:rsidRPr="00C059EB" w:rsidRDefault="00523286" w:rsidP="00523286">
      <w:pPr>
        <w:pStyle w:val="H23G"/>
        <w:rPr>
          <w:lang w:val="fr-FR"/>
        </w:rPr>
      </w:pPr>
      <w:r w:rsidRPr="00C059EB">
        <w:rPr>
          <w:lang w:val="fr-FR"/>
        </w:rPr>
        <w:tab/>
      </w:r>
      <w:r w:rsidRPr="00C059EB">
        <w:rPr>
          <w:lang w:val="fr-FR"/>
        </w:rPr>
        <w:tab/>
        <w:t>Rectificatif</w:t>
      </w:r>
    </w:p>
    <w:p w14:paraId="5B6FFF53" w14:textId="14245CC0" w:rsidR="00A160AD" w:rsidRPr="00CE4920" w:rsidRDefault="00A160AD" w:rsidP="00A160AD">
      <w:pPr>
        <w:keepNext/>
        <w:keepLines/>
        <w:tabs>
          <w:tab w:val="right" w:pos="851"/>
        </w:tabs>
        <w:spacing w:before="240" w:after="120" w:line="240" w:lineRule="exact"/>
        <w:ind w:left="1134" w:right="1134" w:hanging="1134"/>
        <w:rPr>
          <w:b/>
          <w:lang w:val="fr-FR"/>
        </w:rPr>
      </w:pPr>
      <w:r w:rsidRPr="00CE4920">
        <w:rPr>
          <w:b/>
          <w:lang w:val="fr-FR"/>
        </w:rPr>
        <w:tab/>
      </w:r>
      <w:r w:rsidR="00AD41F1">
        <w:rPr>
          <w:b/>
          <w:lang w:val="fr-FR"/>
        </w:rPr>
        <w:t>1.</w:t>
      </w:r>
      <w:r w:rsidRPr="00CE4920">
        <w:rPr>
          <w:b/>
          <w:lang w:val="fr-FR"/>
        </w:rPr>
        <w:tab/>
        <w:t>Chapitre 2.1, amendement au 2.1.5.2</w:t>
      </w:r>
    </w:p>
    <w:p w14:paraId="72A30604" w14:textId="77777777" w:rsidR="00A160AD" w:rsidRPr="00CE4920" w:rsidRDefault="00A160AD" w:rsidP="00A160AD">
      <w:pPr>
        <w:pStyle w:val="SingleTxtG"/>
        <w:rPr>
          <w:lang w:val="fr-FR"/>
        </w:rPr>
      </w:pPr>
      <w:r w:rsidRPr="00CE4920">
        <w:rPr>
          <w:i/>
          <w:lang w:val="fr-FR"/>
        </w:rPr>
        <w:t>Substituer</w:t>
      </w:r>
      <w:r w:rsidRPr="00CE4920">
        <w:rPr>
          <w:lang w:val="fr-FR"/>
        </w:rPr>
        <w:t xml:space="preserve"> au texte existant</w:t>
      </w:r>
    </w:p>
    <w:p w14:paraId="38D88EC8" w14:textId="48A4F116" w:rsidR="0054008B" w:rsidRDefault="0054008B" w:rsidP="00995CA4">
      <w:pPr>
        <w:tabs>
          <w:tab w:val="left" w:pos="2268"/>
        </w:tabs>
        <w:autoSpaceDN w:val="0"/>
        <w:spacing w:after="120"/>
        <w:ind w:left="2268" w:right="1134" w:hanging="1134"/>
        <w:jc w:val="both"/>
        <w:rPr>
          <w:rFonts w:eastAsiaTheme="minorHAnsi"/>
          <w:lang w:val="fr-FR"/>
        </w:rPr>
      </w:pPr>
      <w:r w:rsidRPr="0054008B">
        <w:rPr>
          <w:rFonts w:eastAsiaTheme="minorHAnsi"/>
          <w:lang w:val="fr-FR"/>
        </w:rPr>
        <w:t>2.1.5.2</w:t>
      </w:r>
      <w:r>
        <w:rPr>
          <w:rFonts w:eastAsiaTheme="minorHAnsi"/>
          <w:lang w:val="fr-FR"/>
        </w:rPr>
        <w:tab/>
      </w:r>
      <w:r w:rsidRPr="0054008B">
        <w:rPr>
          <w:rFonts w:eastAsiaTheme="minorHAnsi"/>
          <w:lang w:val="fr-FR"/>
        </w:rPr>
        <w:t>Modifier pour lire comme suit :</w:t>
      </w:r>
    </w:p>
    <w:p w14:paraId="07F59E01" w14:textId="4BBFF327" w:rsidR="00995CA4" w:rsidRPr="00CE4920" w:rsidRDefault="0054008B" w:rsidP="00286FC9">
      <w:pPr>
        <w:tabs>
          <w:tab w:val="left" w:pos="2268"/>
        </w:tabs>
        <w:autoSpaceDN w:val="0"/>
        <w:spacing w:after="120"/>
        <w:ind w:left="2268" w:right="1134" w:hanging="1134"/>
        <w:jc w:val="both"/>
        <w:rPr>
          <w:rFonts w:eastAsiaTheme="minorHAnsi"/>
          <w:lang w:val="fr-FR"/>
        </w:rPr>
      </w:pPr>
      <w:r w:rsidRPr="00CE4920">
        <w:rPr>
          <w:lang w:val="fr-FR"/>
        </w:rPr>
        <w:t>«</w:t>
      </w:r>
      <w:r w:rsidR="00286FC9">
        <w:rPr>
          <w:lang w:val="fr-FR"/>
        </w:rPr>
        <w:t> </w:t>
      </w:r>
      <w:r w:rsidR="00995CA4" w:rsidRPr="00CE4920">
        <w:rPr>
          <w:rFonts w:eastAsiaTheme="minorHAnsi"/>
          <w:lang w:val="fr-FR"/>
        </w:rPr>
        <w:t>2.1.5.2</w:t>
      </w:r>
      <w:r w:rsidR="00995CA4" w:rsidRPr="00CE4920">
        <w:rPr>
          <w:rFonts w:eastAsiaTheme="minorHAnsi"/>
          <w:lang w:val="fr-FR"/>
        </w:rPr>
        <w:tab/>
        <w:t xml:space="preserve">Ces objets peuvent en outre contenir des piles ou batteries. Les piles et batteries au lithium </w:t>
      </w:r>
      <w:r w:rsidR="00995CA4" w:rsidRPr="00CE4920">
        <w:rPr>
          <w:iCs/>
          <w:lang w:val="fr-FR"/>
        </w:rPr>
        <w:t>métal, au lithium ionique et au sodium ionique</w:t>
      </w:r>
      <w:r w:rsidR="00995CA4" w:rsidRPr="00CE4920">
        <w:rPr>
          <w:rFonts w:eastAsiaTheme="minorHAnsi"/>
          <w:lang w:val="fr-FR"/>
        </w:rPr>
        <w:t xml:space="preserve"> qui font partie intégrante d’un objet doivent être conformes à un type dont il a été démontré qu’il satisfait aux prescriptions en matière d’épreuves du </w:t>
      </w:r>
      <w:r w:rsidR="00995CA4" w:rsidRPr="00CE4920">
        <w:rPr>
          <w:rFonts w:eastAsiaTheme="minorHAnsi"/>
          <w:i/>
          <w:iCs/>
          <w:lang w:val="fr-FR"/>
        </w:rPr>
        <w:t>Manuel d’épreuves et de critères</w:t>
      </w:r>
      <w:r w:rsidR="00995CA4" w:rsidRPr="00CE4920">
        <w:rPr>
          <w:rFonts w:eastAsiaTheme="minorHAnsi"/>
          <w:lang w:val="fr-FR"/>
        </w:rPr>
        <w:t xml:space="preserve">, troisième partie, sous-section 38.3. Pour les objets contenant des prototypes de préproduction de piles ou batteries au lithium </w:t>
      </w:r>
      <w:r w:rsidR="00995CA4" w:rsidRPr="00CE4920">
        <w:rPr>
          <w:iCs/>
          <w:lang w:val="fr-FR"/>
        </w:rPr>
        <w:t xml:space="preserve">métal, au lithium ionique </w:t>
      </w:r>
      <w:r w:rsidR="00995CA4">
        <w:rPr>
          <w:iCs/>
          <w:lang w:val="fr-FR"/>
        </w:rPr>
        <w:t>ou</w:t>
      </w:r>
      <w:r w:rsidR="00995CA4" w:rsidRPr="00CE4920">
        <w:rPr>
          <w:iCs/>
          <w:lang w:val="fr-FR"/>
        </w:rPr>
        <w:t xml:space="preserve"> au sodium ionique,</w:t>
      </w:r>
      <w:r w:rsidR="00995CA4" w:rsidRPr="00CE4920">
        <w:rPr>
          <w:rFonts w:eastAsiaTheme="minorHAnsi"/>
          <w:lang w:val="fr-FR"/>
        </w:rPr>
        <w:t xml:space="preserve"> transportés pour être éprouvés, ou pour les objets contenant des piles ou batteries au lithium </w:t>
      </w:r>
      <w:r w:rsidR="00995CA4" w:rsidRPr="00CE4920">
        <w:rPr>
          <w:iCs/>
          <w:lang w:val="fr-FR"/>
        </w:rPr>
        <w:t xml:space="preserve">métal, au lithium ionique </w:t>
      </w:r>
      <w:r w:rsidR="00995CA4">
        <w:rPr>
          <w:iCs/>
          <w:lang w:val="fr-FR"/>
        </w:rPr>
        <w:t>ou</w:t>
      </w:r>
      <w:r w:rsidR="00995CA4" w:rsidRPr="00CE4920">
        <w:rPr>
          <w:iCs/>
          <w:lang w:val="fr-FR"/>
        </w:rPr>
        <w:t xml:space="preserve"> au sodium ionique,</w:t>
      </w:r>
      <w:r w:rsidR="00995CA4" w:rsidRPr="00CE4920">
        <w:rPr>
          <w:rFonts w:eastAsiaTheme="minorHAnsi"/>
          <w:lang w:val="fr-FR"/>
        </w:rPr>
        <w:t xml:space="preserve"> de séries de production d’au plus 100 piles ou batteries, les prescriptions de la disposition spéciale 310 du chapitre 3.3 s’appliquent.</w:t>
      </w:r>
      <w:r w:rsidR="00286FC9">
        <w:rPr>
          <w:lang w:val="fr-FR"/>
        </w:rPr>
        <w:t> </w:t>
      </w:r>
      <w:r w:rsidRPr="00CE4920">
        <w:rPr>
          <w:lang w:val="fr-FR"/>
        </w:rPr>
        <w:t>»</w:t>
      </w:r>
    </w:p>
    <w:p w14:paraId="6AC6462A" w14:textId="6E8628E0" w:rsidR="00E74A94" w:rsidRPr="00CE4920" w:rsidRDefault="00E74A94" w:rsidP="00E74A94">
      <w:pPr>
        <w:keepNext/>
        <w:keepLines/>
        <w:tabs>
          <w:tab w:val="right" w:pos="851"/>
        </w:tabs>
        <w:spacing w:before="240" w:after="120" w:line="240" w:lineRule="exact"/>
        <w:ind w:left="1134" w:right="1134" w:hanging="1134"/>
        <w:rPr>
          <w:b/>
          <w:lang w:val="fr-FR"/>
        </w:rPr>
      </w:pPr>
      <w:r w:rsidRPr="00CE4920">
        <w:rPr>
          <w:b/>
          <w:lang w:val="fr-FR"/>
        </w:rPr>
        <w:tab/>
      </w:r>
      <w:r w:rsidR="00AD41F1">
        <w:rPr>
          <w:b/>
          <w:lang w:val="fr-FR"/>
        </w:rPr>
        <w:t>2.</w:t>
      </w:r>
      <w:r w:rsidRPr="00CE4920">
        <w:rPr>
          <w:b/>
          <w:lang w:val="fr-FR"/>
        </w:rPr>
        <w:tab/>
        <w:t>Chapitre 3.3, DS 188, amendement à l’alinéa f)</w:t>
      </w:r>
    </w:p>
    <w:p w14:paraId="537EB1BE" w14:textId="77777777" w:rsidR="00E74A94" w:rsidRPr="00CE4920" w:rsidRDefault="00E74A94" w:rsidP="00E74A94">
      <w:pPr>
        <w:pStyle w:val="SingleTxtG"/>
        <w:rPr>
          <w:lang w:val="fr-FR"/>
        </w:rPr>
      </w:pPr>
      <w:r w:rsidRPr="00CE4920">
        <w:rPr>
          <w:i/>
          <w:lang w:val="fr-FR"/>
        </w:rPr>
        <w:t>Substituer</w:t>
      </w:r>
      <w:r w:rsidRPr="00CE4920">
        <w:rPr>
          <w:lang w:val="fr-FR"/>
        </w:rPr>
        <w:t xml:space="preserve"> au texte existant</w:t>
      </w:r>
    </w:p>
    <w:p w14:paraId="3E75A2DC" w14:textId="1AE65F13" w:rsidR="00E74A94" w:rsidRPr="00CE4920" w:rsidRDefault="00E74A94" w:rsidP="00E74A94">
      <w:pPr>
        <w:pStyle w:val="SingleTxtG"/>
        <w:rPr>
          <w:lang w:val="fr-FR"/>
        </w:rPr>
      </w:pPr>
      <w:r w:rsidRPr="00CE4920">
        <w:rPr>
          <w:lang w:val="fr-FR"/>
        </w:rPr>
        <w:t>Modifier l’alinéa f) comme suit :</w:t>
      </w:r>
    </w:p>
    <w:p w14:paraId="41F5ADC9" w14:textId="77777777" w:rsidR="00E74A94" w:rsidRPr="00CE4920" w:rsidRDefault="00E74A94" w:rsidP="00E74A94">
      <w:pPr>
        <w:pStyle w:val="SingleTxtG"/>
        <w:ind w:left="1701" w:hanging="567"/>
        <w:rPr>
          <w:lang w:val="fr-FR"/>
        </w:rPr>
      </w:pPr>
      <w:r w:rsidRPr="00CE4920">
        <w:rPr>
          <w:rFonts w:eastAsia="Noto Serif CJK SC"/>
          <w:lang w:val="fr-FR"/>
        </w:rPr>
        <w:t>−</w:t>
      </w:r>
      <w:r w:rsidRPr="00CE4920">
        <w:rPr>
          <w:rFonts w:eastAsia="Noto Serif CJK SC"/>
          <w:lang w:val="fr-FR"/>
        </w:rPr>
        <w:tab/>
      </w:r>
      <w:r w:rsidRPr="00CE4920">
        <w:rPr>
          <w:lang w:val="fr-FR"/>
        </w:rPr>
        <w:t>Dans la première phrase, remplacer « marque de pile au lithium » par « marque pour les batteries » ;</w:t>
      </w:r>
    </w:p>
    <w:p w14:paraId="0918C606" w14:textId="77777777" w:rsidR="00E74A94" w:rsidRPr="00CE4920" w:rsidRDefault="00E74A94" w:rsidP="00E74A94">
      <w:pPr>
        <w:pStyle w:val="SingleTxtG"/>
        <w:ind w:left="1701" w:hanging="567"/>
        <w:rPr>
          <w:lang w:val="fr-FR"/>
        </w:rPr>
      </w:pPr>
      <w:r w:rsidRPr="00CE4920">
        <w:rPr>
          <w:rFonts w:eastAsia="Noto Serif CJK SC"/>
          <w:lang w:val="fr-FR"/>
        </w:rPr>
        <w:t>−</w:t>
      </w:r>
      <w:r w:rsidRPr="00CE4920">
        <w:rPr>
          <w:rFonts w:eastAsia="Noto Serif CJK SC"/>
          <w:lang w:val="fr-FR"/>
        </w:rPr>
        <w:tab/>
      </w:r>
      <w:r w:rsidRPr="00CE4920">
        <w:rPr>
          <w:lang w:val="fr-FR"/>
        </w:rPr>
        <w:t>Dans la première phrase du dernier paragraphe, remplacer « marque de pile au lithium » par « marque pour les batteries » ;</w:t>
      </w:r>
    </w:p>
    <w:p w14:paraId="16718B08" w14:textId="6D575165" w:rsidR="00E74A94" w:rsidRPr="00CE4920" w:rsidRDefault="00E74A94" w:rsidP="00E74A94">
      <w:pPr>
        <w:pStyle w:val="SingleTxtG"/>
        <w:ind w:left="1701" w:hanging="567"/>
        <w:rPr>
          <w:lang w:val="fr-FR"/>
        </w:rPr>
      </w:pPr>
      <w:r w:rsidRPr="00CE4920">
        <w:rPr>
          <w:rFonts w:eastAsia="Noto Serif CJK SC"/>
          <w:lang w:val="fr-FR"/>
        </w:rPr>
        <w:t>−</w:t>
      </w:r>
      <w:r w:rsidRPr="00CE4920">
        <w:rPr>
          <w:rFonts w:eastAsia="Noto Serif CJK SC"/>
          <w:lang w:val="fr-FR"/>
        </w:rPr>
        <w:tab/>
      </w:r>
      <w:r w:rsidRPr="00CE4920">
        <w:rPr>
          <w:lang w:val="fr-FR"/>
        </w:rPr>
        <w:t>Dans le nota, remplacer « (marque pour les piles au lithium) » par « (marque pour les batteries)</w:t>
      </w:r>
      <w:r w:rsidR="00826E8B">
        <w:rPr>
          <w:lang w:val="fr-FR"/>
        </w:rPr>
        <w:t>.</w:t>
      </w:r>
    </w:p>
    <w:p w14:paraId="1CEF63E3" w14:textId="17BF5ECA" w:rsidR="00E74A94" w:rsidRPr="00DD7AFA" w:rsidRDefault="00E74A94" w:rsidP="00DD7AFA">
      <w:pPr>
        <w:keepNext/>
        <w:keepLines/>
        <w:tabs>
          <w:tab w:val="right" w:pos="851"/>
        </w:tabs>
        <w:spacing w:before="240" w:after="120" w:line="240" w:lineRule="exact"/>
        <w:ind w:left="1134" w:right="1134" w:hanging="1134"/>
        <w:rPr>
          <w:b/>
          <w:lang w:val="fr-FR"/>
        </w:rPr>
      </w:pPr>
      <w:r w:rsidRPr="00DD7AFA">
        <w:rPr>
          <w:b/>
          <w:lang w:val="fr-FR"/>
        </w:rPr>
        <w:lastRenderedPageBreak/>
        <w:tab/>
      </w:r>
      <w:r w:rsidR="00AD41F1" w:rsidRPr="00F614C4">
        <w:rPr>
          <w:b/>
          <w:lang w:val="fr-FR"/>
        </w:rPr>
        <w:t>3.</w:t>
      </w:r>
      <w:r w:rsidRPr="00F614C4">
        <w:rPr>
          <w:b/>
          <w:lang w:val="fr-FR"/>
        </w:rPr>
        <w:t xml:space="preserve"> </w:t>
      </w:r>
      <w:r w:rsidRPr="00F614C4">
        <w:rPr>
          <w:b/>
          <w:lang w:val="fr-FR"/>
        </w:rPr>
        <w:tab/>
      </w:r>
      <w:r w:rsidRPr="00AF5BF0">
        <w:rPr>
          <w:b/>
          <w:lang w:val="fr-FR"/>
        </w:rPr>
        <w:t>Chapitre 4.1, 4.1.4.1, P006, nouveau point 5)</w:t>
      </w:r>
      <w:r w:rsidR="0004381E" w:rsidRPr="00AF5BF0">
        <w:rPr>
          <w:b/>
          <w:lang w:val="fr-FR"/>
        </w:rPr>
        <w:t xml:space="preserve">, </w:t>
      </w:r>
      <w:r w:rsidR="00F614C4" w:rsidRPr="00AF5BF0">
        <w:rPr>
          <w:b/>
          <w:lang w:val="fr-FR"/>
        </w:rPr>
        <w:t xml:space="preserve">dans la phrase d’introduction </w:t>
      </w:r>
      <w:r w:rsidR="0004381E" w:rsidRPr="00AF5BF0">
        <w:rPr>
          <w:b/>
          <w:lang w:val="fr-FR"/>
        </w:rPr>
        <w:t>avant les alinéas</w:t>
      </w:r>
    </w:p>
    <w:p w14:paraId="6323B91A" w14:textId="77777777" w:rsidR="000410F8" w:rsidRDefault="00F614C4" w:rsidP="00E74A94">
      <w:pPr>
        <w:pStyle w:val="SingleTxtG"/>
        <w:rPr>
          <w:iCs/>
          <w:lang w:val="fr-FR"/>
        </w:rPr>
      </w:pPr>
      <w:r>
        <w:rPr>
          <w:i/>
          <w:lang w:val="fr-FR"/>
        </w:rPr>
        <w:t xml:space="preserve">Au lieu de </w:t>
      </w:r>
      <w:r w:rsidR="002E0BDF" w:rsidRPr="00CE4920">
        <w:rPr>
          <w:iCs/>
          <w:lang w:val="fr-FR"/>
        </w:rPr>
        <w:t xml:space="preserve">préproduction de piles ou batteries au lithium lorsque ces prototypes sont transportés pour être éprouvés, ou des piles ou batteries au lithium </w:t>
      </w:r>
    </w:p>
    <w:p w14:paraId="26D7B4DD" w14:textId="0EC97F42" w:rsidR="00E74A94" w:rsidRDefault="008C63A9" w:rsidP="00E74A94">
      <w:pPr>
        <w:pStyle w:val="SingleTxtG"/>
        <w:rPr>
          <w:iCs/>
          <w:lang w:val="fr-FR"/>
        </w:rPr>
      </w:pPr>
      <w:r>
        <w:rPr>
          <w:i/>
          <w:lang w:val="fr-FR"/>
        </w:rPr>
        <w:t xml:space="preserve">lire </w:t>
      </w:r>
      <w:r w:rsidR="002E0BDF" w:rsidRPr="00CE4920">
        <w:rPr>
          <w:iCs/>
          <w:lang w:val="fr-FR"/>
        </w:rPr>
        <w:t xml:space="preserve">préproduction de piles </w:t>
      </w:r>
      <w:r w:rsidR="002E0BDF" w:rsidRPr="002E0BDF">
        <w:rPr>
          <w:iCs/>
          <w:lang w:val="fr-FR"/>
        </w:rPr>
        <w:t>ou batteries au lithium ou de piles ou batteries au sodium ionique lorsque ces prototypes sont transportés pour être éprouvés, ou des piles ou batteries au lithium ou des piles ou batteries au sodium ionique</w:t>
      </w:r>
    </w:p>
    <w:p w14:paraId="044C9CDF" w14:textId="4D4BC691" w:rsidR="007B6BCF" w:rsidRPr="00AF5BF0" w:rsidRDefault="007B6BCF" w:rsidP="007B6BCF">
      <w:pPr>
        <w:keepNext/>
        <w:keepLines/>
        <w:tabs>
          <w:tab w:val="right" w:pos="851"/>
        </w:tabs>
        <w:spacing w:before="240" w:after="120" w:line="240" w:lineRule="exact"/>
        <w:ind w:left="1134" w:right="1134" w:hanging="1134"/>
        <w:rPr>
          <w:b/>
          <w:lang w:val="fr-FR"/>
        </w:rPr>
      </w:pPr>
      <w:r w:rsidRPr="00C059EB">
        <w:rPr>
          <w:b/>
          <w:lang w:val="fr-FR"/>
        </w:rPr>
        <w:tab/>
      </w:r>
      <w:r w:rsidRPr="00AF5BF0">
        <w:rPr>
          <w:b/>
          <w:lang w:val="fr-FR"/>
        </w:rPr>
        <w:t>4.</w:t>
      </w:r>
      <w:r w:rsidRPr="00AF5BF0">
        <w:rPr>
          <w:b/>
          <w:lang w:val="fr-FR"/>
        </w:rPr>
        <w:tab/>
        <w:t xml:space="preserve">Chapitre 4.1, amendements à la P200, </w:t>
      </w:r>
      <w:r w:rsidR="00E8694D">
        <w:rPr>
          <w:b/>
          <w:lang w:val="fr-FR"/>
        </w:rPr>
        <w:t xml:space="preserve">premier </w:t>
      </w:r>
      <w:r w:rsidRPr="00AF5BF0">
        <w:rPr>
          <w:b/>
          <w:lang w:val="fr-FR"/>
        </w:rPr>
        <w:t xml:space="preserve">amendement </w:t>
      </w:r>
      <w:r w:rsidR="00E8694D">
        <w:rPr>
          <w:b/>
          <w:lang w:val="fr-FR"/>
        </w:rPr>
        <w:t>aux</w:t>
      </w:r>
      <w:r w:rsidRPr="00AF5BF0">
        <w:rPr>
          <w:b/>
          <w:lang w:val="fr-FR"/>
        </w:rPr>
        <w:t xml:space="preserve"> tableaux</w:t>
      </w:r>
      <w:r w:rsidR="00E8694D">
        <w:rPr>
          <w:b/>
          <w:lang w:val="fr-FR"/>
        </w:rPr>
        <w:t xml:space="preserve"> </w:t>
      </w:r>
      <w:r w:rsidR="00E8694D" w:rsidRPr="00846D0A">
        <w:rPr>
          <w:b/>
          <w:lang w:val="fr-FR"/>
        </w:rPr>
        <w:t>(« </w:t>
      </w:r>
      <w:r w:rsidR="00957D1A" w:rsidRPr="00957D1A">
        <w:rPr>
          <w:rFonts w:eastAsiaTheme="minorHAnsi"/>
          <w:b/>
          <w:lang w:val="fr-FR"/>
        </w:rPr>
        <w:t>Dans les tableaux, placer les notes de bas de page directement sous l’instruction d’emballage, aux pages où elles apparaissent</w:t>
      </w:r>
      <w:r w:rsidR="00E8694D" w:rsidRPr="00846D0A">
        <w:rPr>
          <w:rFonts w:eastAsiaTheme="minorHAnsi"/>
          <w:b/>
          <w:lang w:val="fr-FR"/>
        </w:rPr>
        <w:t>. »</w:t>
      </w:r>
      <w:r w:rsidR="00E8694D" w:rsidRPr="00846D0A">
        <w:rPr>
          <w:b/>
          <w:lang w:val="fr-FR"/>
        </w:rPr>
        <w:t>)</w:t>
      </w:r>
    </w:p>
    <w:p w14:paraId="0A2AC206" w14:textId="77777777" w:rsidR="007B6BCF" w:rsidRPr="00AF5BF0" w:rsidRDefault="007B6BCF" w:rsidP="007B6BCF">
      <w:pPr>
        <w:pStyle w:val="SingleTxtG"/>
        <w:rPr>
          <w:i/>
          <w:lang w:val="fr-FR"/>
        </w:rPr>
      </w:pPr>
      <w:r w:rsidRPr="00AF5BF0">
        <w:rPr>
          <w:i/>
          <w:lang w:val="fr-FR"/>
        </w:rPr>
        <w:t>Supprimer</w:t>
      </w:r>
    </w:p>
    <w:p w14:paraId="513B147C" w14:textId="5E821082" w:rsidR="00AD41F1" w:rsidRPr="00846D0A" w:rsidRDefault="00AD41F1" w:rsidP="00AD41F1">
      <w:pPr>
        <w:keepNext/>
        <w:keepLines/>
        <w:tabs>
          <w:tab w:val="right" w:pos="851"/>
        </w:tabs>
        <w:spacing w:before="240" w:after="120" w:line="240" w:lineRule="exact"/>
        <w:ind w:left="1134" w:right="1134" w:hanging="1134"/>
        <w:rPr>
          <w:b/>
          <w:lang w:val="fr-FR"/>
        </w:rPr>
      </w:pPr>
      <w:r w:rsidRPr="00C059EB">
        <w:rPr>
          <w:b/>
          <w:lang w:val="fr-FR"/>
        </w:rPr>
        <w:tab/>
      </w:r>
      <w:r w:rsidR="00AA4C74" w:rsidRPr="00846D0A">
        <w:rPr>
          <w:b/>
          <w:lang w:val="fr-FR"/>
        </w:rPr>
        <w:t>5</w:t>
      </w:r>
      <w:r w:rsidRPr="00846D0A">
        <w:rPr>
          <w:b/>
          <w:lang w:val="fr-FR"/>
        </w:rPr>
        <w:t>.</w:t>
      </w:r>
      <w:r w:rsidRPr="00846D0A">
        <w:rPr>
          <w:b/>
          <w:lang w:val="fr-FR"/>
        </w:rPr>
        <w:tab/>
        <w:t>Chapitre 4.1, amendements à la P200, premier amendement pour le tableau 2 (« </w:t>
      </w:r>
      <w:r w:rsidRPr="00846D0A">
        <w:rPr>
          <w:rFonts w:eastAsiaTheme="minorHAnsi"/>
          <w:b/>
          <w:lang w:val="fr-FR"/>
        </w:rPr>
        <w:t xml:space="preserve">Dans le tableau 2, renuméroter les notes de bas de page </w:t>
      </w:r>
      <w:r w:rsidRPr="00846D0A">
        <w:rPr>
          <w:rFonts w:eastAsiaTheme="minorHAnsi"/>
          <w:b/>
          <w:vertAlign w:val="superscript"/>
          <w:lang w:val="fr-FR"/>
        </w:rPr>
        <w:t>b</w:t>
      </w:r>
      <w:r w:rsidRPr="00846D0A">
        <w:rPr>
          <w:rFonts w:eastAsiaTheme="minorHAnsi"/>
          <w:b/>
          <w:lang w:val="fr-FR"/>
        </w:rPr>
        <w:t xml:space="preserve"> à </w:t>
      </w:r>
      <w:r w:rsidRPr="00846D0A">
        <w:rPr>
          <w:rFonts w:eastAsiaTheme="minorHAnsi"/>
          <w:b/>
          <w:vertAlign w:val="superscript"/>
          <w:lang w:val="fr-FR"/>
        </w:rPr>
        <w:t>d</w:t>
      </w:r>
      <w:r w:rsidRPr="00846D0A">
        <w:rPr>
          <w:rFonts w:eastAsiaTheme="minorHAnsi"/>
          <w:b/>
          <w:lang w:val="fr-FR"/>
        </w:rPr>
        <w:t xml:space="preserve"> en tant que notes </w:t>
      </w:r>
      <w:r w:rsidRPr="00846D0A">
        <w:rPr>
          <w:rFonts w:eastAsiaTheme="minorHAnsi"/>
          <w:b/>
          <w:vertAlign w:val="superscript"/>
          <w:lang w:val="fr-FR"/>
        </w:rPr>
        <w:t>c</w:t>
      </w:r>
      <w:r w:rsidRPr="00846D0A">
        <w:rPr>
          <w:rFonts w:eastAsiaTheme="minorHAnsi"/>
          <w:b/>
          <w:lang w:val="fr-FR"/>
        </w:rPr>
        <w:t xml:space="preserve"> à </w:t>
      </w:r>
      <w:r w:rsidRPr="00846D0A">
        <w:rPr>
          <w:rFonts w:eastAsiaTheme="minorHAnsi"/>
          <w:b/>
          <w:vertAlign w:val="superscript"/>
          <w:lang w:val="fr-FR"/>
        </w:rPr>
        <w:t>e</w:t>
      </w:r>
      <w:r w:rsidRPr="00846D0A">
        <w:rPr>
          <w:rFonts w:eastAsiaTheme="minorHAnsi"/>
          <w:b/>
          <w:lang w:val="fr-FR"/>
        </w:rPr>
        <w:t>. »</w:t>
      </w:r>
      <w:r w:rsidRPr="00846D0A">
        <w:rPr>
          <w:b/>
          <w:lang w:val="fr-FR"/>
        </w:rPr>
        <w:t>)</w:t>
      </w:r>
    </w:p>
    <w:p w14:paraId="628DC44E" w14:textId="77777777" w:rsidR="00AD41F1" w:rsidRPr="00846D0A" w:rsidRDefault="00AD41F1" w:rsidP="00AD41F1">
      <w:pPr>
        <w:pStyle w:val="SingleTxtG"/>
        <w:rPr>
          <w:i/>
          <w:lang w:val="fr-FR"/>
        </w:rPr>
      </w:pPr>
      <w:r w:rsidRPr="00846D0A">
        <w:rPr>
          <w:i/>
          <w:lang w:val="fr-FR"/>
        </w:rPr>
        <w:t>Supprimer</w:t>
      </w:r>
    </w:p>
    <w:p w14:paraId="73B0D207" w14:textId="1E7030D6" w:rsidR="00AD41F1" w:rsidRPr="00846D0A" w:rsidRDefault="00AD41F1" w:rsidP="00AD41F1">
      <w:pPr>
        <w:keepNext/>
        <w:keepLines/>
        <w:tabs>
          <w:tab w:val="right" w:pos="851"/>
        </w:tabs>
        <w:spacing w:before="240" w:after="120" w:line="240" w:lineRule="exact"/>
        <w:ind w:left="1134" w:right="1134" w:hanging="1134"/>
        <w:rPr>
          <w:b/>
          <w:lang w:val="fr-FR"/>
        </w:rPr>
      </w:pPr>
      <w:r w:rsidRPr="00846D0A">
        <w:rPr>
          <w:b/>
          <w:lang w:val="fr-FR"/>
        </w:rPr>
        <w:tab/>
      </w:r>
      <w:r w:rsidR="00AA4C74" w:rsidRPr="00846D0A">
        <w:rPr>
          <w:b/>
          <w:lang w:val="fr-FR"/>
        </w:rPr>
        <w:t>6</w:t>
      </w:r>
      <w:r w:rsidRPr="00846D0A">
        <w:rPr>
          <w:b/>
          <w:lang w:val="fr-FR"/>
        </w:rPr>
        <w:t>.</w:t>
      </w:r>
      <w:r w:rsidRPr="00846D0A">
        <w:rPr>
          <w:b/>
          <w:lang w:val="fr-FR"/>
        </w:rPr>
        <w:tab/>
        <w:t xml:space="preserve">Chapitre 4.1, amendements à la P200, dernier amendement pour le tableau 2 (« Pour le tableau 2, dans la note de bas de page renumérotée </w:t>
      </w:r>
      <w:r w:rsidRPr="00846D0A">
        <w:rPr>
          <w:b/>
          <w:vertAlign w:val="superscript"/>
          <w:lang w:val="fr-FR"/>
        </w:rPr>
        <w:t>c</w:t>
      </w:r>
      <w:r w:rsidRPr="00846D0A">
        <w:rPr>
          <w:b/>
          <w:lang w:val="fr-FR"/>
        </w:rPr>
        <w:t>, remplacer le diagramme par : </w:t>
      </w:r>
      <w:r w:rsidRPr="00846D0A">
        <w:rPr>
          <w:rFonts w:eastAsiaTheme="minorHAnsi"/>
          <w:b/>
          <w:lang w:val="fr-FR"/>
        </w:rPr>
        <w:t>»</w:t>
      </w:r>
      <w:r w:rsidRPr="00846D0A">
        <w:rPr>
          <w:b/>
          <w:lang w:val="fr-FR"/>
        </w:rPr>
        <w:t>)</w:t>
      </w:r>
    </w:p>
    <w:p w14:paraId="617653BF" w14:textId="77777777" w:rsidR="00AD41F1" w:rsidRPr="00B625F1" w:rsidRDefault="00AD41F1" w:rsidP="00AD41F1">
      <w:pPr>
        <w:pStyle w:val="SingleTxtG"/>
        <w:rPr>
          <w:i/>
          <w:iCs/>
          <w:lang w:val="fr-FR"/>
        </w:rPr>
      </w:pPr>
      <w:r w:rsidRPr="00846D0A">
        <w:rPr>
          <w:i/>
          <w:lang w:val="fr-FR"/>
        </w:rPr>
        <w:t xml:space="preserve">Au lieu de </w:t>
      </w:r>
      <w:r w:rsidRPr="00846D0A">
        <w:rPr>
          <w:lang w:val="fr-FR"/>
        </w:rPr>
        <w:t xml:space="preserve">dans la note de bas de page renumérotée </w:t>
      </w:r>
      <w:r w:rsidRPr="00846D0A">
        <w:rPr>
          <w:b/>
          <w:bCs/>
          <w:vertAlign w:val="superscript"/>
          <w:lang w:val="fr-FR"/>
        </w:rPr>
        <w:t>c</w:t>
      </w:r>
      <w:r w:rsidRPr="00846D0A">
        <w:rPr>
          <w:lang w:val="fr-FR"/>
        </w:rPr>
        <w:t xml:space="preserve"> </w:t>
      </w:r>
      <w:r w:rsidRPr="00846D0A">
        <w:rPr>
          <w:i/>
          <w:iCs/>
          <w:lang w:val="fr-FR"/>
        </w:rPr>
        <w:t xml:space="preserve">lire </w:t>
      </w:r>
      <w:r w:rsidRPr="00846D0A">
        <w:rPr>
          <w:lang w:val="fr-FR"/>
        </w:rPr>
        <w:t>dans la note de bas de page relative au taux de remplissage pour le numéro ONU 1965</w:t>
      </w:r>
    </w:p>
    <w:p w14:paraId="1377B44F" w14:textId="53359C96" w:rsidR="00AD41F1" w:rsidRPr="003136F0" w:rsidRDefault="00AD41F1" w:rsidP="00AD41F1">
      <w:pPr>
        <w:keepNext/>
        <w:keepLines/>
        <w:tabs>
          <w:tab w:val="right" w:pos="851"/>
        </w:tabs>
        <w:spacing w:before="240" w:after="120" w:line="240" w:lineRule="exact"/>
        <w:ind w:left="1134" w:right="1134" w:hanging="1134"/>
        <w:rPr>
          <w:b/>
          <w:lang w:val="fr-FR"/>
        </w:rPr>
      </w:pPr>
      <w:r w:rsidRPr="00C059EB">
        <w:rPr>
          <w:b/>
          <w:lang w:val="fr-FR"/>
        </w:rPr>
        <w:tab/>
      </w:r>
      <w:r w:rsidR="00AA4C74" w:rsidRPr="003136F0">
        <w:rPr>
          <w:b/>
          <w:lang w:val="fr-FR"/>
        </w:rPr>
        <w:t>7</w:t>
      </w:r>
      <w:r w:rsidRPr="003136F0">
        <w:rPr>
          <w:b/>
          <w:lang w:val="fr-FR"/>
        </w:rPr>
        <w:t>.</w:t>
      </w:r>
      <w:r w:rsidRPr="003136F0">
        <w:rPr>
          <w:b/>
          <w:lang w:val="fr-FR"/>
        </w:rPr>
        <w:tab/>
        <w:t xml:space="preserve">Chapitre 4.1, amendements à la P200, amendement pour le tableau 3 </w:t>
      </w:r>
    </w:p>
    <w:p w14:paraId="724D0014" w14:textId="77777777" w:rsidR="00AD41F1" w:rsidRDefault="00AD41F1" w:rsidP="00AD41F1">
      <w:pPr>
        <w:pStyle w:val="SingleTxtG"/>
        <w:rPr>
          <w:i/>
          <w:lang w:val="fr-FR"/>
        </w:rPr>
      </w:pPr>
      <w:r w:rsidRPr="003136F0">
        <w:rPr>
          <w:i/>
          <w:lang w:val="fr-FR"/>
        </w:rPr>
        <w:t>Supprimer</w:t>
      </w:r>
    </w:p>
    <w:p w14:paraId="2EA1EBCA" w14:textId="1408DA4C" w:rsidR="00462C72" w:rsidRPr="00CE4920" w:rsidRDefault="00462C72" w:rsidP="00462C72">
      <w:pPr>
        <w:pStyle w:val="H23G"/>
        <w:rPr>
          <w:lang w:val="fr-FR"/>
        </w:rPr>
      </w:pPr>
      <w:r w:rsidRPr="00CE4920">
        <w:rPr>
          <w:lang w:val="fr-FR"/>
        </w:rPr>
        <w:tab/>
      </w:r>
      <w:r w:rsidR="00AA4C74">
        <w:rPr>
          <w:lang w:val="fr-FR"/>
        </w:rPr>
        <w:t>8</w:t>
      </w:r>
      <w:r w:rsidR="00722C08">
        <w:rPr>
          <w:lang w:val="fr-FR"/>
        </w:rPr>
        <w:t>.</w:t>
      </w:r>
      <w:r w:rsidRPr="00CE4920">
        <w:rPr>
          <w:lang w:val="fr-FR"/>
        </w:rPr>
        <w:t xml:space="preserve"> </w:t>
      </w:r>
      <w:r w:rsidRPr="00CE4920">
        <w:rPr>
          <w:lang w:val="fr-FR"/>
        </w:rPr>
        <w:tab/>
        <w:t>Chapitre 4.1, 4.1.4.3, LP03, nouveau point 4)</w:t>
      </w:r>
      <w:r w:rsidR="006942C4" w:rsidRPr="006942C4">
        <w:rPr>
          <w:lang w:val="fr-FR"/>
        </w:rPr>
        <w:t xml:space="preserve">, </w:t>
      </w:r>
      <w:r w:rsidR="005A7DEF">
        <w:rPr>
          <w:lang w:val="fr-FR"/>
        </w:rPr>
        <w:t xml:space="preserve">dans la phrase </w:t>
      </w:r>
      <w:r w:rsidR="005A7DEF" w:rsidRPr="00E26E06">
        <w:rPr>
          <w:lang w:val="fr-FR"/>
        </w:rPr>
        <w:t>d’introduction</w:t>
      </w:r>
      <w:r w:rsidR="006942C4" w:rsidRPr="00E26E06">
        <w:rPr>
          <w:lang w:val="fr-FR"/>
        </w:rPr>
        <w:t xml:space="preserve"> avant les alinéas</w:t>
      </w:r>
    </w:p>
    <w:p w14:paraId="6810B80D" w14:textId="5520005F" w:rsidR="00434A8C" w:rsidRDefault="00B56F82" w:rsidP="00462C72">
      <w:pPr>
        <w:pStyle w:val="SingleTxtG"/>
        <w:rPr>
          <w:iCs/>
          <w:lang w:val="fr-FR"/>
        </w:rPr>
      </w:pPr>
      <w:r>
        <w:rPr>
          <w:i/>
          <w:lang w:val="fr-FR"/>
        </w:rPr>
        <w:t xml:space="preserve">Au lieu de </w:t>
      </w:r>
      <w:r w:rsidR="00434A8C" w:rsidRPr="00CE4920">
        <w:rPr>
          <w:iCs/>
          <w:lang w:val="fr-FR"/>
        </w:rPr>
        <w:t>préproduction de piles ou batteries au lithium lorsque ces prototypes sont transportés pour être éprouvés, ou des piles ou batteries au lithium produites</w:t>
      </w:r>
      <w:r>
        <w:rPr>
          <w:iCs/>
          <w:lang w:val="fr-FR"/>
        </w:rPr>
        <w:t xml:space="preserve">, </w:t>
      </w:r>
    </w:p>
    <w:p w14:paraId="704101C3" w14:textId="4DBCCC66" w:rsidR="00B56F82" w:rsidRPr="00CE4920" w:rsidRDefault="00B56F82" w:rsidP="00462C72">
      <w:pPr>
        <w:pStyle w:val="SingleTxtG"/>
        <w:rPr>
          <w:lang w:val="fr-FR"/>
        </w:rPr>
      </w:pPr>
      <w:r w:rsidRPr="00B56F82">
        <w:rPr>
          <w:i/>
          <w:lang w:val="fr-FR"/>
        </w:rPr>
        <w:t xml:space="preserve">lire </w:t>
      </w:r>
      <w:r w:rsidRPr="00B56F82">
        <w:rPr>
          <w:iCs/>
          <w:lang w:val="fr-FR"/>
        </w:rPr>
        <w:t>préproduction de piles ou batteries au lithium ou de piles ou batteries au sodium ionique lorsque ces prototypes sont transportés pour être éprouvés, ou des piles ou batteries au lithium ou des piles ou batteries au sodium ionique produites</w:t>
      </w:r>
    </w:p>
    <w:p w14:paraId="4DB9DD31" w14:textId="2AE7B9B4" w:rsidR="00462C72" w:rsidRPr="00CE4920" w:rsidRDefault="00462C72" w:rsidP="00462C72">
      <w:pPr>
        <w:pStyle w:val="H23G"/>
        <w:rPr>
          <w:lang w:val="fr-FR"/>
        </w:rPr>
      </w:pPr>
      <w:r w:rsidRPr="00CE4920">
        <w:rPr>
          <w:lang w:val="fr-FR"/>
        </w:rPr>
        <w:tab/>
      </w:r>
      <w:r w:rsidR="00AA4C74">
        <w:rPr>
          <w:lang w:val="fr-FR"/>
        </w:rPr>
        <w:t>9</w:t>
      </w:r>
      <w:r w:rsidR="00722C08">
        <w:rPr>
          <w:lang w:val="fr-FR"/>
        </w:rPr>
        <w:t>.</w:t>
      </w:r>
      <w:r w:rsidRPr="00CE4920">
        <w:rPr>
          <w:lang w:val="fr-FR"/>
        </w:rPr>
        <w:t xml:space="preserve"> </w:t>
      </w:r>
      <w:r w:rsidRPr="00CE4920">
        <w:rPr>
          <w:lang w:val="fr-FR"/>
        </w:rPr>
        <w:tab/>
        <w:t xml:space="preserve">Chapitre 5.2, amendement au </w:t>
      </w:r>
      <w:r w:rsidRPr="00CE4920">
        <w:rPr>
          <w:rFonts w:eastAsia="SimSun"/>
          <w:lang w:val="fr-FR"/>
        </w:rPr>
        <w:t>5.2.1.9</w:t>
      </w:r>
    </w:p>
    <w:p w14:paraId="6E678880" w14:textId="77777777" w:rsidR="00462C72" w:rsidRPr="00CE4920" w:rsidRDefault="00462C72" w:rsidP="00462C72">
      <w:pPr>
        <w:pStyle w:val="SingleTxtG"/>
        <w:rPr>
          <w:lang w:val="fr-FR"/>
        </w:rPr>
      </w:pPr>
      <w:r w:rsidRPr="00CE4920">
        <w:rPr>
          <w:i/>
          <w:lang w:val="fr-FR"/>
        </w:rPr>
        <w:t>Substituer</w:t>
      </w:r>
      <w:r w:rsidRPr="00CE4920">
        <w:rPr>
          <w:lang w:val="fr-FR"/>
        </w:rPr>
        <w:t xml:space="preserve"> au texte existant</w:t>
      </w:r>
    </w:p>
    <w:p w14:paraId="14EC7F54" w14:textId="0724D2A6" w:rsidR="00462C72" w:rsidRPr="00CE4920" w:rsidRDefault="00462C72" w:rsidP="00462C72">
      <w:pPr>
        <w:pStyle w:val="SingleTxtG"/>
        <w:ind w:left="2127" w:right="566" w:hanging="993"/>
        <w:rPr>
          <w:bCs/>
          <w:lang w:val="fr-FR"/>
        </w:rPr>
      </w:pPr>
      <w:r w:rsidRPr="00CE4920">
        <w:rPr>
          <w:bCs/>
          <w:iCs/>
          <w:lang w:val="fr-FR"/>
        </w:rPr>
        <w:t>5.2.1.9</w:t>
      </w:r>
      <w:r w:rsidRPr="00CE4920">
        <w:rPr>
          <w:bCs/>
          <w:iCs/>
          <w:lang w:val="fr-FR"/>
        </w:rPr>
        <w:tab/>
      </w:r>
      <w:r w:rsidR="0085618D">
        <w:rPr>
          <w:bCs/>
          <w:iCs/>
          <w:lang w:val="fr-FR"/>
        </w:rPr>
        <w:tab/>
      </w:r>
      <w:r w:rsidRPr="00CE4920">
        <w:rPr>
          <w:bCs/>
          <w:lang w:val="fr-FR"/>
        </w:rPr>
        <w:t>Modifier le titre pour lire « </w:t>
      </w:r>
      <w:r w:rsidRPr="001F3EFB">
        <w:rPr>
          <w:b/>
          <w:lang w:val="fr-FR"/>
        </w:rPr>
        <w:t>5.2.1.9</w:t>
      </w:r>
      <w:r>
        <w:rPr>
          <w:bCs/>
          <w:i/>
          <w:iCs/>
          <w:lang w:val="fr-FR"/>
        </w:rPr>
        <w:t xml:space="preserve"> </w:t>
      </w:r>
      <w:r w:rsidRPr="00CE4920">
        <w:rPr>
          <w:b/>
          <w:i/>
          <w:iCs/>
          <w:lang w:val="fr-FR"/>
        </w:rPr>
        <w:t>Marque pour les batteries</w:t>
      </w:r>
      <w:r w:rsidRPr="00CE4920">
        <w:rPr>
          <w:bCs/>
          <w:lang w:val="fr-FR"/>
        </w:rPr>
        <w:t> »</w:t>
      </w:r>
    </w:p>
    <w:p w14:paraId="4FDD717D" w14:textId="3F0BF1DA" w:rsidR="00462C72" w:rsidRPr="00CE4920" w:rsidRDefault="00462C72" w:rsidP="00462C72">
      <w:pPr>
        <w:pStyle w:val="H23G"/>
        <w:rPr>
          <w:lang w:val="fr-FR"/>
        </w:rPr>
      </w:pPr>
      <w:r w:rsidRPr="00CE4920">
        <w:rPr>
          <w:lang w:val="fr-FR"/>
        </w:rPr>
        <w:tab/>
      </w:r>
      <w:r w:rsidR="00AA4C74">
        <w:rPr>
          <w:lang w:val="fr-FR"/>
        </w:rPr>
        <w:t>10</w:t>
      </w:r>
      <w:r w:rsidR="00722C08">
        <w:rPr>
          <w:lang w:val="fr-FR"/>
        </w:rPr>
        <w:t>.</w:t>
      </w:r>
      <w:r w:rsidRPr="00CE4920">
        <w:rPr>
          <w:lang w:val="fr-FR"/>
        </w:rPr>
        <w:t xml:space="preserve"> </w:t>
      </w:r>
      <w:r w:rsidRPr="00CE4920">
        <w:rPr>
          <w:lang w:val="fr-FR"/>
        </w:rPr>
        <w:tab/>
        <w:t xml:space="preserve">Chapitre 5.2, 5.2.1.9.2, </w:t>
      </w:r>
      <w:r w:rsidR="00535A27">
        <w:rPr>
          <w:lang w:val="fr-FR"/>
        </w:rPr>
        <w:t xml:space="preserve">deuxième </w:t>
      </w:r>
      <w:r w:rsidRPr="00CE4920">
        <w:rPr>
          <w:iCs/>
          <w:lang w:val="fr-FR"/>
        </w:rPr>
        <w:t>amendement</w:t>
      </w:r>
    </w:p>
    <w:p w14:paraId="7D57962F" w14:textId="77777777" w:rsidR="00462C72" w:rsidRPr="00CE4920" w:rsidRDefault="00462C72" w:rsidP="00462C72">
      <w:pPr>
        <w:pStyle w:val="SingleTxtG"/>
        <w:rPr>
          <w:lang w:val="fr-FR"/>
        </w:rPr>
      </w:pPr>
      <w:r w:rsidRPr="00CE4920">
        <w:rPr>
          <w:i/>
          <w:lang w:val="fr-FR"/>
        </w:rPr>
        <w:t>Substituer</w:t>
      </w:r>
      <w:r w:rsidRPr="00CE4920">
        <w:rPr>
          <w:lang w:val="fr-FR"/>
        </w:rPr>
        <w:t xml:space="preserve"> au texte existant</w:t>
      </w:r>
    </w:p>
    <w:p w14:paraId="242977BF" w14:textId="77777777" w:rsidR="00462C72" w:rsidRPr="00CE4920" w:rsidRDefault="00462C72" w:rsidP="00462C72">
      <w:pPr>
        <w:pStyle w:val="SingleTxtG"/>
        <w:rPr>
          <w:lang w:val="fr-FR"/>
        </w:rPr>
      </w:pPr>
      <w:r w:rsidRPr="00CE4920">
        <w:rPr>
          <w:lang w:val="fr-FR"/>
        </w:rPr>
        <w:t>Remplacer le titre de la figure 5.2.1.9.2 par « </w:t>
      </w:r>
      <w:r w:rsidRPr="00CE4920">
        <w:rPr>
          <w:b/>
          <w:bCs/>
          <w:lang w:val="fr-FR"/>
        </w:rPr>
        <w:t>Marque pour les batteries</w:t>
      </w:r>
      <w:r w:rsidRPr="00CE4920">
        <w:rPr>
          <w:lang w:val="fr-FR"/>
        </w:rPr>
        <w:t> »</w:t>
      </w:r>
    </w:p>
    <w:p w14:paraId="65E398CD" w14:textId="5F29A3A1" w:rsidR="00462C72" w:rsidRPr="00CE4920" w:rsidRDefault="00462C72" w:rsidP="00462C72">
      <w:pPr>
        <w:pStyle w:val="H23G"/>
        <w:rPr>
          <w:lang w:val="fr-FR"/>
        </w:rPr>
      </w:pPr>
      <w:r w:rsidRPr="00CE4920">
        <w:rPr>
          <w:lang w:val="fr-FR"/>
        </w:rPr>
        <w:tab/>
      </w:r>
      <w:r w:rsidR="00722C08">
        <w:rPr>
          <w:lang w:val="fr-FR"/>
        </w:rPr>
        <w:t>1</w:t>
      </w:r>
      <w:r w:rsidR="00AA4C74">
        <w:rPr>
          <w:lang w:val="fr-FR"/>
        </w:rPr>
        <w:t>1</w:t>
      </w:r>
      <w:r w:rsidR="00722C08">
        <w:rPr>
          <w:lang w:val="fr-FR"/>
        </w:rPr>
        <w:t>.</w:t>
      </w:r>
      <w:r w:rsidRPr="00CE4920">
        <w:rPr>
          <w:lang w:val="fr-FR"/>
        </w:rPr>
        <w:t xml:space="preserve"> </w:t>
      </w:r>
      <w:r w:rsidRPr="00CE4920">
        <w:rPr>
          <w:lang w:val="fr-FR"/>
        </w:rPr>
        <w:tab/>
        <w:t>Chapitre 5.2, amendement au 5.2.2.1.12.1</w:t>
      </w:r>
    </w:p>
    <w:p w14:paraId="6769D613" w14:textId="77777777" w:rsidR="00462C72" w:rsidRPr="00CE4920" w:rsidRDefault="00462C72" w:rsidP="00462C72">
      <w:pPr>
        <w:pStyle w:val="SingleTxtG"/>
        <w:rPr>
          <w:lang w:val="fr-FR"/>
        </w:rPr>
      </w:pPr>
      <w:r w:rsidRPr="00CE4920">
        <w:rPr>
          <w:i/>
          <w:lang w:val="fr-FR"/>
        </w:rPr>
        <w:t>Substituer</w:t>
      </w:r>
      <w:r w:rsidRPr="00CE4920">
        <w:rPr>
          <w:lang w:val="fr-FR"/>
        </w:rPr>
        <w:t xml:space="preserve"> au texte existant</w:t>
      </w:r>
    </w:p>
    <w:p w14:paraId="62467C6E" w14:textId="77777777" w:rsidR="00462C72" w:rsidRPr="00CE4920" w:rsidRDefault="00462C72" w:rsidP="00462C72">
      <w:pPr>
        <w:pStyle w:val="SingleTxtG"/>
        <w:ind w:left="2268" w:hanging="1134"/>
        <w:rPr>
          <w:lang w:val="fr-FR"/>
        </w:rPr>
      </w:pPr>
      <w:r w:rsidRPr="00CE4920">
        <w:rPr>
          <w:lang w:val="fr-FR"/>
        </w:rPr>
        <w:t>5.2.2.1.12.1</w:t>
      </w:r>
      <w:r w:rsidRPr="00CE4920">
        <w:rPr>
          <w:lang w:val="fr-FR"/>
        </w:rPr>
        <w:tab/>
        <w:t>Remplacer « piles au lithium » par « piles au lithium ou des piles au sodium ionique » et remplacer « marque pour les piles au lithium » par « marque pour les batteries ».</w:t>
      </w:r>
    </w:p>
    <w:p w14:paraId="1F6BD084" w14:textId="01E74843" w:rsidR="00031AD5" w:rsidRPr="0055133C" w:rsidRDefault="00031AD5" w:rsidP="00031AD5">
      <w:pPr>
        <w:keepNext/>
        <w:keepLines/>
        <w:tabs>
          <w:tab w:val="right" w:pos="851"/>
        </w:tabs>
        <w:spacing w:before="240" w:after="120" w:line="240" w:lineRule="exact"/>
        <w:ind w:left="1134" w:right="1134" w:hanging="1134"/>
        <w:rPr>
          <w:b/>
          <w:lang w:val="fr-FR"/>
        </w:rPr>
      </w:pPr>
      <w:r>
        <w:rPr>
          <w:b/>
          <w:lang w:val="fr-FR"/>
        </w:rPr>
        <w:tab/>
      </w:r>
      <w:r w:rsidR="00722C08">
        <w:rPr>
          <w:b/>
          <w:lang w:val="fr-FR"/>
        </w:rPr>
        <w:t>1</w:t>
      </w:r>
      <w:r w:rsidR="00AA4C74">
        <w:rPr>
          <w:b/>
          <w:lang w:val="fr-FR"/>
        </w:rPr>
        <w:t>2</w:t>
      </w:r>
      <w:r>
        <w:rPr>
          <w:b/>
          <w:lang w:val="fr-FR"/>
        </w:rPr>
        <w:t>.</w:t>
      </w:r>
      <w:r>
        <w:rPr>
          <w:b/>
          <w:lang w:val="fr-FR"/>
        </w:rPr>
        <w:tab/>
      </w:r>
      <w:r w:rsidRPr="0055133C">
        <w:rPr>
          <w:b/>
          <w:lang w:val="fr-FR"/>
        </w:rPr>
        <w:t xml:space="preserve">Chapitre 7.3, 7.3.3.2.7, </w:t>
      </w:r>
      <w:r w:rsidR="00F3425E" w:rsidRPr="00F3425E">
        <w:rPr>
          <w:b/>
          <w:lang w:val="fr-FR"/>
        </w:rPr>
        <w:t xml:space="preserve">nouvelle disposition </w:t>
      </w:r>
      <w:r w:rsidRPr="0055133C">
        <w:rPr>
          <w:b/>
          <w:lang w:val="fr-FR"/>
        </w:rPr>
        <w:t>AP11, points 4 et 4.5</w:t>
      </w:r>
    </w:p>
    <w:p w14:paraId="062B0E5B" w14:textId="77777777" w:rsidR="00031AD5" w:rsidRDefault="00031AD5" w:rsidP="00031AD5">
      <w:pPr>
        <w:pStyle w:val="SingleTxtG"/>
      </w:pPr>
      <w:r w:rsidRPr="005A76D3">
        <w:rPr>
          <w:i/>
          <w:iCs/>
        </w:rPr>
        <w:t xml:space="preserve">Au lieu de </w:t>
      </w:r>
      <w:r w:rsidRPr="005A76D3">
        <w:t xml:space="preserve">EN 12972:2018 </w:t>
      </w:r>
      <w:r w:rsidRPr="005A76D3">
        <w:rPr>
          <w:i/>
          <w:iCs/>
        </w:rPr>
        <w:t xml:space="preserve">lire </w:t>
      </w:r>
      <w:r w:rsidRPr="005A76D3">
        <w:t>EN 12972:2018 + A1:2024</w:t>
      </w:r>
    </w:p>
    <w:p w14:paraId="4E34786D" w14:textId="49CF845F" w:rsidR="00B00147" w:rsidRPr="00CE4920" w:rsidRDefault="00B00147" w:rsidP="00B00147">
      <w:pPr>
        <w:pStyle w:val="H23G"/>
        <w:rPr>
          <w:lang w:val="fr-FR"/>
        </w:rPr>
      </w:pPr>
      <w:r w:rsidRPr="00CE4920">
        <w:rPr>
          <w:lang w:val="fr-FR"/>
        </w:rPr>
        <w:lastRenderedPageBreak/>
        <w:tab/>
      </w:r>
      <w:r w:rsidR="00722C08">
        <w:rPr>
          <w:lang w:val="fr-FR"/>
        </w:rPr>
        <w:t>1</w:t>
      </w:r>
      <w:r w:rsidR="00AA4C74">
        <w:rPr>
          <w:lang w:val="fr-FR"/>
        </w:rPr>
        <w:t>3</w:t>
      </w:r>
      <w:r w:rsidR="00722C08">
        <w:rPr>
          <w:lang w:val="fr-FR"/>
        </w:rPr>
        <w:t>.</w:t>
      </w:r>
      <w:r w:rsidRPr="00CE4920">
        <w:rPr>
          <w:lang w:val="fr-FR"/>
        </w:rPr>
        <w:t xml:space="preserve"> </w:t>
      </w:r>
      <w:r w:rsidRPr="00CE4920">
        <w:rPr>
          <w:lang w:val="fr-FR"/>
        </w:rPr>
        <w:tab/>
        <w:t>Chapitre 7.3, 7.3.3.2.7, nouvelle disposition AP12, troisième paragraphe</w:t>
      </w:r>
    </w:p>
    <w:p w14:paraId="4DFCCF14" w14:textId="77777777" w:rsidR="00B00147" w:rsidRPr="00CE4920" w:rsidRDefault="00B00147" w:rsidP="00B00147">
      <w:pPr>
        <w:pStyle w:val="SingleTxtG"/>
        <w:rPr>
          <w:lang w:val="fr-FR"/>
        </w:rPr>
      </w:pPr>
      <w:r w:rsidRPr="00CE4920">
        <w:rPr>
          <w:i/>
          <w:iCs/>
          <w:lang w:val="fr-FR"/>
        </w:rPr>
        <w:t>Au lieu de</w:t>
      </w:r>
      <w:r w:rsidRPr="00CE4920">
        <w:rPr>
          <w:lang w:val="fr-FR"/>
        </w:rPr>
        <w:t xml:space="preserve"> deux doublures </w:t>
      </w:r>
      <w:r w:rsidRPr="00CE4920">
        <w:rPr>
          <w:i/>
          <w:iCs/>
          <w:lang w:val="fr-FR"/>
        </w:rPr>
        <w:t>lire</w:t>
      </w:r>
      <w:r w:rsidRPr="00CE4920">
        <w:rPr>
          <w:lang w:val="fr-FR"/>
        </w:rPr>
        <w:t xml:space="preserve"> deux composants</w:t>
      </w:r>
    </w:p>
    <w:p w14:paraId="76A1182A" w14:textId="7860314F" w:rsidR="00B00147" w:rsidRPr="00CE4920" w:rsidRDefault="00B00147" w:rsidP="00B00147">
      <w:pPr>
        <w:pStyle w:val="H23G"/>
        <w:rPr>
          <w:lang w:val="fr-FR"/>
        </w:rPr>
      </w:pPr>
      <w:r w:rsidRPr="00CE4920">
        <w:rPr>
          <w:lang w:val="fr-FR"/>
        </w:rPr>
        <w:tab/>
      </w:r>
      <w:r w:rsidR="00722C08">
        <w:rPr>
          <w:lang w:val="fr-FR"/>
        </w:rPr>
        <w:t>1</w:t>
      </w:r>
      <w:r w:rsidR="00AA4C74">
        <w:rPr>
          <w:lang w:val="fr-FR"/>
        </w:rPr>
        <w:t>4</w:t>
      </w:r>
      <w:r w:rsidR="00722C08">
        <w:rPr>
          <w:lang w:val="fr-FR"/>
        </w:rPr>
        <w:t>.</w:t>
      </w:r>
      <w:r w:rsidRPr="00CE4920">
        <w:rPr>
          <w:lang w:val="fr-FR"/>
        </w:rPr>
        <w:t xml:space="preserve"> </w:t>
      </w:r>
      <w:r w:rsidRPr="00CE4920">
        <w:rPr>
          <w:lang w:val="fr-FR"/>
        </w:rPr>
        <w:tab/>
      </w:r>
      <w:r w:rsidRPr="00CE4920">
        <w:rPr>
          <w:lang w:val="fr-FR"/>
        </w:rPr>
        <w:tab/>
        <w:t>Chapitre 7.3, 7.3.3.2.7, nouvelle disposition AP12, quatrième paragraphe, première phrase</w:t>
      </w:r>
    </w:p>
    <w:p w14:paraId="1D2904A9" w14:textId="77777777" w:rsidR="00B00147" w:rsidRPr="00CE4920" w:rsidRDefault="00B00147" w:rsidP="00B00147">
      <w:pPr>
        <w:pStyle w:val="SingleTxtG"/>
        <w:rPr>
          <w:lang w:val="fr-FR"/>
        </w:rPr>
      </w:pPr>
      <w:r w:rsidRPr="00CE4920">
        <w:rPr>
          <w:i/>
          <w:iCs/>
          <w:lang w:val="fr-FR"/>
        </w:rPr>
        <w:t>Au lieu de</w:t>
      </w:r>
      <w:r w:rsidRPr="00CE4920">
        <w:rPr>
          <w:lang w:val="fr-FR"/>
        </w:rPr>
        <w:t xml:space="preserve"> La doublure intérieure </w:t>
      </w:r>
      <w:r w:rsidRPr="00CE4920">
        <w:rPr>
          <w:i/>
          <w:iCs/>
          <w:lang w:val="fr-FR"/>
        </w:rPr>
        <w:t>lire</w:t>
      </w:r>
      <w:r w:rsidRPr="00CE4920">
        <w:rPr>
          <w:lang w:val="fr-FR"/>
        </w:rPr>
        <w:t xml:space="preserve"> Le composant intérieur</w:t>
      </w:r>
    </w:p>
    <w:p w14:paraId="49A4958B" w14:textId="4C63BBF6" w:rsidR="00B00147" w:rsidRPr="00CE4920" w:rsidRDefault="00B00147" w:rsidP="00B00147">
      <w:pPr>
        <w:pStyle w:val="H23G"/>
        <w:rPr>
          <w:lang w:val="fr-FR"/>
        </w:rPr>
      </w:pPr>
      <w:r w:rsidRPr="00CE4920">
        <w:rPr>
          <w:lang w:val="fr-FR"/>
        </w:rPr>
        <w:tab/>
      </w:r>
      <w:r w:rsidR="00722C08">
        <w:rPr>
          <w:lang w:val="fr-FR"/>
        </w:rPr>
        <w:t>1</w:t>
      </w:r>
      <w:r w:rsidR="00AA4C74">
        <w:rPr>
          <w:lang w:val="fr-FR"/>
        </w:rPr>
        <w:t>5</w:t>
      </w:r>
      <w:r w:rsidR="00722C08">
        <w:rPr>
          <w:lang w:val="fr-FR"/>
        </w:rPr>
        <w:t>.</w:t>
      </w:r>
      <w:r w:rsidRPr="00CE4920">
        <w:rPr>
          <w:lang w:val="fr-FR"/>
        </w:rPr>
        <w:t xml:space="preserve"> </w:t>
      </w:r>
      <w:r w:rsidRPr="00CE4920">
        <w:rPr>
          <w:lang w:val="fr-FR"/>
        </w:rPr>
        <w:tab/>
      </w:r>
      <w:r w:rsidRPr="00CE4920">
        <w:rPr>
          <w:lang w:val="fr-FR"/>
        </w:rPr>
        <w:tab/>
        <w:t>Chapitre 7.3, 7.3.3.2.7, nouvelle disposition AP12, quatrième paragraphe, deuxième phrase</w:t>
      </w:r>
    </w:p>
    <w:p w14:paraId="4A09E0A5" w14:textId="77777777" w:rsidR="00B00147" w:rsidRPr="00CE4920" w:rsidRDefault="00B00147" w:rsidP="00B00147">
      <w:pPr>
        <w:pStyle w:val="SingleTxtG"/>
        <w:rPr>
          <w:lang w:val="fr-FR"/>
        </w:rPr>
      </w:pPr>
      <w:r w:rsidRPr="00CE4920">
        <w:rPr>
          <w:i/>
          <w:iCs/>
          <w:lang w:val="fr-FR"/>
        </w:rPr>
        <w:t>Au lieu de</w:t>
      </w:r>
      <w:r w:rsidRPr="00CE4920">
        <w:rPr>
          <w:lang w:val="fr-FR"/>
        </w:rPr>
        <w:t xml:space="preserve"> La doublure intérieure doit être constituée </w:t>
      </w:r>
      <w:r w:rsidRPr="00CE4920">
        <w:rPr>
          <w:i/>
          <w:iCs/>
          <w:lang w:val="fr-FR"/>
        </w:rPr>
        <w:t>lire</w:t>
      </w:r>
      <w:r w:rsidRPr="00CE4920">
        <w:rPr>
          <w:lang w:val="fr-FR"/>
        </w:rPr>
        <w:t xml:space="preserve"> Le composant intérieur doit être constitué</w:t>
      </w:r>
    </w:p>
    <w:p w14:paraId="77FBEA09" w14:textId="5EC21080" w:rsidR="00B00147" w:rsidRPr="00CE4920" w:rsidRDefault="00B00147" w:rsidP="00B00147">
      <w:pPr>
        <w:pStyle w:val="H23G"/>
        <w:rPr>
          <w:lang w:val="fr-FR"/>
        </w:rPr>
      </w:pPr>
      <w:r w:rsidRPr="00CE4920">
        <w:rPr>
          <w:lang w:val="fr-FR"/>
        </w:rPr>
        <w:tab/>
      </w:r>
      <w:r w:rsidR="00722C08">
        <w:rPr>
          <w:lang w:val="fr-FR"/>
        </w:rPr>
        <w:t>1</w:t>
      </w:r>
      <w:r w:rsidR="00AA4C74">
        <w:rPr>
          <w:lang w:val="fr-FR"/>
        </w:rPr>
        <w:t>6</w:t>
      </w:r>
      <w:r w:rsidR="00722C08">
        <w:rPr>
          <w:lang w:val="fr-FR"/>
        </w:rPr>
        <w:t>.</w:t>
      </w:r>
      <w:r w:rsidRPr="00CE4920">
        <w:rPr>
          <w:lang w:val="fr-FR"/>
        </w:rPr>
        <w:t xml:space="preserve"> </w:t>
      </w:r>
      <w:r w:rsidRPr="00CE4920">
        <w:rPr>
          <w:lang w:val="fr-FR"/>
        </w:rPr>
        <w:tab/>
        <w:t>Chapitre 7.3, 7.3.3.2.7, nouvelle disposition AP12, ci</w:t>
      </w:r>
      <w:r>
        <w:rPr>
          <w:lang w:val="fr-FR"/>
        </w:rPr>
        <w:t>n</w:t>
      </w:r>
      <w:r w:rsidRPr="00CE4920">
        <w:rPr>
          <w:lang w:val="fr-FR"/>
        </w:rPr>
        <w:t>quième paragraphe, première phrase</w:t>
      </w:r>
    </w:p>
    <w:p w14:paraId="164E6225" w14:textId="317B8876" w:rsidR="00B00147" w:rsidRPr="00CE4920" w:rsidRDefault="00B00147" w:rsidP="00B00147">
      <w:pPr>
        <w:pStyle w:val="SingleTxtG"/>
        <w:rPr>
          <w:lang w:val="fr-FR"/>
        </w:rPr>
      </w:pPr>
      <w:r w:rsidRPr="00CE4920">
        <w:rPr>
          <w:i/>
          <w:iCs/>
          <w:lang w:val="fr-FR"/>
        </w:rPr>
        <w:t>Au lieu de</w:t>
      </w:r>
      <w:r w:rsidRPr="00CE4920">
        <w:rPr>
          <w:lang w:val="fr-FR"/>
        </w:rPr>
        <w:t xml:space="preserve"> La doublure extérieure est en polypropylène et munie </w:t>
      </w:r>
      <w:r w:rsidRPr="00CE4920">
        <w:rPr>
          <w:i/>
          <w:iCs/>
          <w:lang w:val="fr-FR"/>
        </w:rPr>
        <w:t>lire</w:t>
      </w:r>
      <w:r w:rsidRPr="00CE4920">
        <w:rPr>
          <w:lang w:val="fr-FR"/>
        </w:rPr>
        <w:t xml:space="preserve"> Le composant extérieur </w:t>
      </w:r>
      <w:r w:rsidR="0080573B">
        <w:rPr>
          <w:lang w:val="fr-FR"/>
        </w:rPr>
        <w:t>doit être</w:t>
      </w:r>
      <w:r w:rsidR="0080573B" w:rsidRPr="00CE4920">
        <w:rPr>
          <w:lang w:val="fr-FR"/>
        </w:rPr>
        <w:t xml:space="preserve"> </w:t>
      </w:r>
      <w:r w:rsidRPr="00CE4920">
        <w:rPr>
          <w:lang w:val="fr-FR"/>
        </w:rPr>
        <w:t>en polypropylène et</w:t>
      </w:r>
      <w:r w:rsidR="0080573B">
        <w:rPr>
          <w:lang w:val="fr-FR"/>
        </w:rPr>
        <w:t xml:space="preserve"> doit être</w:t>
      </w:r>
      <w:r w:rsidRPr="00CE4920">
        <w:rPr>
          <w:lang w:val="fr-FR"/>
        </w:rPr>
        <w:t xml:space="preserve"> muni</w:t>
      </w:r>
    </w:p>
    <w:p w14:paraId="5817D71E" w14:textId="6288A01F" w:rsidR="00B00147" w:rsidRPr="00CE4920" w:rsidRDefault="00B00147" w:rsidP="00B00147">
      <w:pPr>
        <w:pStyle w:val="H23G"/>
        <w:rPr>
          <w:lang w:val="fr-FR"/>
        </w:rPr>
      </w:pPr>
      <w:r w:rsidRPr="00CE4920">
        <w:rPr>
          <w:lang w:val="fr-FR"/>
        </w:rPr>
        <w:tab/>
      </w:r>
      <w:r w:rsidR="00722C08">
        <w:rPr>
          <w:lang w:val="fr-FR"/>
        </w:rPr>
        <w:t>1</w:t>
      </w:r>
      <w:r w:rsidR="00AA4C74">
        <w:rPr>
          <w:lang w:val="fr-FR"/>
        </w:rPr>
        <w:t>7</w:t>
      </w:r>
      <w:r w:rsidR="00722C08">
        <w:rPr>
          <w:lang w:val="fr-FR"/>
        </w:rPr>
        <w:t>.</w:t>
      </w:r>
      <w:r w:rsidRPr="00CE4920">
        <w:rPr>
          <w:lang w:val="fr-FR"/>
        </w:rPr>
        <w:t xml:space="preserve"> </w:t>
      </w:r>
      <w:r w:rsidRPr="00CE4920">
        <w:rPr>
          <w:lang w:val="fr-FR"/>
        </w:rPr>
        <w:tab/>
        <w:t>Chapitre 7.3, 7.3.3.2.7, nouvelle disposition AP12, ci</w:t>
      </w:r>
      <w:r>
        <w:rPr>
          <w:lang w:val="fr-FR"/>
        </w:rPr>
        <w:t>n</w:t>
      </w:r>
      <w:r w:rsidRPr="00CE4920">
        <w:rPr>
          <w:lang w:val="fr-FR"/>
        </w:rPr>
        <w:t>quième paragraphe, deuxième phrase</w:t>
      </w:r>
    </w:p>
    <w:p w14:paraId="25A48426" w14:textId="02067A35" w:rsidR="00B00147" w:rsidRPr="00CE4920" w:rsidRDefault="00B00147" w:rsidP="00B00147">
      <w:pPr>
        <w:pStyle w:val="SingleTxtG"/>
        <w:rPr>
          <w:lang w:val="fr-FR"/>
        </w:rPr>
      </w:pPr>
      <w:r w:rsidRPr="00CE4920">
        <w:rPr>
          <w:i/>
          <w:iCs/>
          <w:lang w:val="fr-FR"/>
        </w:rPr>
        <w:t>Au lieu de</w:t>
      </w:r>
      <w:r w:rsidRPr="00CE4920">
        <w:rPr>
          <w:lang w:val="fr-FR"/>
        </w:rPr>
        <w:t xml:space="preserve"> Elle</w:t>
      </w:r>
      <w:r w:rsidR="0080573B">
        <w:rPr>
          <w:lang w:val="fr-FR"/>
        </w:rPr>
        <w:t xml:space="preserve"> assure</w:t>
      </w:r>
      <w:r w:rsidRPr="00CE4920">
        <w:rPr>
          <w:lang w:val="fr-FR"/>
        </w:rPr>
        <w:t xml:space="preserve"> </w:t>
      </w:r>
      <w:r w:rsidRPr="00CE4920">
        <w:rPr>
          <w:i/>
          <w:iCs/>
          <w:lang w:val="fr-FR"/>
        </w:rPr>
        <w:t>lire</w:t>
      </w:r>
      <w:r w:rsidRPr="00CE4920">
        <w:rPr>
          <w:lang w:val="fr-FR"/>
        </w:rPr>
        <w:t xml:space="preserve"> Il</w:t>
      </w:r>
      <w:r w:rsidR="0080573B">
        <w:rPr>
          <w:lang w:val="fr-FR"/>
        </w:rPr>
        <w:t xml:space="preserve"> doit assurer</w:t>
      </w:r>
    </w:p>
    <w:p w14:paraId="553F414C" w14:textId="0CF533B3" w:rsidR="00002886" w:rsidRPr="00CE4920" w:rsidRDefault="00002886" w:rsidP="00002886">
      <w:pPr>
        <w:pStyle w:val="H23G"/>
        <w:rPr>
          <w:lang w:val="fr-FR"/>
        </w:rPr>
      </w:pPr>
      <w:r w:rsidRPr="00CE4920">
        <w:rPr>
          <w:lang w:val="fr-FR"/>
        </w:rPr>
        <w:tab/>
      </w:r>
      <w:r w:rsidR="00722C08">
        <w:rPr>
          <w:lang w:val="fr-FR"/>
        </w:rPr>
        <w:t>1</w:t>
      </w:r>
      <w:r w:rsidR="00AA4C74">
        <w:rPr>
          <w:lang w:val="fr-FR"/>
        </w:rPr>
        <w:t>8</w:t>
      </w:r>
      <w:r w:rsidR="00722C08">
        <w:rPr>
          <w:lang w:val="fr-FR"/>
        </w:rPr>
        <w:t>.</w:t>
      </w:r>
      <w:r w:rsidRPr="00CE4920">
        <w:rPr>
          <w:lang w:val="fr-FR"/>
        </w:rPr>
        <w:t xml:space="preserve"> </w:t>
      </w:r>
      <w:r w:rsidRPr="00CE4920">
        <w:rPr>
          <w:lang w:val="fr-FR"/>
        </w:rPr>
        <w:tab/>
        <w:t>Chapitre 7.5, 7.5.11, nouvelle disposition CV38, deuxième paragraphe, deuxième phrase</w:t>
      </w:r>
    </w:p>
    <w:p w14:paraId="76B8ED54" w14:textId="77777777" w:rsidR="00002886" w:rsidRPr="00CE4920" w:rsidRDefault="00002886" w:rsidP="00002886">
      <w:pPr>
        <w:pStyle w:val="SingleTxtG"/>
        <w:rPr>
          <w:lang w:val="fr-FR"/>
        </w:rPr>
      </w:pPr>
      <w:r w:rsidRPr="00CE4920">
        <w:rPr>
          <w:i/>
          <w:iCs/>
          <w:lang w:val="fr-FR"/>
        </w:rPr>
        <w:t>Au lieu de</w:t>
      </w:r>
      <w:r w:rsidRPr="00CE4920">
        <w:rPr>
          <w:lang w:val="fr-FR"/>
        </w:rPr>
        <w:t xml:space="preserve"> La doublure extérieure des conteneurs-bag doit être positionnée</w:t>
      </w:r>
      <w:r w:rsidRPr="00CE4920">
        <w:rPr>
          <w:i/>
          <w:iCs/>
          <w:lang w:val="fr-FR"/>
        </w:rPr>
        <w:t xml:space="preserve"> lire</w:t>
      </w:r>
      <w:r w:rsidRPr="00CE4920">
        <w:rPr>
          <w:lang w:val="fr-FR"/>
        </w:rPr>
        <w:t xml:space="preserve"> Le composant extérieur des conteneurs-bag doit être positionné </w:t>
      </w:r>
    </w:p>
    <w:p w14:paraId="61CD29B0" w14:textId="68763F61" w:rsidR="0055133C" w:rsidRPr="0055133C" w:rsidRDefault="0055133C" w:rsidP="0055133C">
      <w:pPr>
        <w:keepNext/>
        <w:keepLines/>
        <w:tabs>
          <w:tab w:val="right" w:pos="851"/>
        </w:tabs>
        <w:spacing w:before="240" w:after="120" w:line="240" w:lineRule="exact"/>
        <w:ind w:left="1134" w:right="1134" w:hanging="1134"/>
        <w:rPr>
          <w:b/>
          <w:lang w:val="fr-FR"/>
        </w:rPr>
      </w:pPr>
      <w:r>
        <w:rPr>
          <w:b/>
          <w:lang w:val="fr-FR"/>
        </w:rPr>
        <w:tab/>
      </w:r>
      <w:r w:rsidR="00722C08">
        <w:rPr>
          <w:b/>
          <w:lang w:val="fr-FR"/>
        </w:rPr>
        <w:t>1</w:t>
      </w:r>
      <w:r w:rsidR="00AA4C74">
        <w:rPr>
          <w:b/>
          <w:lang w:val="fr-FR"/>
        </w:rPr>
        <w:t>9</w:t>
      </w:r>
      <w:r>
        <w:rPr>
          <w:b/>
          <w:lang w:val="fr-FR"/>
        </w:rPr>
        <w:t>.</w:t>
      </w:r>
      <w:r>
        <w:rPr>
          <w:b/>
          <w:lang w:val="fr-FR"/>
        </w:rPr>
        <w:tab/>
      </w:r>
      <w:r w:rsidRPr="0055133C">
        <w:rPr>
          <w:b/>
          <w:lang w:val="fr-FR"/>
        </w:rPr>
        <w:t>Chapitre 9.7, amendement au 9.7.8</w:t>
      </w:r>
    </w:p>
    <w:p w14:paraId="16C53901" w14:textId="77777777" w:rsidR="0055133C" w:rsidRPr="005A76D3" w:rsidRDefault="0055133C" w:rsidP="0055133C">
      <w:pPr>
        <w:pStyle w:val="SingleTxtG"/>
        <w:rPr>
          <w:i/>
          <w:iCs/>
        </w:rPr>
      </w:pPr>
      <w:r w:rsidRPr="005A76D3">
        <w:rPr>
          <w:i/>
          <w:iCs/>
        </w:rPr>
        <w:t>Supprimer</w:t>
      </w:r>
    </w:p>
    <w:p w14:paraId="445F3117" w14:textId="13B98AB9" w:rsidR="00536D46" w:rsidRPr="009D7E37" w:rsidRDefault="009D7E37" w:rsidP="009D7E37">
      <w:pPr>
        <w:spacing w:before="240"/>
        <w:jc w:val="center"/>
        <w:rPr>
          <w:u w:val="single"/>
          <w:lang w:val="fr-FR"/>
        </w:rPr>
      </w:pPr>
      <w:r>
        <w:rPr>
          <w:u w:val="single"/>
          <w:lang w:val="fr-FR"/>
        </w:rPr>
        <w:tab/>
      </w:r>
      <w:r>
        <w:rPr>
          <w:u w:val="single"/>
          <w:lang w:val="fr-FR"/>
        </w:rPr>
        <w:tab/>
      </w:r>
      <w:r>
        <w:rPr>
          <w:u w:val="single"/>
          <w:lang w:val="fr-FR"/>
        </w:rPr>
        <w:tab/>
      </w:r>
    </w:p>
    <w:sectPr w:rsidR="00536D46" w:rsidRPr="009D7E37" w:rsidSect="003A759D">
      <w:headerReference w:type="even" r:id="rId11"/>
      <w:headerReference w:type="default" r:id="rId12"/>
      <w:footerReference w:type="even" r:id="rId13"/>
      <w:footerReference w:type="default" r:id="rId14"/>
      <w:footerReference w:type="first" r:id="rId15"/>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7735" w14:textId="77777777" w:rsidR="009F46D1" w:rsidRDefault="009F46D1" w:rsidP="00F95C08">
      <w:pPr>
        <w:spacing w:line="240" w:lineRule="auto"/>
      </w:pPr>
    </w:p>
  </w:endnote>
  <w:endnote w:type="continuationSeparator" w:id="0">
    <w:p w14:paraId="6BD4DFE4" w14:textId="77777777" w:rsidR="009F46D1" w:rsidRPr="00AC3823" w:rsidRDefault="009F46D1" w:rsidP="00AC3823">
      <w:pPr>
        <w:pStyle w:val="Pieddepage"/>
      </w:pPr>
    </w:p>
  </w:endnote>
  <w:endnote w:type="continuationNotice" w:id="1">
    <w:p w14:paraId="2ADAEE63" w14:textId="77777777" w:rsidR="009F46D1" w:rsidRDefault="009F46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oto Serif CJK SC">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FAEB5" w14:textId="77777777" w:rsidR="003A759D" w:rsidRPr="003A759D" w:rsidRDefault="003A759D" w:rsidP="003A759D">
    <w:pPr>
      <w:pStyle w:val="Pieddepage"/>
      <w:tabs>
        <w:tab w:val="right" w:pos="9638"/>
      </w:tabs>
      <w:rPr>
        <w:sz w:val="18"/>
      </w:rPr>
    </w:pPr>
    <w:r w:rsidRPr="003A759D">
      <w:rPr>
        <w:b/>
        <w:sz w:val="18"/>
      </w:rPr>
      <w:fldChar w:fldCharType="begin"/>
    </w:r>
    <w:r w:rsidRPr="003A759D">
      <w:rPr>
        <w:b/>
        <w:sz w:val="18"/>
      </w:rPr>
      <w:instrText xml:space="preserve"> PAGE  \* MERGEFORMAT </w:instrText>
    </w:r>
    <w:r w:rsidRPr="003A759D">
      <w:rPr>
        <w:b/>
        <w:sz w:val="18"/>
      </w:rPr>
      <w:fldChar w:fldCharType="separate"/>
    </w:r>
    <w:r w:rsidRPr="003A759D">
      <w:rPr>
        <w:b/>
        <w:noProof/>
        <w:sz w:val="18"/>
      </w:rPr>
      <w:t>2</w:t>
    </w:r>
    <w:r w:rsidRPr="003A759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DBAC" w14:textId="77777777" w:rsidR="003A759D" w:rsidRPr="003A759D" w:rsidRDefault="003A759D" w:rsidP="003A759D">
    <w:pPr>
      <w:pStyle w:val="Pieddepage"/>
      <w:tabs>
        <w:tab w:val="right" w:pos="9638"/>
      </w:tabs>
      <w:rPr>
        <w:b/>
        <w:sz w:val="18"/>
      </w:rPr>
    </w:pPr>
    <w:r>
      <w:tab/>
    </w:r>
    <w:r w:rsidRPr="003A759D">
      <w:rPr>
        <w:b/>
        <w:sz w:val="18"/>
      </w:rPr>
      <w:fldChar w:fldCharType="begin"/>
    </w:r>
    <w:r w:rsidRPr="003A759D">
      <w:rPr>
        <w:b/>
        <w:sz w:val="18"/>
      </w:rPr>
      <w:instrText xml:space="preserve"> PAGE  \* MERGEFORMAT </w:instrText>
    </w:r>
    <w:r w:rsidRPr="003A759D">
      <w:rPr>
        <w:b/>
        <w:sz w:val="18"/>
      </w:rPr>
      <w:fldChar w:fldCharType="separate"/>
    </w:r>
    <w:r w:rsidRPr="003A759D">
      <w:rPr>
        <w:b/>
        <w:noProof/>
        <w:sz w:val="18"/>
      </w:rPr>
      <w:t>3</w:t>
    </w:r>
    <w:r w:rsidRPr="003A759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CD01" w14:textId="1B6DDE09" w:rsidR="000D3EE9" w:rsidRPr="007468EF" w:rsidRDefault="007468EF" w:rsidP="007468EF">
    <w:pPr>
      <w:pStyle w:val="Pieddepage"/>
      <w:tabs>
        <w:tab w:val="left" w:pos="6520"/>
        <w:tab w:val="right" w:pos="9638"/>
      </w:tabs>
      <w:spacing w:before="120"/>
      <w:rPr>
        <w:sz w:val="20"/>
      </w:rPr>
    </w:pPr>
    <w:r>
      <w:rPr>
        <w:sz w:val="20"/>
      </w:rPr>
      <w:t>GE.24-08794  (F)</w:t>
    </w:r>
    <w:bookmarkStart w:id="0" w:name="_GoBack"/>
    <w:bookmarkEnd w:id="0"/>
    <w:r>
      <w:rPr>
        <w:sz w:val="20"/>
      </w:rPr>
      <w:tab/>
    </w:r>
    <w:r w:rsidRPr="007468EF">
      <w:rPr>
        <w:noProof/>
        <w:sz w:val="20"/>
        <w:lang w:eastAsia="fr-CH"/>
      </w:rPr>
      <w:drawing>
        <wp:inline distT="0" distB="0" distL="0" distR="0" wp14:anchorId="25BDFECD" wp14:editId="04E4D76B">
          <wp:extent cx="1105200" cy="234000"/>
          <wp:effectExtent l="0" t="0" r="0" b="0"/>
          <wp:docPr id="1" name="Image 3"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inline>
      </w:drawing>
    </w:r>
    <w:r>
      <w:rPr>
        <w:sz w:val="20"/>
      </w:rPr>
      <w:tab/>
    </w:r>
    <w:r>
      <w:rPr>
        <w:noProof/>
        <w:sz w:val="20"/>
      </w:rPr>
      <w:drawing>
        <wp:inline distT="0" distB="0" distL="0" distR="0" wp14:anchorId="1A0032BB" wp14:editId="52BA80E4">
          <wp:extent cx="628015" cy="628015"/>
          <wp:effectExtent l="0" t="0" r="635"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015" cy="6280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E87CD" w14:textId="77777777" w:rsidR="009F46D1" w:rsidRPr="00AC3823" w:rsidRDefault="009F46D1" w:rsidP="00AC3823">
      <w:pPr>
        <w:pStyle w:val="Pieddepage"/>
        <w:tabs>
          <w:tab w:val="right" w:pos="2155"/>
        </w:tabs>
        <w:spacing w:after="80" w:line="240" w:lineRule="atLeast"/>
        <w:ind w:left="680"/>
        <w:rPr>
          <w:u w:val="single"/>
        </w:rPr>
      </w:pPr>
      <w:r>
        <w:rPr>
          <w:u w:val="single"/>
        </w:rPr>
        <w:tab/>
      </w:r>
    </w:p>
  </w:footnote>
  <w:footnote w:type="continuationSeparator" w:id="0">
    <w:p w14:paraId="7C5BC2ED" w14:textId="77777777" w:rsidR="009F46D1" w:rsidRPr="00AC3823" w:rsidRDefault="009F46D1" w:rsidP="00AC3823">
      <w:pPr>
        <w:pStyle w:val="Pieddepage"/>
        <w:tabs>
          <w:tab w:val="right" w:pos="2155"/>
        </w:tabs>
        <w:spacing w:after="80" w:line="240" w:lineRule="atLeast"/>
        <w:ind w:left="680"/>
        <w:rPr>
          <w:u w:val="single"/>
        </w:rPr>
      </w:pPr>
      <w:r>
        <w:rPr>
          <w:u w:val="single"/>
        </w:rPr>
        <w:tab/>
      </w:r>
    </w:p>
  </w:footnote>
  <w:footnote w:type="continuationNotice" w:id="1">
    <w:p w14:paraId="4ED22A83" w14:textId="77777777" w:rsidR="009F46D1" w:rsidRPr="00AC3823" w:rsidRDefault="009F46D1">
      <w:pPr>
        <w:spacing w:line="240" w:lineRule="auto"/>
        <w:rPr>
          <w:sz w:val="2"/>
          <w:szCs w:val="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18634" w14:textId="03830C54" w:rsidR="003A759D" w:rsidRPr="003A759D" w:rsidRDefault="005E287A">
    <w:pPr>
      <w:pStyle w:val="En-tte"/>
    </w:pPr>
    <w:r>
      <w:fldChar w:fldCharType="begin"/>
    </w:r>
    <w:r>
      <w:instrText xml:space="preserve"> TITLE  \* MERGEFORMAT </w:instrText>
    </w:r>
    <w:r>
      <w:fldChar w:fldCharType="separate"/>
    </w:r>
    <w:r>
      <w:t>ECE/TRANS/WP.15/265/Corr.1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BA076" w14:textId="2A38101A" w:rsidR="003A759D" w:rsidRPr="003A759D" w:rsidRDefault="005E287A" w:rsidP="003A759D">
    <w:pPr>
      <w:pStyle w:val="En-tte"/>
      <w:jc w:val="right"/>
    </w:pPr>
    <w:r>
      <w:fldChar w:fldCharType="begin"/>
    </w:r>
    <w:r>
      <w:instrText xml:space="preserve"> TITLE  \* MERGEFORMAT </w:instrText>
    </w:r>
    <w:r>
      <w:fldChar w:fldCharType="separate"/>
    </w:r>
    <w:r>
      <w:t>ECE/TRANS/WP.15/265/Corr.1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580795709">
    <w:abstractNumId w:val="12"/>
  </w:num>
  <w:num w:numId="2" w16cid:durableId="1755472690">
    <w:abstractNumId w:val="11"/>
  </w:num>
  <w:num w:numId="3" w16cid:durableId="430861819">
    <w:abstractNumId w:val="10"/>
  </w:num>
  <w:num w:numId="4" w16cid:durableId="1426656766">
    <w:abstractNumId w:val="8"/>
  </w:num>
  <w:num w:numId="5" w16cid:durableId="1346399357">
    <w:abstractNumId w:val="3"/>
  </w:num>
  <w:num w:numId="6" w16cid:durableId="1068845436">
    <w:abstractNumId w:val="2"/>
  </w:num>
  <w:num w:numId="7" w16cid:durableId="2076705320">
    <w:abstractNumId w:val="1"/>
  </w:num>
  <w:num w:numId="8" w16cid:durableId="1442338123">
    <w:abstractNumId w:val="0"/>
  </w:num>
  <w:num w:numId="9" w16cid:durableId="299917953">
    <w:abstractNumId w:val="9"/>
  </w:num>
  <w:num w:numId="10" w16cid:durableId="840127301">
    <w:abstractNumId w:val="7"/>
  </w:num>
  <w:num w:numId="11" w16cid:durableId="883294407">
    <w:abstractNumId w:val="6"/>
  </w:num>
  <w:num w:numId="12" w16cid:durableId="648170207">
    <w:abstractNumId w:val="5"/>
  </w:num>
  <w:num w:numId="13" w16cid:durableId="12443408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2324AE-7E1B-46E0-BE39-6171A5137F5D}"/>
    <w:docVar w:name="dgnword-eventsink" w:val="646185176"/>
  </w:docVars>
  <w:rsids>
    <w:rsidRoot w:val="003A759D"/>
    <w:rsid w:val="00002886"/>
    <w:rsid w:val="0001207F"/>
    <w:rsid w:val="00017F94"/>
    <w:rsid w:val="00023842"/>
    <w:rsid w:val="00031AD5"/>
    <w:rsid w:val="000334F9"/>
    <w:rsid w:val="000410F8"/>
    <w:rsid w:val="0004381E"/>
    <w:rsid w:val="0004639C"/>
    <w:rsid w:val="0007796D"/>
    <w:rsid w:val="000912F5"/>
    <w:rsid w:val="000942EE"/>
    <w:rsid w:val="000A52BF"/>
    <w:rsid w:val="000B7790"/>
    <w:rsid w:val="000D3EE9"/>
    <w:rsid w:val="000D62F3"/>
    <w:rsid w:val="00111F2F"/>
    <w:rsid w:val="00131387"/>
    <w:rsid w:val="001433FD"/>
    <w:rsid w:val="0014365E"/>
    <w:rsid w:val="001541D3"/>
    <w:rsid w:val="00156B77"/>
    <w:rsid w:val="00176178"/>
    <w:rsid w:val="00177140"/>
    <w:rsid w:val="001D400F"/>
    <w:rsid w:val="001D7BDE"/>
    <w:rsid w:val="001F287A"/>
    <w:rsid w:val="001F525A"/>
    <w:rsid w:val="00223272"/>
    <w:rsid w:val="00240333"/>
    <w:rsid w:val="0024779E"/>
    <w:rsid w:val="00264FE7"/>
    <w:rsid w:val="002832AC"/>
    <w:rsid w:val="002866D0"/>
    <w:rsid w:val="00286FC9"/>
    <w:rsid w:val="002B1A7C"/>
    <w:rsid w:val="002D7C93"/>
    <w:rsid w:val="002E0BDF"/>
    <w:rsid w:val="003136F0"/>
    <w:rsid w:val="00325AB0"/>
    <w:rsid w:val="0037241C"/>
    <w:rsid w:val="003819FF"/>
    <w:rsid w:val="003A759D"/>
    <w:rsid w:val="003D1546"/>
    <w:rsid w:val="00434A8C"/>
    <w:rsid w:val="00441C3B"/>
    <w:rsid w:val="00446B0A"/>
    <w:rsid w:val="00446FE5"/>
    <w:rsid w:val="00452396"/>
    <w:rsid w:val="00462C72"/>
    <w:rsid w:val="00471288"/>
    <w:rsid w:val="00486BA7"/>
    <w:rsid w:val="0049687C"/>
    <w:rsid w:val="004E121B"/>
    <w:rsid w:val="004E468C"/>
    <w:rsid w:val="00523286"/>
    <w:rsid w:val="005316B0"/>
    <w:rsid w:val="00535A27"/>
    <w:rsid w:val="00536D46"/>
    <w:rsid w:val="0054008B"/>
    <w:rsid w:val="005505B7"/>
    <w:rsid w:val="0055133C"/>
    <w:rsid w:val="00560BD1"/>
    <w:rsid w:val="00573BE5"/>
    <w:rsid w:val="00581BF8"/>
    <w:rsid w:val="00586ED3"/>
    <w:rsid w:val="00596AA9"/>
    <w:rsid w:val="005A7DEF"/>
    <w:rsid w:val="005B4D0F"/>
    <w:rsid w:val="005E287A"/>
    <w:rsid w:val="006107F7"/>
    <w:rsid w:val="006942C4"/>
    <w:rsid w:val="006C2112"/>
    <w:rsid w:val="00703D0F"/>
    <w:rsid w:val="00706363"/>
    <w:rsid w:val="007158BB"/>
    <w:rsid w:val="0071601D"/>
    <w:rsid w:val="00722C08"/>
    <w:rsid w:val="007468EF"/>
    <w:rsid w:val="00751813"/>
    <w:rsid w:val="0075410D"/>
    <w:rsid w:val="007A62E6"/>
    <w:rsid w:val="007B6BCF"/>
    <w:rsid w:val="0080573B"/>
    <w:rsid w:val="0080684C"/>
    <w:rsid w:val="008204DA"/>
    <w:rsid w:val="00826E8B"/>
    <w:rsid w:val="00846D0A"/>
    <w:rsid w:val="008535AD"/>
    <w:rsid w:val="0085618D"/>
    <w:rsid w:val="00871C75"/>
    <w:rsid w:val="008767E8"/>
    <w:rsid w:val="008776DC"/>
    <w:rsid w:val="00883605"/>
    <w:rsid w:val="008C63A9"/>
    <w:rsid w:val="008E6043"/>
    <w:rsid w:val="00957D1A"/>
    <w:rsid w:val="00961E7B"/>
    <w:rsid w:val="009705C8"/>
    <w:rsid w:val="00995CA4"/>
    <w:rsid w:val="009C1CF4"/>
    <w:rsid w:val="009D7E37"/>
    <w:rsid w:val="009F02C9"/>
    <w:rsid w:val="009F46D1"/>
    <w:rsid w:val="00A02E79"/>
    <w:rsid w:val="00A160AD"/>
    <w:rsid w:val="00A30353"/>
    <w:rsid w:val="00A62D91"/>
    <w:rsid w:val="00A90D54"/>
    <w:rsid w:val="00A97B63"/>
    <w:rsid w:val="00AA113A"/>
    <w:rsid w:val="00AA4C74"/>
    <w:rsid w:val="00AC3823"/>
    <w:rsid w:val="00AD41F1"/>
    <w:rsid w:val="00AE323C"/>
    <w:rsid w:val="00AF1405"/>
    <w:rsid w:val="00AF5BF0"/>
    <w:rsid w:val="00AF774C"/>
    <w:rsid w:val="00B00147"/>
    <w:rsid w:val="00B00181"/>
    <w:rsid w:val="00B00B0D"/>
    <w:rsid w:val="00B247C1"/>
    <w:rsid w:val="00B40927"/>
    <w:rsid w:val="00B50E25"/>
    <w:rsid w:val="00B56F82"/>
    <w:rsid w:val="00B625F1"/>
    <w:rsid w:val="00B64918"/>
    <w:rsid w:val="00B765F7"/>
    <w:rsid w:val="00B97687"/>
    <w:rsid w:val="00BA0CA9"/>
    <w:rsid w:val="00BC598E"/>
    <w:rsid w:val="00C02897"/>
    <w:rsid w:val="00C050B2"/>
    <w:rsid w:val="00C059EB"/>
    <w:rsid w:val="00C1626B"/>
    <w:rsid w:val="00C66A47"/>
    <w:rsid w:val="00C7616F"/>
    <w:rsid w:val="00CB16B5"/>
    <w:rsid w:val="00CE0608"/>
    <w:rsid w:val="00D14095"/>
    <w:rsid w:val="00D23AB8"/>
    <w:rsid w:val="00D3439C"/>
    <w:rsid w:val="00D44CF3"/>
    <w:rsid w:val="00D46C8C"/>
    <w:rsid w:val="00D502F4"/>
    <w:rsid w:val="00D7664C"/>
    <w:rsid w:val="00DB1831"/>
    <w:rsid w:val="00DD3BFD"/>
    <w:rsid w:val="00DD7AFA"/>
    <w:rsid w:val="00DE239D"/>
    <w:rsid w:val="00DF431C"/>
    <w:rsid w:val="00DF6678"/>
    <w:rsid w:val="00E26E06"/>
    <w:rsid w:val="00E368F7"/>
    <w:rsid w:val="00E428C8"/>
    <w:rsid w:val="00E74A94"/>
    <w:rsid w:val="00E8694D"/>
    <w:rsid w:val="00EA57D5"/>
    <w:rsid w:val="00EC031B"/>
    <w:rsid w:val="00EC35D1"/>
    <w:rsid w:val="00EC363E"/>
    <w:rsid w:val="00EF2E22"/>
    <w:rsid w:val="00F0592C"/>
    <w:rsid w:val="00F06ED4"/>
    <w:rsid w:val="00F216B4"/>
    <w:rsid w:val="00F3425E"/>
    <w:rsid w:val="00F43289"/>
    <w:rsid w:val="00F614C4"/>
    <w:rsid w:val="00F660DF"/>
    <w:rsid w:val="00F95C08"/>
    <w:rsid w:val="00FD1581"/>
    <w:rsid w:val="00FF440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7AE66"/>
  <w15:docId w15:val="{256FDF36-37B7-41C2-9BED-78D0407C5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zh-CN"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F7"/>
  </w:style>
  <w:style w:type="paragraph" w:styleId="Titre1">
    <w:name w:val="heading 1"/>
    <w:aliases w:val="Table_G"/>
    <w:basedOn w:val="SingleTxtG"/>
    <w:next w:val="SingleTxtG"/>
    <w:link w:val="Titre1Car"/>
    <w:qFormat/>
    <w:rsid w:val="0080684C"/>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8068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80684C"/>
    <w:rPr>
      <w:rFonts w:ascii="Times New Roman" w:eastAsia="Times New Roman" w:hAnsi="Times New Roman" w:cs="Times New Roman"/>
      <w:b/>
      <w:sz w:val="18"/>
      <w:szCs w:val="20"/>
      <w:lang w:eastAsia="en-US"/>
    </w:rPr>
  </w:style>
  <w:style w:type="paragraph" w:styleId="Pieddepage">
    <w:name w:val="footer"/>
    <w:aliases w:val="3_G"/>
    <w:basedOn w:val="Normal"/>
    <w:next w:val="Normal"/>
    <w:link w:val="PieddepageCar"/>
    <w:qFormat/>
    <w:rsid w:val="0080684C"/>
    <w:pPr>
      <w:spacing w:line="240" w:lineRule="auto"/>
    </w:pPr>
    <w:rPr>
      <w:sz w:val="16"/>
    </w:rPr>
  </w:style>
  <w:style w:type="character" w:customStyle="1" w:styleId="PieddepageCar">
    <w:name w:val="Pied de page Car"/>
    <w:aliases w:val="3_G Car"/>
    <w:basedOn w:val="Policepardfaut"/>
    <w:link w:val="Pieddepage"/>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80684C"/>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80684C"/>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80684C"/>
    <w:pPr>
      <w:tabs>
        <w:tab w:val="left" w:pos="1701"/>
        <w:tab w:val="left" w:pos="2268"/>
        <w:tab w:val="left" w:pos="2835"/>
      </w:tabs>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Normal"/>
    <w:qFormat/>
    <w:rsid w:val="00DF6678"/>
    <w:pPr>
      <w:numPr>
        <w:numId w:val="3"/>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023842"/>
    <w:rPr>
      <w:rFonts w:ascii="Times New Roman" w:hAnsi="Times New Roman"/>
      <w:sz w:val="18"/>
      <w:vertAlign w:val="superscript"/>
      <w:lang w:val="fr-CH"/>
    </w:rPr>
  </w:style>
  <w:style w:type="character" w:styleId="Appeldenotedefin">
    <w:name w:val="endnote reference"/>
    <w:aliases w:val="1_G"/>
    <w:basedOn w:val="Appelnotedebasdep"/>
    <w:qFormat/>
    <w:rsid w:val="00023842"/>
    <w:rPr>
      <w:rFonts w:ascii="Times New Roman" w:hAnsi="Times New Roman"/>
      <w:sz w:val="18"/>
      <w:vertAlign w:val="superscript"/>
      <w:lang w:val="fr-CH"/>
    </w:rPr>
  </w:style>
  <w:style w:type="table" w:styleId="Grilledutableau">
    <w:name w:val="Table Grid"/>
    <w:basedOn w:val="TableauNormal"/>
    <w:rsid w:val="0002384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706363"/>
    <w:rPr>
      <w:color w:val="0000FF"/>
      <w:u w:val="none"/>
    </w:rPr>
  </w:style>
  <w:style w:type="character" w:styleId="Lienhypertextesuivivisit">
    <w:name w:val="FollowedHyperlink"/>
    <w:basedOn w:val="Policepardfaut"/>
    <w:unhideWhenUsed/>
    <w:rsid w:val="00706363"/>
    <w:rPr>
      <w:color w:val="0000FF"/>
      <w:u w:val="none"/>
    </w:rPr>
  </w:style>
  <w:style w:type="paragraph" w:styleId="Notedebasdepage">
    <w:name w:val="footnote text"/>
    <w:aliases w:val="5_G"/>
    <w:basedOn w:val="Normal"/>
    <w:link w:val="NotedebasdepageCar"/>
    <w:qFormat/>
    <w:rsid w:val="008068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80684C"/>
    <w:rPr>
      <w:rFonts w:ascii="Times New Roman" w:eastAsia="Times New Roman" w:hAnsi="Times New Roman" w:cs="Times New Roman"/>
      <w:sz w:val="18"/>
      <w:szCs w:val="20"/>
      <w:lang w:eastAsia="en-US"/>
    </w:rPr>
  </w:style>
  <w:style w:type="paragraph" w:styleId="Notedefin">
    <w:name w:val="endnote text"/>
    <w:aliases w:val="2_G"/>
    <w:basedOn w:val="Notedebasdepage"/>
    <w:link w:val="NotedefinCar"/>
    <w:qFormat/>
    <w:rsid w:val="0080684C"/>
  </w:style>
  <w:style w:type="character" w:customStyle="1" w:styleId="NotedefinCar">
    <w:name w:val="Note de fin Car"/>
    <w:aliases w:val="2_G Car"/>
    <w:basedOn w:val="Policepardfaut"/>
    <w:link w:val="Notedefin"/>
    <w:rsid w:val="0080684C"/>
    <w:rPr>
      <w:rFonts w:ascii="Times New Roman" w:eastAsia="Times New Roman" w:hAnsi="Times New Roman" w:cs="Times New Roman"/>
      <w:sz w:val="18"/>
      <w:szCs w:val="20"/>
      <w:lang w:eastAsia="en-US"/>
    </w:rPr>
  </w:style>
  <w:style w:type="character" w:styleId="Numrodepage">
    <w:name w:val="page number"/>
    <w:aliases w:val="7_G"/>
    <w:basedOn w:val="Policepardfaut"/>
    <w:qFormat/>
    <w:rsid w:val="00023842"/>
    <w:rPr>
      <w:rFonts w:ascii="Times New Roman" w:hAnsi="Times New Roman"/>
      <w:b/>
      <w:sz w:val="18"/>
      <w:lang w:val="fr-CH"/>
    </w:rPr>
  </w:style>
  <w:style w:type="character" w:customStyle="1" w:styleId="Titre1Car">
    <w:name w:val="Titre 1 Car"/>
    <w:aliases w:val="Table_G Car"/>
    <w:basedOn w:val="Policepardfaut"/>
    <w:link w:val="Titre1"/>
    <w:rsid w:val="0080684C"/>
    <w:rPr>
      <w:rFonts w:ascii="Times New Roman" w:eastAsia="Times New Roman"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1433F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33FD"/>
    <w:rPr>
      <w:rFonts w:ascii="Tahoma" w:hAnsi="Tahoma" w:cs="Tahoma"/>
      <w:sz w:val="16"/>
      <w:szCs w:val="16"/>
      <w:lang w:eastAsia="en-US"/>
    </w:rPr>
  </w:style>
  <w:style w:type="character" w:customStyle="1" w:styleId="SingleTxtGChar">
    <w:name w:val="_ Single Txt_G Char"/>
    <w:link w:val="SingleTxtG"/>
    <w:qFormat/>
    <w:rsid w:val="0001207F"/>
  </w:style>
  <w:style w:type="character" w:customStyle="1" w:styleId="HChGChar">
    <w:name w:val="_ H _Ch_G Char"/>
    <w:link w:val="HChG"/>
    <w:rsid w:val="0001207F"/>
    <w:rPr>
      <w:b/>
      <w:sz w:val="28"/>
    </w:rPr>
  </w:style>
  <w:style w:type="paragraph" w:styleId="Rvision">
    <w:name w:val="Revision"/>
    <w:hidden/>
    <w:uiPriority w:val="99"/>
    <w:semiHidden/>
    <w:rsid w:val="00536D46"/>
    <w:pPr>
      <w:spacing w:line="240" w:lineRule="auto"/>
    </w:pPr>
  </w:style>
  <w:style w:type="character" w:customStyle="1" w:styleId="H23GChar">
    <w:name w:val="_ H_2/3_G Char"/>
    <w:link w:val="H23G"/>
    <w:locked/>
    <w:rsid w:val="00523286"/>
    <w:rPr>
      <w:b/>
    </w:rPr>
  </w:style>
  <w:style w:type="character" w:styleId="Marquedecommentaire">
    <w:name w:val="annotation reference"/>
    <w:basedOn w:val="Policepardfaut"/>
    <w:unhideWhenUsed/>
    <w:rsid w:val="0055133C"/>
    <w:rPr>
      <w:sz w:val="16"/>
      <w:szCs w:val="16"/>
    </w:rPr>
  </w:style>
  <w:style w:type="paragraph" w:styleId="Commentaire">
    <w:name w:val="annotation text"/>
    <w:basedOn w:val="Normal"/>
    <w:link w:val="CommentaireCar"/>
    <w:unhideWhenUsed/>
    <w:rsid w:val="0055133C"/>
    <w:pPr>
      <w:spacing w:line="240" w:lineRule="auto"/>
    </w:pPr>
  </w:style>
  <w:style w:type="character" w:customStyle="1" w:styleId="CommentaireCar">
    <w:name w:val="Commentaire Car"/>
    <w:basedOn w:val="Policepardfaut"/>
    <w:link w:val="Commentaire"/>
    <w:rsid w:val="00551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183467">
      <w:bodyDiv w:val="1"/>
      <w:marLeft w:val="0"/>
      <w:marRight w:val="0"/>
      <w:marTop w:val="0"/>
      <w:marBottom w:val="0"/>
      <w:divBdr>
        <w:top w:val="none" w:sz="0" w:space="0" w:color="auto"/>
        <w:left w:val="none" w:sz="0" w:space="0" w:color="auto"/>
        <w:bottom w:val="none" w:sz="0" w:space="0" w:color="auto"/>
        <w:right w:val="none" w:sz="0" w:space="0" w:color="auto"/>
      </w:divBdr>
    </w:div>
    <w:div w:id="16534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sion\United%20Nations\UNOG_DCM-Macros%20-%20UNECE\Templates\TRANS\TRANS_WP1_24_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75E89253-221F-42DD-8F86-B975B20AD97B}"/>
</file>

<file path=customXml/itemProps2.xml><?xml version="1.0" encoding="utf-8"?>
<ds:datastoreItem xmlns:ds="http://schemas.openxmlformats.org/officeDocument/2006/customXml" ds:itemID="{81307320-C528-4032-AB5A-73B861CDA11F}">
  <ds:schemaRefs>
    <ds:schemaRef ds:uri="http://schemas.microsoft.com/sharepoint/v3/contenttype/forms"/>
  </ds:schemaRefs>
</ds:datastoreItem>
</file>

<file path=customXml/itemProps3.xml><?xml version="1.0" encoding="utf-8"?>
<ds:datastoreItem xmlns:ds="http://schemas.openxmlformats.org/officeDocument/2006/customXml" ds:itemID="{9BC14563-ACB7-44AD-B0EF-E55148CFDD3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TRANS_WP1_24_F.dotm</Template>
  <TotalTime>0</TotalTime>
  <Pages>3</Pages>
  <Words>867</Words>
  <Characters>4547</Characters>
  <Application>Microsoft Office Word</Application>
  <DocSecurity>0</DocSecurity>
  <Lines>105</Lines>
  <Paragraphs>74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ECE/EX/22</vt:lpstr>
      <vt:lpstr>ECE/EX/22</vt:lpstr>
    </vt:vector>
  </TitlesOfParts>
  <Company>DCM</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ECE/TRANS/WP.15/265/Corr.1</dc:title>
  <dc:subject>FINAL</dc:subject>
  <dc:creator>Sabrina Mansion</dc:creator>
  <cp:keywords/>
  <dc:description/>
  <cp:lastModifiedBy>Maud Dariche</cp:lastModifiedBy>
  <cp:revision>3</cp:revision>
  <cp:lastPrinted>2024-05-17T05:19:00Z</cp:lastPrinted>
  <dcterms:created xsi:type="dcterms:W3CDTF">2024-05-17T05:19:00Z</dcterms:created>
  <dcterms:modified xsi:type="dcterms:W3CDTF">2024-05-17T05:19:00Z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 of 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_x0020_of_x0020_Origin">
    <vt:lpwstr/>
  </property>
</Properties>
</file>