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1B499FA" w14:textId="77777777" w:rsidTr="00B20551">
        <w:trPr>
          <w:cantSplit/>
          <w:trHeight w:hRule="exact" w:val="851"/>
        </w:trPr>
        <w:tc>
          <w:tcPr>
            <w:tcW w:w="1276" w:type="dxa"/>
            <w:tcBorders>
              <w:bottom w:val="single" w:sz="4" w:space="0" w:color="auto"/>
            </w:tcBorders>
            <w:vAlign w:val="bottom"/>
          </w:tcPr>
          <w:p w14:paraId="05E998FC" w14:textId="77777777" w:rsidR="009E6CB7" w:rsidRDefault="009E6CB7" w:rsidP="00B20551">
            <w:pPr>
              <w:spacing w:after="80"/>
            </w:pPr>
          </w:p>
        </w:tc>
        <w:tc>
          <w:tcPr>
            <w:tcW w:w="2268" w:type="dxa"/>
            <w:tcBorders>
              <w:bottom w:val="single" w:sz="4" w:space="0" w:color="auto"/>
            </w:tcBorders>
            <w:vAlign w:val="bottom"/>
          </w:tcPr>
          <w:p w14:paraId="6D9EA1D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9B3619C" w14:textId="77777777" w:rsidR="009E6CB7" w:rsidRPr="00D47EEA" w:rsidRDefault="00843D0F" w:rsidP="00843D0F">
            <w:pPr>
              <w:jc w:val="right"/>
            </w:pPr>
            <w:r w:rsidRPr="00843D0F">
              <w:rPr>
                <w:sz w:val="40"/>
              </w:rPr>
              <w:t>ECE</w:t>
            </w:r>
            <w:r>
              <w:t>/TRANS/WP.15/265/Corr.1</w:t>
            </w:r>
          </w:p>
        </w:tc>
      </w:tr>
      <w:tr w:rsidR="009E6CB7" w14:paraId="3EC523D7" w14:textId="77777777" w:rsidTr="00B20551">
        <w:trPr>
          <w:cantSplit/>
          <w:trHeight w:hRule="exact" w:val="2835"/>
        </w:trPr>
        <w:tc>
          <w:tcPr>
            <w:tcW w:w="1276" w:type="dxa"/>
            <w:tcBorders>
              <w:top w:val="single" w:sz="4" w:space="0" w:color="auto"/>
              <w:bottom w:val="single" w:sz="12" w:space="0" w:color="auto"/>
            </w:tcBorders>
          </w:tcPr>
          <w:p w14:paraId="3883F2D9" w14:textId="77777777" w:rsidR="009E6CB7" w:rsidRDefault="00686A48" w:rsidP="00B20551">
            <w:pPr>
              <w:spacing w:before="120"/>
            </w:pPr>
            <w:r>
              <w:rPr>
                <w:noProof/>
                <w:lang w:val="fr-CH" w:eastAsia="fr-CH"/>
              </w:rPr>
              <w:drawing>
                <wp:inline distT="0" distB="0" distL="0" distR="0" wp14:anchorId="1C73750E" wp14:editId="145E49A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9083F6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C745032" w14:textId="77777777" w:rsidR="009E6CB7" w:rsidRDefault="00843D0F" w:rsidP="00843D0F">
            <w:pPr>
              <w:spacing w:before="240" w:line="240" w:lineRule="exact"/>
            </w:pPr>
            <w:r>
              <w:t>Distr.: General</w:t>
            </w:r>
          </w:p>
          <w:p w14:paraId="65354D7A" w14:textId="396E90A8" w:rsidR="00843D0F" w:rsidRDefault="001D71A3" w:rsidP="00843D0F">
            <w:pPr>
              <w:spacing w:line="240" w:lineRule="exact"/>
            </w:pPr>
            <w:r>
              <w:t>16</w:t>
            </w:r>
            <w:r w:rsidR="00843D0F">
              <w:t xml:space="preserve"> May 2024</w:t>
            </w:r>
          </w:p>
          <w:p w14:paraId="48EA2DD1" w14:textId="77777777" w:rsidR="00843D0F" w:rsidRDefault="00843D0F" w:rsidP="00843D0F">
            <w:pPr>
              <w:spacing w:line="240" w:lineRule="exact"/>
            </w:pPr>
            <w:r>
              <w:t>English</w:t>
            </w:r>
          </w:p>
          <w:p w14:paraId="5AEC855D" w14:textId="77777777" w:rsidR="00843D0F" w:rsidRDefault="00843D0F" w:rsidP="00843D0F">
            <w:pPr>
              <w:spacing w:line="240" w:lineRule="exact"/>
            </w:pPr>
            <w:r>
              <w:t>Original: English and French</w:t>
            </w:r>
          </w:p>
        </w:tc>
      </w:tr>
    </w:tbl>
    <w:p w14:paraId="77F22DCB" w14:textId="77777777" w:rsidR="00C740D2" w:rsidRPr="00D45D45" w:rsidRDefault="00C740D2" w:rsidP="00C740D2">
      <w:pPr>
        <w:spacing w:before="120"/>
        <w:rPr>
          <w:b/>
          <w:sz w:val="28"/>
          <w:szCs w:val="28"/>
        </w:rPr>
      </w:pPr>
      <w:r w:rsidRPr="00D45D45">
        <w:rPr>
          <w:b/>
          <w:sz w:val="28"/>
          <w:szCs w:val="28"/>
        </w:rPr>
        <w:t>Economic Commission for Europe</w:t>
      </w:r>
    </w:p>
    <w:p w14:paraId="20D3BD9C" w14:textId="77777777" w:rsidR="00C740D2" w:rsidRPr="00D45D45" w:rsidRDefault="00C740D2" w:rsidP="00C740D2">
      <w:pPr>
        <w:spacing w:before="120"/>
        <w:rPr>
          <w:sz w:val="28"/>
          <w:szCs w:val="28"/>
        </w:rPr>
      </w:pPr>
      <w:r w:rsidRPr="00D45D45">
        <w:rPr>
          <w:sz w:val="28"/>
          <w:szCs w:val="28"/>
        </w:rPr>
        <w:t>Inland Transport Committee</w:t>
      </w:r>
    </w:p>
    <w:p w14:paraId="761DBCB2" w14:textId="77777777" w:rsidR="00C740D2" w:rsidRPr="00D45D45" w:rsidRDefault="00C740D2" w:rsidP="00C740D2">
      <w:pPr>
        <w:spacing w:before="120"/>
        <w:rPr>
          <w:b/>
          <w:sz w:val="24"/>
          <w:szCs w:val="24"/>
        </w:rPr>
      </w:pPr>
      <w:r w:rsidRPr="00D45D45">
        <w:rPr>
          <w:b/>
          <w:sz w:val="24"/>
          <w:szCs w:val="24"/>
        </w:rPr>
        <w:t>Working Party on the Transport of Dangerous Goods</w:t>
      </w:r>
    </w:p>
    <w:p w14:paraId="6DDCED40" w14:textId="77777777" w:rsidR="00C740D2" w:rsidRPr="00D45D45" w:rsidRDefault="00C740D2" w:rsidP="00C740D2">
      <w:pPr>
        <w:pStyle w:val="HChG"/>
        <w:rPr>
          <w:bCs/>
        </w:rPr>
      </w:pPr>
      <w:r w:rsidRPr="00D45D45">
        <w:tab/>
      </w:r>
      <w:r w:rsidRPr="00D45D45">
        <w:tab/>
      </w:r>
      <w:r w:rsidRPr="00D45D45">
        <w:rPr>
          <w:bCs/>
        </w:rPr>
        <w:t>Agreement concerning the International Carriage of Dangerous Goods by Road (ADR)</w:t>
      </w:r>
    </w:p>
    <w:p w14:paraId="4F86A25D" w14:textId="77777777" w:rsidR="00C740D2" w:rsidRDefault="00C740D2" w:rsidP="00C740D2">
      <w:pPr>
        <w:pStyle w:val="H1G"/>
      </w:pPr>
      <w:r w:rsidRPr="00D45D45">
        <w:tab/>
      </w:r>
      <w:r w:rsidRPr="00D45D45">
        <w:tab/>
        <w:t>Draft amendments to annexes A and B of ADR</w:t>
      </w:r>
    </w:p>
    <w:p w14:paraId="7B0FBC33" w14:textId="77777777" w:rsidR="00C740D2" w:rsidRDefault="00C740D2" w:rsidP="00C740D2">
      <w:pPr>
        <w:pStyle w:val="H23G"/>
      </w:pPr>
      <w:r>
        <w:tab/>
      </w:r>
      <w:r>
        <w:tab/>
        <w:t>Corrigendum</w:t>
      </w:r>
    </w:p>
    <w:p w14:paraId="541746A7" w14:textId="77777777" w:rsidR="006130A9" w:rsidRPr="00625218" w:rsidRDefault="006130A9" w:rsidP="006130A9">
      <w:pPr>
        <w:pStyle w:val="H23G"/>
      </w:pPr>
      <w:r w:rsidRPr="00625218">
        <w:tab/>
      </w:r>
      <w:r>
        <w:t>1.</w:t>
      </w:r>
      <w:r w:rsidRPr="00625218">
        <w:t xml:space="preserve"> </w:t>
      </w:r>
      <w:r w:rsidRPr="00625218">
        <w:tab/>
        <w:t xml:space="preserve">Chapter 2.1, amendment to </w:t>
      </w:r>
      <w:r w:rsidRPr="00625218">
        <w:rPr>
          <w:rFonts w:eastAsia="SimSun"/>
        </w:rPr>
        <w:t>2.1.5.2</w:t>
      </w:r>
    </w:p>
    <w:p w14:paraId="1BFE5374" w14:textId="77777777" w:rsidR="006130A9" w:rsidRPr="00625218" w:rsidRDefault="006130A9" w:rsidP="006130A9">
      <w:pPr>
        <w:pStyle w:val="SingleTxtG"/>
      </w:pPr>
      <w:r w:rsidRPr="00625218">
        <w:t xml:space="preserve">For the existing text, </w:t>
      </w:r>
      <w:r w:rsidRPr="00625218">
        <w:rPr>
          <w:i/>
          <w:iCs/>
        </w:rPr>
        <w:t>substitute</w:t>
      </w:r>
    </w:p>
    <w:p w14:paraId="06D45A5E" w14:textId="77777777" w:rsidR="006130A9" w:rsidRPr="00625218" w:rsidRDefault="006130A9" w:rsidP="006130A9">
      <w:pPr>
        <w:pStyle w:val="SingleTxtG"/>
        <w:tabs>
          <w:tab w:val="clear" w:pos="1701"/>
        </w:tabs>
        <w:rPr>
          <w:bCs/>
        </w:rPr>
      </w:pPr>
      <w:r w:rsidRPr="00625218">
        <w:rPr>
          <w:bCs/>
        </w:rPr>
        <w:t>2.1.5.2</w:t>
      </w:r>
      <w:r w:rsidRPr="00625218">
        <w:rPr>
          <w:bCs/>
        </w:rPr>
        <w:tab/>
        <w:t>Amend to read as follows:</w:t>
      </w:r>
    </w:p>
    <w:p w14:paraId="1B9B77BB" w14:textId="7C3BB7A6" w:rsidR="006130A9" w:rsidRPr="00625218" w:rsidRDefault="00C639DE" w:rsidP="006130A9">
      <w:pPr>
        <w:pStyle w:val="SingleTxtG"/>
        <w:ind w:left="2268" w:hanging="1134"/>
        <w:rPr>
          <w:bCs/>
        </w:rPr>
      </w:pPr>
      <w:r w:rsidRPr="00625218">
        <w:t>“</w:t>
      </w:r>
      <w:r w:rsidR="006130A9" w:rsidRPr="00625218">
        <w:rPr>
          <w:rFonts w:eastAsia="SimSun"/>
          <w:bCs/>
          <w:lang w:eastAsia="zh-CN"/>
        </w:rPr>
        <w:t>2.1.5.2</w:t>
      </w:r>
      <w:r w:rsidR="006130A9" w:rsidRPr="00625218">
        <w:rPr>
          <w:rFonts w:eastAsia="SimSun"/>
          <w:bCs/>
          <w:lang w:eastAsia="zh-CN"/>
        </w:rPr>
        <w:tab/>
        <w:t xml:space="preserve">Such articles may in addition contain cells or batteries. Lithium metal, lithium ion and sodium ion cells and batteries that are integral to the article shall be of a type proven to meet the testing requirements of </w:t>
      </w:r>
      <w:r w:rsidR="006130A9" w:rsidRPr="001D71A3">
        <w:rPr>
          <w:rFonts w:eastAsia="SimSun"/>
          <w:bCs/>
          <w:lang w:eastAsia="zh-CN"/>
        </w:rPr>
        <w:t>the</w:t>
      </w:r>
      <w:r w:rsidR="006130A9" w:rsidRPr="00572A86">
        <w:rPr>
          <w:rFonts w:eastAsia="SimSun"/>
          <w:bCs/>
          <w:i/>
          <w:iCs/>
          <w:lang w:eastAsia="zh-CN"/>
        </w:rPr>
        <w:t xml:space="preserve"> Manual of Tests and Criteria</w:t>
      </w:r>
      <w:r w:rsidR="006130A9" w:rsidRPr="00625218">
        <w:rPr>
          <w:rFonts w:eastAsia="SimSun"/>
          <w:bCs/>
          <w:lang w:eastAsia="zh-CN"/>
        </w:rPr>
        <w:t>, Part III, sub-section 38.3. For articles containing pre-production prototype lithium metal, lithium ion or sodium ion cells or batteries carried for testing, or for articles containing lithium metal, lithium ion or sodium ion cells or batteries manufactured in production runs of not more than 100 cells or batteries, the requirements of special provision 310 of Chapter 3.3 shall apply.</w:t>
      </w:r>
      <w:r w:rsidRPr="00625218">
        <w:t>”</w:t>
      </w:r>
    </w:p>
    <w:p w14:paraId="364D0186" w14:textId="2157D09E" w:rsidR="006130A9" w:rsidRPr="00625218" w:rsidRDefault="006130A9" w:rsidP="006130A9">
      <w:pPr>
        <w:pStyle w:val="H23G"/>
      </w:pPr>
      <w:r w:rsidRPr="00625218">
        <w:tab/>
      </w:r>
      <w:r>
        <w:t>2.</w:t>
      </w:r>
      <w:r w:rsidRPr="00625218">
        <w:t xml:space="preserve"> </w:t>
      </w:r>
      <w:r w:rsidRPr="00625218">
        <w:tab/>
        <w:t xml:space="preserve">Chapter 3.3, </w:t>
      </w:r>
      <w:r w:rsidRPr="00625218">
        <w:rPr>
          <w:rFonts w:eastAsia="SimSun"/>
        </w:rPr>
        <w:t>SP 188</w:t>
      </w:r>
      <w:r w:rsidR="003C417A">
        <w:rPr>
          <w:rFonts w:eastAsia="SimSun"/>
        </w:rPr>
        <w:t xml:space="preserve">, </w:t>
      </w:r>
      <w:r w:rsidR="003C417A" w:rsidRPr="00625218">
        <w:t>amendment to</w:t>
      </w:r>
      <w:r w:rsidRPr="00625218">
        <w:rPr>
          <w:rFonts w:eastAsia="SimSun"/>
        </w:rPr>
        <w:t xml:space="preserve"> (f)</w:t>
      </w:r>
    </w:p>
    <w:p w14:paraId="43403B2F" w14:textId="77777777" w:rsidR="006130A9" w:rsidRPr="00625218" w:rsidRDefault="006130A9" w:rsidP="006130A9">
      <w:pPr>
        <w:pStyle w:val="SingleTxtG"/>
      </w:pPr>
      <w:r w:rsidRPr="00625218">
        <w:t xml:space="preserve">For the existing text, </w:t>
      </w:r>
      <w:r w:rsidRPr="00625218">
        <w:rPr>
          <w:i/>
          <w:iCs/>
        </w:rPr>
        <w:t>substitute</w:t>
      </w:r>
    </w:p>
    <w:p w14:paraId="122B5B2F" w14:textId="77777777" w:rsidR="006130A9" w:rsidRPr="00625218" w:rsidRDefault="006130A9" w:rsidP="006130A9">
      <w:pPr>
        <w:pStyle w:val="SingleTxtG"/>
      </w:pPr>
      <w:r w:rsidRPr="00625218">
        <w:t>In (f):</w:t>
      </w:r>
    </w:p>
    <w:p w14:paraId="2455DD23" w14:textId="77777777" w:rsidR="006130A9" w:rsidRPr="00625218" w:rsidRDefault="006130A9" w:rsidP="006130A9">
      <w:pPr>
        <w:pStyle w:val="SingleTxtG"/>
      </w:pPr>
      <w:r w:rsidRPr="00625218">
        <w:t>–</w:t>
      </w:r>
      <w:r w:rsidRPr="00625218">
        <w:tab/>
        <w:t>In the first sentence, replace “lithium battery mark” by “battery mark”;</w:t>
      </w:r>
    </w:p>
    <w:p w14:paraId="0D115100" w14:textId="77777777" w:rsidR="006130A9" w:rsidRPr="00625218" w:rsidRDefault="006130A9" w:rsidP="006130A9">
      <w:pPr>
        <w:pStyle w:val="SingleTxtG"/>
      </w:pPr>
      <w:r w:rsidRPr="00625218">
        <w:t>–</w:t>
      </w:r>
      <w:r w:rsidRPr="00625218">
        <w:tab/>
        <w:t>In the last paragraph, first sentence, replace “lithium battery mark” by “battery mark”;</w:t>
      </w:r>
    </w:p>
    <w:p w14:paraId="6C5D12D6" w14:textId="77777777" w:rsidR="006130A9" w:rsidRPr="00625218" w:rsidRDefault="006130A9" w:rsidP="006130A9">
      <w:pPr>
        <w:pStyle w:val="SingleTxtG"/>
      </w:pPr>
      <w:r w:rsidRPr="00625218">
        <w:t>–</w:t>
      </w:r>
      <w:r w:rsidRPr="00625218">
        <w:tab/>
        <w:t>In the Note, replace “(lithium battery mark)” by “(battery mark)”.</w:t>
      </w:r>
    </w:p>
    <w:p w14:paraId="49A89187" w14:textId="7DB58AD2" w:rsidR="006130A9" w:rsidRPr="00625218" w:rsidRDefault="006130A9" w:rsidP="006130A9">
      <w:pPr>
        <w:pStyle w:val="H23G"/>
      </w:pPr>
      <w:r w:rsidRPr="00625218">
        <w:tab/>
      </w:r>
      <w:r>
        <w:t>3.</w:t>
      </w:r>
      <w:r w:rsidRPr="00625218">
        <w:t xml:space="preserve"> </w:t>
      </w:r>
      <w:r w:rsidRPr="00625218">
        <w:tab/>
        <w:t>Chapter 4.1, 4.1.4.1, P006, new (5), in the introductory sentence (twice)</w:t>
      </w:r>
    </w:p>
    <w:p w14:paraId="62E3D68F" w14:textId="77777777" w:rsidR="006130A9" w:rsidRPr="00625218" w:rsidRDefault="006130A9" w:rsidP="006130A9">
      <w:pPr>
        <w:pStyle w:val="SingleTxtG"/>
        <w:rPr>
          <w:bCs/>
        </w:rPr>
      </w:pPr>
      <w:r w:rsidRPr="00625218">
        <w:rPr>
          <w:i/>
          <w:iCs/>
        </w:rPr>
        <w:t>For</w:t>
      </w:r>
      <w:r w:rsidRPr="00625218">
        <w:t xml:space="preserve"> lithium cells or batteries </w:t>
      </w:r>
      <w:r w:rsidRPr="00625218">
        <w:rPr>
          <w:i/>
          <w:iCs/>
        </w:rPr>
        <w:t>read</w:t>
      </w:r>
      <w:r w:rsidRPr="00625218">
        <w:t xml:space="preserve"> lithium cells or batteries </w:t>
      </w:r>
      <w:r w:rsidRPr="00625218">
        <w:rPr>
          <w:bCs/>
        </w:rPr>
        <w:t>or sodium ion cells or batteries</w:t>
      </w:r>
    </w:p>
    <w:p w14:paraId="59AB2914" w14:textId="77777777" w:rsidR="006130A9" w:rsidRPr="00E24AE2" w:rsidRDefault="006130A9" w:rsidP="006130A9">
      <w:pPr>
        <w:pStyle w:val="H23G"/>
        <w:rPr>
          <w:rFonts w:eastAsia="SimSun"/>
          <w:lang w:eastAsia="zh-CN"/>
        </w:rPr>
      </w:pPr>
      <w:r w:rsidRPr="00625218">
        <w:tab/>
      </w:r>
      <w:r w:rsidRPr="00E24AE2">
        <w:t xml:space="preserve">4. </w:t>
      </w:r>
      <w:r w:rsidRPr="00E24AE2">
        <w:tab/>
        <w:t>Chapter 4.1, 4.1.4.1, amendments to P200, first amendment to the tables (</w:t>
      </w:r>
      <w:r w:rsidRPr="00E24AE2">
        <w:rPr>
          <w:rFonts w:eastAsia="SimSun"/>
          <w:lang w:eastAsia="zh-CN"/>
        </w:rPr>
        <w:t>“In the tables, place the footnotes directly below the packing instruction, on those pages on which they appear.”)</w:t>
      </w:r>
    </w:p>
    <w:p w14:paraId="1653CB25" w14:textId="77777777" w:rsidR="006130A9" w:rsidRPr="0038459B" w:rsidRDefault="006130A9" w:rsidP="006130A9">
      <w:pPr>
        <w:pStyle w:val="SingleTxtG"/>
        <w:rPr>
          <w:i/>
          <w:iCs/>
        </w:rPr>
      </w:pPr>
      <w:r w:rsidRPr="00E24AE2">
        <w:rPr>
          <w:i/>
          <w:iCs/>
        </w:rPr>
        <w:t>Delete</w:t>
      </w:r>
    </w:p>
    <w:p w14:paraId="27A50CFB" w14:textId="77777777" w:rsidR="006130A9" w:rsidRPr="00002BC4" w:rsidRDefault="006130A9" w:rsidP="006130A9">
      <w:pPr>
        <w:pStyle w:val="H23G"/>
        <w:rPr>
          <w:rFonts w:eastAsia="SimSun"/>
          <w:lang w:eastAsia="zh-CN"/>
        </w:rPr>
      </w:pPr>
      <w:r w:rsidRPr="00625218">
        <w:lastRenderedPageBreak/>
        <w:tab/>
      </w:r>
      <w:r>
        <w:t>5.</w:t>
      </w:r>
      <w:r w:rsidRPr="00625218">
        <w:t xml:space="preserve"> </w:t>
      </w:r>
      <w:r w:rsidRPr="00625218">
        <w:tab/>
        <w:t xml:space="preserve">Chapter 4.1, 4.1.4.1, </w:t>
      </w:r>
      <w:r>
        <w:t>amendments to P200, first amendment to table 2 (</w:t>
      </w:r>
      <w:r w:rsidRPr="003A4E5F">
        <w:rPr>
          <w:rFonts w:eastAsia="SimSun"/>
          <w:lang w:eastAsia="zh-CN"/>
        </w:rPr>
        <w:t xml:space="preserve">“In table 2, renumber footnotes </w:t>
      </w:r>
      <w:r w:rsidRPr="003A4E5F">
        <w:rPr>
          <w:rFonts w:eastAsia="SimSun"/>
          <w:vertAlign w:val="superscript"/>
          <w:lang w:eastAsia="zh-CN"/>
        </w:rPr>
        <w:t>b</w:t>
      </w:r>
      <w:r w:rsidRPr="003A4E5F">
        <w:rPr>
          <w:rFonts w:eastAsia="SimSun"/>
          <w:lang w:eastAsia="zh-CN"/>
        </w:rPr>
        <w:t xml:space="preserve"> to </w:t>
      </w:r>
      <w:r w:rsidRPr="003A4E5F">
        <w:rPr>
          <w:rFonts w:eastAsia="SimSun"/>
          <w:vertAlign w:val="superscript"/>
          <w:lang w:eastAsia="zh-CN"/>
        </w:rPr>
        <w:t xml:space="preserve">d </w:t>
      </w:r>
      <w:r w:rsidRPr="003A4E5F">
        <w:rPr>
          <w:rFonts w:eastAsia="SimSun"/>
          <w:lang w:eastAsia="zh-CN"/>
        </w:rPr>
        <w:t xml:space="preserve">as </w:t>
      </w:r>
      <w:r w:rsidRPr="003A4E5F">
        <w:rPr>
          <w:rFonts w:eastAsia="SimSun"/>
          <w:vertAlign w:val="superscript"/>
          <w:lang w:eastAsia="zh-CN"/>
        </w:rPr>
        <w:t>c</w:t>
      </w:r>
      <w:r w:rsidRPr="003A4E5F">
        <w:rPr>
          <w:rFonts w:eastAsia="SimSun"/>
          <w:lang w:eastAsia="zh-CN"/>
        </w:rPr>
        <w:t xml:space="preserve"> to </w:t>
      </w:r>
      <w:r w:rsidRPr="003A4E5F">
        <w:rPr>
          <w:rFonts w:eastAsia="SimSun"/>
          <w:vertAlign w:val="superscript"/>
          <w:lang w:eastAsia="zh-CN"/>
        </w:rPr>
        <w:t>e</w:t>
      </w:r>
      <w:r w:rsidRPr="003A4E5F">
        <w:rPr>
          <w:rFonts w:eastAsia="SimSun"/>
          <w:lang w:eastAsia="zh-CN"/>
        </w:rPr>
        <w:t>.”</w:t>
      </w:r>
      <w:r>
        <w:rPr>
          <w:rFonts w:eastAsia="SimSun"/>
          <w:lang w:eastAsia="zh-CN"/>
        </w:rPr>
        <w:t>)</w:t>
      </w:r>
    </w:p>
    <w:p w14:paraId="01EFB80D" w14:textId="77777777" w:rsidR="006130A9" w:rsidRPr="0038459B" w:rsidRDefault="006130A9" w:rsidP="006130A9">
      <w:pPr>
        <w:pStyle w:val="SingleTxtG"/>
        <w:rPr>
          <w:i/>
          <w:iCs/>
        </w:rPr>
      </w:pPr>
      <w:r w:rsidRPr="0038459B">
        <w:rPr>
          <w:i/>
          <w:iCs/>
        </w:rPr>
        <w:t>Delete</w:t>
      </w:r>
    </w:p>
    <w:p w14:paraId="64748D68" w14:textId="77777777" w:rsidR="006130A9" w:rsidRPr="00002BC4" w:rsidRDefault="006130A9" w:rsidP="006130A9">
      <w:pPr>
        <w:pStyle w:val="H23G"/>
        <w:rPr>
          <w:rFonts w:eastAsia="SimSun"/>
          <w:lang w:eastAsia="zh-CN"/>
        </w:rPr>
      </w:pPr>
      <w:r w:rsidRPr="00625218">
        <w:tab/>
      </w:r>
      <w:r>
        <w:t>6.</w:t>
      </w:r>
      <w:r w:rsidRPr="00625218">
        <w:t xml:space="preserve"> </w:t>
      </w:r>
      <w:r w:rsidRPr="00625218">
        <w:tab/>
        <w:t xml:space="preserve">Chapter 4.1, 4.1.4.1, </w:t>
      </w:r>
      <w:r>
        <w:t>amendments to P200, last amendment to table 2 (</w:t>
      </w:r>
      <w:r w:rsidRPr="003A4E5F">
        <w:rPr>
          <w:rFonts w:eastAsia="SimSun"/>
          <w:lang w:eastAsia="zh-CN"/>
        </w:rPr>
        <w:t>“</w:t>
      </w:r>
      <w:r w:rsidRPr="003A4E5F">
        <w:t xml:space="preserve">In footnote renumbered as </w:t>
      </w:r>
      <w:r w:rsidRPr="003A4E5F">
        <w:rPr>
          <w:rFonts w:eastAsia="SimSun"/>
          <w:bCs/>
          <w:vertAlign w:val="superscript"/>
          <w:lang w:eastAsia="zh-CN"/>
        </w:rPr>
        <w:t>c</w:t>
      </w:r>
      <w:r w:rsidRPr="003A4E5F">
        <w:t xml:space="preserve"> under table 2, replace the figure by :</w:t>
      </w:r>
      <w:r w:rsidRPr="003A4E5F">
        <w:rPr>
          <w:rFonts w:eastAsia="SimSun"/>
          <w:lang w:eastAsia="zh-CN"/>
        </w:rPr>
        <w:t>”</w:t>
      </w:r>
      <w:r>
        <w:rPr>
          <w:rFonts w:eastAsia="SimSun"/>
          <w:lang w:eastAsia="zh-CN"/>
        </w:rPr>
        <w:t>)</w:t>
      </w:r>
    </w:p>
    <w:p w14:paraId="6661C1F2" w14:textId="77777777" w:rsidR="006130A9" w:rsidRPr="00DD7663" w:rsidRDefault="006130A9" w:rsidP="006130A9">
      <w:pPr>
        <w:pStyle w:val="SingleTxtG"/>
      </w:pPr>
      <w:r>
        <w:rPr>
          <w:i/>
          <w:iCs/>
        </w:rPr>
        <w:t>For</w:t>
      </w:r>
      <w:r>
        <w:t xml:space="preserve"> </w:t>
      </w:r>
      <w:r w:rsidRPr="003A4E5F">
        <w:t xml:space="preserve">In footnote renumbered as </w:t>
      </w:r>
      <w:r w:rsidRPr="003A4E5F">
        <w:rPr>
          <w:rFonts w:eastAsia="SimSun"/>
          <w:b/>
          <w:bCs/>
          <w:vertAlign w:val="superscript"/>
          <w:lang w:eastAsia="zh-CN"/>
        </w:rPr>
        <w:t>c</w:t>
      </w:r>
      <w:r w:rsidRPr="00DD7663">
        <w:rPr>
          <w:rFonts w:eastAsia="SimSun"/>
          <w:lang w:eastAsia="zh-CN"/>
        </w:rPr>
        <w:t xml:space="preserve"> </w:t>
      </w:r>
      <w:r w:rsidRPr="00DD7663">
        <w:rPr>
          <w:rFonts w:eastAsia="SimSun"/>
          <w:i/>
          <w:iCs/>
          <w:lang w:eastAsia="zh-CN"/>
        </w:rPr>
        <w:t>read</w:t>
      </w:r>
      <w:r>
        <w:rPr>
          <w:rFonts w:eastAsia="SimSun"/>
          <w:lang w:eastAsia="zh-CN"/>
        </w:rPr>
        <w:t xml:space="preserve"> </w:t>
      </w:r>
      <w:r w:rsidRPr="00BE13F3">
        <w:t>In table 2</w:t>
      </w:r>
      <w:r w:rsidRPr="00625218">
        <w:t>, in the footnote related to the filling ratio for UN No. 1965</w:t>
      </w:r>
    </w:p>
    <w:p w14:paraId="4F5A58B9" w14:textId="77777777" w:rsidR="006130A9" w:rsidRPr="00002BC4" w:rsidRDefault="006130A9" w:rsidP="006130A9">
      <w:pPr>
        <w:pStyle w:val="H23G"/>
        <w:rPr>
          <w:rFonts w:eastAsia="SimSun"/>
          <w:lang w:eastAsia="zh-CN"/>
        </w:rPr>
      </w:pPr>
      <w:r w:rsidRPr="00625218">
        <w:tab/>
      </w:r>
      <w:r>
        <w:t>7.</w:t>
      </w:r>
      <w:r w:rsidRPr="00625218">
        <w:t xml:space="preserve"> </w:t>
      </w:r>
      <w:r w:rsidRPr="00625218">
        <w:tab/>
        <w:t xml:space="preserve">Chapter 4.1, 4.1.4.1, </w:t>
      </w:r>
      <w:r>
        <w:t>amendments to P200, amendment to table 3</w:t>
      </w:r>
    </w:p>
    <w:p w14:paraId="580A9C0E" w14:textId="77777777" w:rsidR="006130A9" w:rsidRPr="0038459B" w:rsidRDefault="006130A9" w:rsidP="006130A9">
      <w:pPr>
        <w:pStyle w:val="SingleTxtG"/>
        <w:rPr>
          <w:i/>
          <w:iCs/>
        </w:rPr>
      </w:pPr>
      <w:r w:rsidRPr="0038459B">
        <w:rPr>
          <w:i/>
          <w:iCs/>
        </w:rPr>
        <w:t>Delete</w:t>
      </w:r>
    </w:p>
    <w:p w14:paraId="2A119FAD" w14:textId="77777777" w:rsidR="006130A9" w:rsidRPr="005411D8" w:rsidRDefault="006130A9" w:rsidP="006130A9">
      <w:pPr>
        <w:pStyle w:val="H23G"/>
      </w:pPr>
      <w:r w:rsidRPr="00625218">
        <w:tab/>
      </w:r>
      <w:r w:rsidRPr="005411D8">
        <w:t xml:space="preserve">8. </w:t>
      </w:r>
      <w:r w:rsidRPr="005411D8">
        <w:tab/>
        <w:t>Chapter 4.1, 4.1.4.3, LP03, in new (4), in the introductory sentence (twice)</w:t>
      </w:r>
    </w:p>
    <w:p w14:paraId="01277A7B" w14:textId="77777777" w:rsidR="006130A9" w:rsidRPr="00625218" w:rsidRDefault="006130A9" w:rsidP="006130A9">
      <w:pPr>
        <w:pStyle w:val="SingleTxtG"/>
        <w:rPr>
          <w:bCs/>
        </w:rPr>
      </w:pPr>
      <w:r w:rsidRPr="005411D8">
        <w:rPr>
          <w:i/>
          <w:iCs/>
        </w:rPr>
        <w:t>For</w:t>
      </w:r>
      <w:r w:rsidRPr="005411D8">
        <w:t xml:space="preserve"> lithium cells or batteries </w:t>
      </w:r>
      <w:r w:rsidRPr="005411D8">
        <w:rPr>
          <w:i/>
          <w:iCs/>
        </w:rPr>
        <w:t>read</w:t>
      </w:r>
      <w:r w:rsidRPr="005411D8">
        <w:t xml:space="preserve"> lithium cells or batteries </w:t>
      </w:r>
      <w:r w:rsidRPr="005411D8">
        <w:rPr>
          <w:bCs/>
        </w:rPr>
        <w:t>or sodium ion cells or batteries</w:t>
      </w:r>
    </w:p>
    <w:p w14:paraId="629270DC" w14:textId="77777777" w:rsidR="006130A9" w:rsidRPr="00625218" w:rsidRDefault="006130A9" w:rsidP="006130A9">
      <w:pPr>
        <w:pStyle w:val="H23G"/>
      </w:pPr>
      <w:r w:rsidRPr="00625218">
        <w:tab/>
      </w:r>
      <w:r>
        <w:t>9.</w:t>
      </w:r>
      <w:r w:rsidRPr="00625218">
        <w:t xml:space="preserve"> </w:t>
      </w:r>
      <w:r w:rsidRPr="00625218">
        <w:tab/>
        <w:t xml:space="preserve">Chapter 5.2, amendment to </w:t>
      </w:r>
      <w:r w:rsidRPr="00625218">
        <w:rPr>
          <w:rFonts w:eastAsia="SimSun"/>
        </w:rPr>
        <w:t>5.2.1.9</w:t>
      </w:r>
    </w:p>
    <w:p w14:paraId="2700A042" w14:textId="77777777" w:rsidR="006130A9" w:rsidRPr="00625218" w:rsidRDefault="006130A9" w:rsidP="006130A9">
      <w:pPr>
        <w:pStyle w:val="SingleTxtG"/>
      </w:pPr>
      <w:r w:rsidRPr="00625218">
        <w:t xml:space="preserve">For the existing text, </w:t>
      </w:r>
      <w:r w:rsidRPr="00625218">
        <w:rPr>
          <w:i/>
          <w:iCs/>
        </w:rPr>
        <w:t>substitute</w:t>
      </w:r>
    </w:p>
    <w:p w14:paraId="5E10DE57" w14:textId="77777777" w:rsidR="006130A9" w:rsidRPr="00625218" w:rsidRDefault="006130A9" w:rsidP="006130A9">
      <w:pPr>
        <w:pStyle w:val="SingleTxtG"/>
      </w:pPr>
      <w:r w:rsidRPr="00625218">
        <w:t>5.2.1.9</w:t>
      </w:r>
      <w:r w:rsidRPr="00625218">
        <w:tab/>
      </w:r>
      <w:r>
        <w:tab/>
      </w:r>
      <w:r w:rsidRPr="00625218">
        <w:t>Amend the heading to read “</w:t>
      </w:r>
      <w:r w:rsidRPr="00625218">
        <w:rPr>
          <w:b/>
          <w:bCs/>
        </w:rPr>
        <w:t>5.2.1.9</w:t>
      </w:r>
      <w:r w:rsidRPr="00625218">
        <w:t xml:space="preserve"> </w:t>
      </w:r>
      <w:r w:rsidRPr="00625218">
        <w:rPr>
          <w:b/>
          <w:bCs/>
          <w:i/>
          <w:iCs/>
        </w:rPr>
        <w:t>Battery mark</w:t>
      </w:r>
      <w:r w:rsidRPr="00625218">
        <w:t>”.</w:t>
      </w:r>
    </w:p>
    <w:p w14:paraId="482E8BB1" w14:textId="77777777" w:rsidR="006130A9" w:rsidRPr="00625218" w:rsidRDefault="006130A9" w:rsidP="006130A9">
      <w:pPr>
        <w:pStyle w:val="H23G"/>
      </w:pPr>
      <w:r w:rsidRPr="00625218">
        <w:tab/>
      </w:r>
      <w:r>
        <w:t>10.</w:t>
      </w:r>
      <w:r w:rsidRPr="00625218">
        <w:t xml:space="preserve"> </w:t>
      </w:r>
      <w:r w:rsidRPr="00625218">
        <w:tab/>
        <w:t xml:space="preserve">Chapter 5.2, 5.2.1.9.2, </w:t>
      </w:r>
      <w:r w:rsidRPr="00197CB0">
        <w:t>second amendment</w:t>
      </w:r>
      <w:r w:rsidRPr="00625218">
        <w:t xml:space="preserve"> </w:t>
      </w:r>
    </w:p>
    <w:p w14:paraId="3CB1E835" w14:textId="77777777" w:rsidR="006130A9" w:rsidRPr="00625218" w:rsidRDefault="006130A9" w:rsidP="006130A9">
      <w:pPr>
        <w:pStyle w:val="SingleTxtG"/>
      </w:pPr>
      <w:r w:rsidRPr="00625218">
        <w:t xml:space="preserve">For the existing text, </w:t>
      </w:r>
      <w:r w:rsidRPr="00625218">
        <w:rPr>
          <w:i/>
          <w:iCs/>
        </w:rPr>
        <w:t>substitute</w:t>
      </w:r>
    </w:p>
    <w:p w14:paraId="10260A1B" w14:textId="77777777" w:rsidR="006130A9" w:rsidRPr="00625218" w:rsidRDefault="006130A9" w:rsidP="006130A9">
      <w:pPr>
        <w:pStyle w:val="SingleTxtG"/>
      </w:pPr>
      <w:r w:rsidRPr="00625218">
        <w:rPr>
          <w:rFonts w:eastAsia="SimSun"/>
          <w:lang w:eastAsia="zh-CN"/>
        </w:rPr>
        <w:t>Amend the heading of figure 5.2.1.9.2 to read “</w:t>
      </w:r>
      <w:r w:rsidRPr="00625218">
        <w:rPr>
          <w:rFonts w:eastAsia="SimSun"/>
          <w:b/>
          <w:bCs/>
          <w:lang w:eastAsia="zh-CN"/>
        </w:rPr>
        <w:t>Battery mark</w:t>
      </w:r>
      <w:r w:rsidRPr="00625218">
        <w:rPr>
          <w:rFonts w:eastAsia="SimSun"/>
          <w:lang w:eastAsia="zh-CN"/>
        </w:rPr>
        <w:t>”.</w:t>
      </w:r>
    </w:p>
    <w:p w14:paraId="1E5E60E9" w14:textId="77777777" w:rsidR="006130A9" w:rsidRPr="00625218" w:rsidRDefault="006130A9" w:rsidP="006130A9">
      <w:pPr>
        <w:pStyle w:val="H23G"/>
      </w:pPr>
      <w:r w:rsidRPr="00625218">
        <w:tab/>
      </w:r>
      <w:r>
        <w:t>11.</w:t>
      </w:r>
      <w:r w:rsidRPr="00625218">
        <w:t xml:space="preserve"> </w:t>
      </w:r>
      <w:r w:rsidRPr="00625218">
        <w:tab/>
        <w:t>Chapter 5.2, amendment to 5.2.2.1.12.1</w:t>
      </w:r>
    </w:p>
    <w:p w14:paraId="25B89FD7" w14:textId="77777777" w:rsidR="006130A9" w:rsidRPr="00625218" w:rsidRDefault="006130A9" w:rsidP="006130A9">
      <w:pPr>
        <w:pStyle w:val="SingleTxtG"/>
      </w:pPr>
      <w:r w:rsidRPr="00625218">
        <w:t xml:space="preserve">For the existing text, </w:t>
      </w:r>
      <w:r w:rsidRPr="00625218">
        <w:rPr>
          <w:i/>
          <w:iCs/>
        </w:rPr>
        <w:t>substitute</w:t>
      </w:r>
    </w:p>
    <w:p w14:paraId="36D8C2BD" w14:textId="77777777" w:rsidR="006130A9" w:rsidRPr="00625218" w:rsidRDefault="006130A9" w:rsidP="006130A9">
      <w:pPr>
        <w:pStyle w:val="SingleTxtG"/>
        <w:ind w:left="2268" w:hanging="1134"/>
      </w:pPr>
      <w:r w:rsidRPr="00625218">
        <w:t>5.2.2.1.12.1</w:t>
      </w:r>
      <w:r w:rsidRPr="00625218">
        <w:tab/>
        <w:t>Replace “lithium batteries” by “lithium batteries or sodium ion batteries”, and “lithium battery mark” by “battery mark”.</w:t>
      </w:r>
    </w:p>
    <w:p w14:paraId="34B39903" w14:textId="77777777" w:rsidR="006130A9" w:rsidRPr="00E364F5" w:rsidRDefault="006130A9" w:rsidP="006130A9">
      <w:pPr>
        <w:pStyle w:val="H23G"/>
      </w:pPr>
      <w:r>
        <w:tab/>
        <w:t>12.</w:t>
      </w:r>
      <w:r>
        <w:tab/>
      </w:r>
      <w:r w:rsidRPr="00E364F5">
        <w:t>Chapter 7.3, 7.3.3.2.7, new AP11, in 4 and 4.5</w:t>
      </w:r>
    </w:p>
    <w:p w14:paraId="6901E573" w14:textId="77777777" w:rsidR="006130A9" w:rsidRPr="0038459B" w:rsidRDefault="006130A9" w:rsidP="006130A9">
      <w:pPr>
        <w:pStyle w:val="SingleTxtG"/>
      </w:pPr>
      <w:r w:rsidRPr="0038459B">
        <w:rPr>
          <w:i/>
          <w:iCs/>
        </w:rPr>
        <w:t xml:space="preserve">For </w:t>
      </w:r>
      <w:r w:rsidRPr="0038459B">
        <w:t xml:space="preserve">EN 12972:2018 </w:t>
      </w:r>
      <w:r w:rsidRPr="0038459B">
        <w:rPr>
          <w:i/>
          <w:iCs/>
        </w:rPr>
        <w:t xml:space="preserve">read </w:t>
      </w:r>
      <w:r w:rsidRPr="0038459B">
        <w:t>EN 12972:2018 + A1:2024</w:t>
      </w:r>
    </w:p>
    <w:p w14:paraId="08CC530F" w14:textId="77777777" w:rsidR="006130A9" w:rsidRPr="00625218" w:rsidRDefault="006130A9" w:rsidP="006130A9">
      <w:pPr>
        <w:pStyle w:val="H23G"/>
      </w:pPr>
      <w:r w:rsidRPr="00625218">
        <w:tab/>
      </w:r>
      <w:r>
        <w:t>13.</w:t>
      </w:r>
      <w:r w:rsidRPr="00625218">
        <w:t xml:space="preserve"> </w:t>
      </w:r>
      <w:r w:rsidRPr="00625218">
        <w:tab/>
        <w:t>Chapter 7.3, 7.3.3.2.7, new AP12, third paragraph</w:t>
      </w:r>
    </w:p>
    <w:p w14:paraId="219B179B" w14:textId="77777777" w:rsidR="006130A9" w:rsidRPr="00625218" w:rsidRDefault="006130A9" w:rsidP="006130A9">
      <w:pPr>
        <w:pStyle w:val="SingleTxtG"/>
      </w:pPr>
      <w:r w:rsidRPr="00625218">
        <w:rPr>
          <w:i/>
          <w:iCs/>
        </w:rPr>
        <w:t>For</w:t>
      </w:r>
      <w:r w:rsidRPr="00625218">
        <w:t xml:space="preserve"> two liners </w:t>
      </w:r>
      <w:r w:rsidRPr="00625218">
        <w:rPr>
          <w:i/>
          <w:iCs/>
        </w:rPr>
        <w:t>read</w:t>
      </w:r>
      <w:r w:rsidRPr="00625218">
        <w:t xml:space="preserve"> two components</w:t>
      </w:r>
    </w:p>
    <w:p w14:paraId="55E54EC7" w14:textId="77777777" w:rsidR="006130A9" w:rsidRPr="00625218" w:rsidRDefault="006130A9" w:rsidP="006130A9">
      <w:pPr>
        <w:pStyle w:val="H23G"/>
      </w:pPr>
      <w:r w:rsidRPr="00625218">
        <w:tab/>
      </w:r>
      <w:r>
        <w:t>14.</w:t>
      </w:r>
      <w:r w:rsidRPr="00625218">
        <w:t xml:space="preserve"> </w:t>
      </w:r>
      <w:r w:rsidRPr="00625218">
        <w:tab/>
        <w:t>Chapter 7.3, 7.3.3.2.7, new AP12, fourth paragraph, first sentence</w:t>
      </w:r>
    </w:p>
    <w:p w14:paraId="590C0E58" w14:textId="77777777" w:rsidR="006130A9" w:rsidRPr="00625218" w:rsidRDefault="006130A9" w:rsidP="006130A9">
      <w:pPr>
        <w:pStyle w:val="SingleTxtG"/>
      </w:pPr>
      <w:r w:rsidRPr="00625218">
        <w:rPr>
          <w:i/>
          <w:iCs/>
        </w:rPr>
        <w:t>For</w:t>
      </w:r>
      <w:r w:rsidRPr="00625218">
        <w:t xml:space="preserve"> The inner lining </w:t>
      </w:r>
      <w:r w:rsidRPr="00625218">
        <w:rPr>
          <w:i/>
          <w:iCs/>
        </w:rPr>
        <w:t>read</w:t>
      </w:r>
      <w:r w:rsidRPr="00625218">
        <w:t xml:space="preserve"> The inner component</w:t>
      </w:r>
    </w:p>
    <w:p w14:paraId="3E8F2EF2" w14:textId="77777777" w:rsidR="006130A9" w:rsidRPr="00625218" w:rsidRDefault="006130A9" w:rsidP="006130A9">
      <w:pPr>
        <w:pStyle w:val="H23G"/>
      </w:pPr>
      <w:r w:rsidRPr="00625218">
        <w:tab/>
      </w:r>
      <w:r>
        <w:t>15.</w:t>
      </w:r>
      <w:r w:rsidRPr="00625218">
        <w:t xml:space="preserve"> </w:t>
      </w:r>
      <w:r w:rsidRPr="00625218">
        <w:tab/>
        <w:t>Chapter 7.3, 7.3.3.2.7, new AP12, fourth paragraph, second sentence</w:t>
      </w:r>
    </w:p>
    <w:p w14:paraId="1608BFC0" w14:textId="77777777" w:rsidR="006130A9" w:rsidRPr="00625218" w:rsidRDefault="006130A9" w:rsidP="006130A9">
      <w:pPr>
        <w:pStyle w:val="SingleTxtG"/>
      </w:pPr>
      <w:r w:rsidRPr="00625218">
        <w:rPr>
          <w:i/>
          <w:iCs/>
        </w:rPr>
        <w:t>For</w:t>
      </w:r>
      <w:r w:rsidRPr="00625218">
        <w:t xml:space="preserve"> The inner lining </w:t>
      </w:r>
      <w:r w:rsidRPr="00625218">
        <w:rPr>
          <w:i/>
          <w:iCs/>
        </w:rPr>
        <w:t>read</w:t>
      </w:r>
      <w:r w:rsidRPr="00625218">
        <w:t xml:space="preserve"> The inner component</w:t>
      </w:r>
    </w:p>
    <w:p w14:paraId="68B0E750" w14:textId="77777777" w:rsidR="006130A9" w:rsidRPr="00625218" w:rsidRDefault="006130A9" w:rsidP="006130A9">
      <w:pPr>
        <w:pStyle w:val="H23G"/>
      </w:pPr>
      <w:r w:rsidRPr="00625218">
        <w:tab/>
      </w:r>
      <w:r>
        <w:t>16.</w:t>
      </w:r>
      <w:r w:rsidRPr="00625218">
        <w:t xml:space="preserve"> </w:t>
      </w:r>
      <w:r w:rsidRPr="00625218">
        <w:tab/>
        <w:t>Chapter 7.3, 7.3.3.2.7, new AP12, fifth paragraph, first sentence</w:t>
      </w:r>
    </w:p>
    <w:p w14:paraId="65A6DB9A" w14:textId="77777777" w:rsidR="006130A9" w:rsidRPr="00625218" w:rsidRDefault="006130A9" w:rsidP="006130A9">
      <w:pPr>
        <w:pStyle w:val="SingleTxtG"/>
      </w:pPr>
      <w:r w:rsidRPr="00625218">
        <w:rPr>
          <w:i/>
          <w:iCs/>
        </w:rPr>
        <w:t>For</w:t>
      </w:r>
      <w:r w:rsidRPr="00625218">
        <w:t xml:space="preserve"> The outer lining</w:t>
      </w:r>
      <w:r w:rsidRPr="00625218">
        <w:rPr>
          <w:i/>
          <w:iCs/>
        </w:rPr>
        <w:t xml:space="preserve"> read</w:t>
      </w:r>
      <w:r w:rsidRPr="00625218">
        <w:t xml:space="preserve"> The outer component</w:t>
      </w:r>
    </w:p>
    <w:p w14:paraId="4D43803B" w14:textId="77777777" w:rsidR="006130A9" w:rsidRPr="00625218" w:rsidRDefault="006130A9" w:rsidP="006130A9">
      <w:pPr>
        <w:pStyle w:val="H23G"/>
      </w:pPr>
      <w:r w:rsidRPr="00625218">
        <w:tab/>
      </w:r>
      <w:r>
        <w:t>17.</w:t>
      </w:r>
      <w:r w:rsidRPr="00625218">
        <w:t xml:space="preserve"> </w:t>
      </w:r>
      <w:r w:rsidRPr="00625218">
        <w:tab/>
        <w:t>Chapter 7.3, 7.3.3.2.7, new AP12, fifth paragraph, second sentence</w:t>
      </w:r>
    </w:p>
    <w:p w14:paraId="319B36BE" w14:textId="77777777" w:rsidR="006130A9" w:rsidRPr="00625218" w:rsidRDefault="006130A9" w:rsidP="006130A9">
      <w:pPr>
        <w:spacing w:after="120"/>
        <w:ind w:left="1134" w:right="1134"/>
        <w:jc w:val="both"/>
      </w:pPr>
      <w:r w:rsidRPr="00625218">
        <w:t>Not applicable to English.</w:t>
      </w:r>
    </w:p>
    <w:p w14:paraId="2A8FF2AA" w14:textId="77777777" w:rsidR="006130A9" w:rsidRPr="00625218" w:rsidRDefault="006130A9" w:rsidP="006130A9">
      <w:pPr>
        <w:pStyle w:val="H23G"/>
      </w:pPr>
      <w:r w:rsidRPr="00625218">
        <w:tab/>
      </w:r>
      <w:r>
        <w:t>18.</w:t>
      </w:r>
      <w:r w:rsidRPr="00625218">
        <w:t xml:space="preserve"> </w:t>
      </w:r>
      <w:r w:rsidRPr="00625218">
        <w:tab/>
        <w:t>Chapter 7.5, 7.5.11, new CV38, second paragraph, second sentence</w:t>
      </w:r>
    </w:p>
    <w:p w14:paraId="6F5D1CDA" w14:textId="77777777" w:rsidR="006130A9" w:rsidRPr="00625218" w:rsidRDefault="006130A9" w:rsidP="006130A9">
      <w:pPr>
        <w:pStyle w:val="SingleTxtG"/>
      </w:pPr>
      <w:r w:rsidRPr="00625218">
        <w:rPr>
          <w:i/>
          <w:iCs/>
        </w:rPr>
        <w:t>For</w:t>
      </w:r>
      <w:r w:rsidRPr="00625218">
        <w:t xml:space="preserve"> The outer lining</w:t>
      </w:r>
      <w:r w:rsidRPr="00625218">
        <w:rPr>
          <w:i/>
          <w:iCs/>
        </w:rPr>
        <w:t xml:space="preserve"> read</w:t>
      </w:r>
      <w:r w:rsidRPr="00625218">
        <w:t xml:space="preserve"> The outer component</w:t>
      </w:r>
    </w:p>
    <w:p w14:paraId="6228C0C4" w14:textId="77777777" w:rsidR="006130A9" w:rsidRPr="0038459B" w:rsidRDefault="006130A9" w:rsidP="006130A9">
      <w:pPr>
        <w:pStyle w:val="H23G"/>
        <w:rPr>
          <w:b w:val="0"/>
          <w:bCs/>
        </w:rPr>
      </w:pPr>
      <w:r>
        <w:lastRenderedPageBreak/>
        <w:tab/>
        <w:t>19.</w:t>
      </w:r>
      <w:r>
        <w:tab/>
      </w:r>
      <w:r w:rsidRPr="00695DED">
        <w:t>Chapter</w:t>
      </w:r>
      <w:r w:rsidRPr="0038459B">
        <w:rPr>
          <w:bCs/>
        </w:rPr>
        <w:t xml:space="preserve"> 9.7, amendment to 9.7.8</w:t>
      </w:r>
    </w:p>
    <w:p w14:paraId="50781CDB" w14:textId="77777777" w:rsidR="006130A9" w:rsidRPr="0038459B" w:rsidRDefault="006130A9" w:rsidP="006130A9">
      <w:pPr>
        <w:pStyle w:val="SingleTxtG"/>
        <w:rPr>
          <w:i/>
          <w:iCs/>
        </w:rPr>
      </w:pPr>
      <w:r w:rsidRPr="0038459B">
        <w:rPr>
          <w:i/>
          <w:iCs/>
        </w:rPr>
        <w:t>Delete</w:t>
      </w:r>
    </w:p>
    <w:p w14:paraId="2BFCCDE4" w14:textId="65F05D91" w:rsidR="001C6663" w:rsidRPr="00771826" w:rsidRDefault="00771826" w:rsidP="00771826">
      <w:pPr>
        <w:spacing w:before="240"/>
        <w:jc w:val="center"/>
        <w:rPr>
          <w:u w:val="single"/>
        </w:rPr>
      </w:pPr>
      <w:r>
        <w:rPr>
          <w:u w:val="single"/>
        </w:rPr>
        <w:tab/>
      </w:r>
      <w:r>
        <w:rPr>
          <w:u w:val="single"/>
        </w:rPr>
        <w:tab/>
      </w:r>
      <w:r>
        <w:rPr>
          <w:u w:val="single"/>
        </w:rPr>
        <w:tab/>
      </w:r>
    </w:p>
    <w:sectPr w:rsidR="001C6663" w:rsidRPr="00771826" w:rsidSect="00843D0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369C" w14:textId="77777777" w:rsidR="00B54610" w:rsidRDefault="00B54610"/>
  </w:endnote>
  <w:endnote w:type="continuationSeparator" w:id="0">
    <w:p w14:paraId="79E7F898" w14:textId="77777777" w:rsidR="00B54610" w:rsidRDefault="00B54610"/>
  </w:endnote>
  <w:endnote w:type="continuationNotice" w:id="1">
    <w:p w14:paraId="492D74FB" w14:textId="77777777" w:rsidR="00B54610" w:rsidRDefault="00B5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01D" w14:textId="77777777" w:rsidR="00843D0F" w:rsidRPr="00843D0F" w:rsidRDefault="00843D0F" w:rsidP="00843D0F">
    <w:pPr>
      <w:pStyle w:val="Footer"/>
      <w:tabs>
        <w:tab w:val="right" w:pos="9638"/>
      </w:tabs>
      <w:rPr>
        <w:sz w:val="18"/>
      </w:rPr>
    </w:pPr>
    <w:r w:rsidRPr="00843D0F">
      <w:rPr>
        <w:b/>
        <w:sz w:val="18"/>
      </w:rPr>
      <w:fldChar w:fldCharType="begin"/>
    </w:r>
    <w:r w:rsidRPr="00843D0F">
      <w:rPr>
        <w:b/>
        <w:sz w:val="18"/>
      </w:rPr>
      <w:instrText xml:space="preserve"> PAGE  \* MERGEFORMAT </w:instrText>
    </w:r>
    <w:r w:rsidRPr="00843D0F">
      <w:rPr>
        <w:b/>
        <w:sz w:val="18"/>
      </w:rPr>
      <w:fldChar w:fldCharType="separate"/>
    </w:r>
    <w:r w:rsidRPr="00843D0F">
      <w:rPr>
        <w:b/>
        <w:noProof/>
        <w:sz w:val="18"/>
      </w:rPr>
      <w:t>2</w:t>
    </w:r>
    <w:r w:rsidRPr="00843D0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9CF5" w14:textId="77777777" w:rsidR="00843D0F" w:rsidRPr="00843D0F" w:rsidRDefault="00843D0F" w:rsidP="00843D0F">
    <w:pPr>
      <w:pStyle w:val="Footer"/>
      <w:tabs>
        <w:tab w:val="right" w:pos="9638"/>
      </w:tabs>
      <w:rPr>
        <w:b/>
        <w:sz w:val="18"/>
      </w:rPr>
    </w:pPr>
    <w:r>
      <w:tab/>
    </w:r>
    <w:r w:rsidRPr="00843D0F">
      <w:rPr>
        <w:b/>
        <w:sz w:val="18"/>
      </w:rPr>
      <w:fldChar w:fldCharType="begin"/>
    </w:r>
    <w:r w:rsidRPr="00843D0F">
      <w:rPr>
        <w:b/>
        <w:sz w:val="18"/>
      </w:rPr>
      <w:instrText xml:space="preserve"> PAGE  \* MERGEFORMAT </w:instrText>
    </w:r>
    <w:r w:rsidRPr="00843D0F">
      <w:rPr>
        <w:b/>
        <w:sz w:val="18"/>
      </w:rPr>
      <w:fldChar w:fldCharType="separate"/>
    </w:r>
    <w:r w:rsidRPr="00843D0F">
      <w:rPr>
        <w:b/>
        <w:noProof/>
        <w:sz w:val="18"/>
      </w:rPr>
      <w:t>3</w:t>
    </w:r>
    <w:r w:rsidRPr="00843D0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98C2" w14:textId="71BA2AF5" w:rsidR="000B1B81" w:rsidRDefault="000B1B81" w:rsidP="000B1B81">
    <w:pPr>
      <w:pStyle w:val="Footer"/>
    </w:pPr>
    <w:bookmarkStart w:id="0" w:name="_GoBack"/>
    <w:bookmarkEnd w:id="0"/>
    <w:r>
      <w:rPr>
        <w:noProof/>
        <w:lang w:val="en-US" w:eastAsia="zh-CN"/>
      </w:rPr>
      <w:drawing>
        <wp:anchor distT="0" distB="0" distL="114300" distR="114300" simplePos="0" relativeHeight="251659264" behindDoc="1" locked="1" layoutInCell="1" allowOverlap="1" wp14:anchorId="0E0EDE03" wp14:editId="6B67C6DE">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4A2C82F" w14:textId="21517065" w:rsidR="000B1B81" w:rsidRPr="000B1B81" w:rsidRDefault="000B1B81" w:rsidP="000B1B81">
    <w:pPr>
      <w:pStyle w:val="Footer"/>
      <w:ind w:right="1134"/>
      <w:rPr>
        <w:sz w:val="20"/>
      </w:rPr>
    </w:pPr>
    <w:r>
      <w:rPr>
        <w:sz w:val="20"/>
      </w:rPr>
      <w:t>GE.24-08794  (E)</w:t>
    </w:r>
    <w:r>
      <w:rPr>
        <w:noProof/>
        <w:sz w:val="20"/>
      </w:rPr>
      <w:drawing>
        <wp:anchor distT="0" distB="0" distL="114300" distR="114300" simplePos="0" relativeHeight="251660288" behindDoc="0" locked="0" layoutInCell="1" allowOverlap="1" wp14:anchorId="687DC562" wp14:editId="0A3D914D">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BD2B" w14:textId="77777777" w:rsidR="00B54610" w:rsidRPr="000B175B" w:rsidRDefault="00B54610" w:rsidP="000B175B">
      <w:pPr>
        <w:tabs>
          <w:tab w:val="right" w:pos="2155"/>
        </w:tabs>
        <w:spacing w:after="80"/>
        <w:ind w:left="680"/>
        <w:rPr>
          <w:u w:val="single"/>
        </w:rPr>
      </w:pPr>
      <w:r>
        <w:rPr>
          <w:u w:val="single"/>
        </w:rPr>
        <w:tab/>
      </w:r>
    </w:p>
  </w:footnote>
  <w:footnote w:type="continuationSeparator" w:id="0">
    <w:p w14:paraId="580AEF9A" w14:textId="77777777" w:rsidR="00B54610" w:rsidRPr="00FC68B7" w:rsidRDefault="00B54610" w:rsidP="00FC68B7">
      <w:pPr>
        <w:tabs>
          <w:tab w:val="left" w:pos="2155"/>
        </w:tabs>
        <w:spacing w:after="80"/>
        <w:ind w:left="680"/>
        <w:rPr>
          <w:u w:val="single"/>
        </w:rPr>
      </w:pPr>
      <w:r>
        <w:rPr>
          <w:u w:val="single"/>
        </w:rPr>
        <w:tab/>
      </w:r>
    </w:p>
  </w:footnote>
  <w:footnote w:type="continuationNotice" w:id="1">
    <w:p w14:paraId="54CFBE41" w14:textId="77777777" w:rsidR="00B54610" w:rsidRDefault="00B54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4126" w14:textId="54DFF3E1" w:rsidR="00843D0F" w:rsidRPr="00843D0F" w:rsidRDefault="00843D0F">
    <w:pPr>
      <w:pStyle w:val="Header"/>
    </w:pPr>
    <w:r>
      <w:t>ECE/TRANS/WP.15/265/Corr.1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52D6" w14:textId="2CF2CA61" w:rsidR="00843D0F" w:rsidRPr="00843D0F" w:rsidRDefault="00843D0F" w:rsidP="00843D0F">
    <w:pPr>
      <w:pStyle w:val="Header"/>
      <w:jc w:val="right"/>
    </w:pPr>
    <w:r>
      <w:t>ECE/TRANS/WP.15/265/Corr.1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86452636">
    <w:abstractNumId w:val="1"/>
  </w:num>
  <w:num w:numId="2" w16cid:durableId="917910512">
    <w:abstractNumId w:val="0"/>
  </w:num>
  <w:num w:numId="3" w16cid:durableId="1332877751">
    <w:abstractNumId w:val="2"/>
  </w:num>
  <w:num w:numId="4" w16cid:durableId="2063945600">
    <w:abstractNumId w:val="3"/>
  </w:num>
  <w:num w:numId="5" w16cid:durableId="826626997">
    <w:abstractNumId w:val="8"/>
  </w:num>
  <w:num w:numId="6" w16cid:durableId="713508646">
    <w:abstractNumId w:val="9"/>
  </w:num>
  <w:num w:numId="7" w16cid:durableId="1723870931">
    <w:abstractNumId w:val="7"/>
  </w:num>
  <w:num w:numId="8" w16cid:durableId="1292009306">
    <w:abstractNumId w:val="6"/>
  </w:num>
  <w:num w:numId="9" w16cid:durableId="388067578">
    <w:abstractNumId w:val="5"/>
  </w:num>
  <w:num w:numId="10" w16cid:durableId="880702177">
    <w:abstractNumId w:val="4"/>
  </w:num>
  <w:num w:numId="11" w16cid:durableId="1476608564">
    <w:abstractNumId w:val="15"/>
  </w:num>
  <w:num w:numId="12" w16cid:durableId="1244487599">
    <w:abstractNumId w:val="14"/>
  </w:num>
  <w:num w:numId="13" w16cid:durableId="482281707">
    <w:abstractNumId w:val="10"/>
  </w:num>
  <w:num w:numId="14" w16cid:durableId="921529808">
    <w:abstractNumId w:val="12"/>
  </w:num>
  <w:num w:numId="15" w16cid:durableId="1943879580">
    <w:abstractNumId w:val="16"/>
  </w:num>
  <w:num w:numId="16" w16cid:durableId="499740231">
    <w:abstractNumId w:val="13"/>
  </w:num>
  <w:num w:numId="17" w16cid:durableId="674500520">
    <w:abstractNumId w:val="17"/>
  </w:num>
  <w:num w:numId="18" w16cid:durableId="623074131">
    <w:abstractNumId w:val="18"/>
  </w:num>
  <w:num w:numId="19" w16cid:durableId="1320881825">
    <w:abstractNumId w:val="11"/>
  </w:num>
  <w:num w:numId="20" w16cid:durableId="108318490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0F"/>
    <w:rsid w:val="00002A7D"/>
    <w:rsid w:val="000038A8"/>
    <w:rsid w:val="00006790"/>
    <w:rsid w:val="000209F4"/>
    <w:rsid w:val="00027624"/>
    <w:rsid w:val="00050F6B"/>
    <w:rsid w:val="000678CD"/>
    <w:rsid w:val="00072C8C"/>
    <w:rsid w:val="00081CE0"/>
    <w:rsid w:val="00084D30"/>
    <w:rsid w:val="00090320"/>
    <w:rsid w:val="000931C0"/>
    <w:rsid w:val="0009732C"/>
    <w:rsid w:val="000A01F9"/>
    <w:rsid w:val="000A2E09"/>
    <w:rsid w:val="000B175B"/>
    <w:rsid w:val="000B1B81"/>
    <w:rsid w:val="000B3A0F"/>
    <w:rsid w:val="000E0415"/>
    <w:rsid w:val="000F7715"/>
    <w:rsid w:val="00156B99"/>
    <w:rsid w:val="00162BD3"/>
    <w:rsid w:val="00166124"/>
    <w:rsid w:val="00184DDA"/>
    <w:rsid w:val="001900CD"/>
    <w:rsid w:val="00197CB0"/>
    <w:rsid w:val="001A0452"/>
    <w:rsid w:val="001B4B04"/>
    <w:rsid w:val="001B5875"/>
    <w:rsid w:val="001C4B9C"/>
    <w:rsid w:val="001C6663"/>
    <w:rsid w:val="001C7895"/>
    <w:rsid w:val="001D26DF"/>
    <w:rsid w:val="001D71A3"/>
    <w:rsid w:val="001E555D"/>
    <w:rsid w:val="001F1599"/>
    <w:rsid w:val="001F19C4"/>
    <w:rsid w:val="002043F0"/>
    <w:rsid w:val="00211E0B"/>
    <w:rsid w:val="00232575"/>
    <w:rsid w:val="00247258"/>
    <w:rsid w:val="00257CAC"/>
    <w:rsid w:val="00264441"/>
    <w:rsid w:val="0027237A"/>
    <w:rsid w:val="0028793E"/>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C417A"/>
    <w:rsid w:val="003D4B23"/>
    <w:rsid w:val="003D728B"/>
    <w:rsid w:val="003E278A"/>
    <w:rsid w:val="00407C54"/>
    <w:rsid w:val="00413520"/>
    <w:rsid w:val="00430D57"/>
    <w:rsid w:val="004325CB"/>
    <w:rsid w:val="00440A07"/>
    <w:rsid w:val="00441926"/>
    <w:rsid w:val="00462880"/>
    <w:rsid w:val="00476F24"/>
    <w:rsid w:val="004C55B0"/>
    <w:rsid w:val="004F6BA0"/>
    <w:rsid w:val="00503BEA"/>
    <w:rsid w:val="00533616"/>
    <w:rsid w:val="00535ABA"/>
    <w:rsid w:val="0053768B"/>
    <w:rsid w:val="00541676"/>
    <w:rsid w:val="005420F2"/>
    <w:rsid w:val="0054285C"/>
    <w:rsid w:val="00584173"/>
    <w:rsid w:val="00595520"/>
    <w:rsid w:val="005A44B9"/>
    <w:rsid w:val="005B1BA0"/>
    <w:rsid w:val="005B3DB3"/>
    <w:rsid w:val="005D15CA"/>
    <w:rsid w:val="005D7969"/>
    <w:rsid w:val="005F08DF"/>
    <w:rsid w:val="005F3066"/>
    <w:rsid w:val="005F3E61"/>
    <w:rsid w:val="00604DDD"/>
    <w:rsid w:val="006115CC"/>
    <w:rsid w:val="00611FC4"/>
    <w:rsid w:val="006130A9"/>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173E0"/>
    <w:rsid w:val="0072632A"/>
    <w:rsid w:val="007358E8"/>
    <w:rsid w:val="00736ECE"/>
    <w:rsid w:val="0074533B"/>
    <w:rsid w:val="007643BC"/>
    <w:rsid w:val="00771826"/>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43D0F"/>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2EAC"/>
    <w:rsid w:val="009F57E3"/>
    <w:rsid w:val="00A0243A"/>
    <w:rsid w:val="00A10F4F"/>
    <w:rsid w:val="00A11067"/>
    <w:rsid w:val="00A1704A"/>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23D55"/>
    <w:rsid w:val="00B30179"/>
    <w:rsid w:val="00B33FC7"/>
    <w:rsid w:val="00B37B15"/>
    <w:rsid w:val="00B45C02"/>
    <w:rsid w:val="00B54610"/>
    <w:rsid w:val="00B70B63"/>
    <w:rsid w:val="00B72A1E"/>
    <w:rsid w:val="00B81E12"/>
    <w:rsid w:val="00BA339B"/>
    <w:rsid w:val="00BB23CC"/>
    <w:rsid w:val="00BC1E7E"/>
    <w:rsid w:val="00BC74E9"/>
    <w:rsid w:val="00BE09D7"/>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639DE"/>
    <w:rsid w:val="00C740D2"/>
    <w:rsid w:val="00C745C3"/>
    <w:rsid w:val="00C978F5"/>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B6908"/>
    <w:rsid w:val="00DC18AD"/>
    <w:rsid w:val="00DF7CAE"/>
    <w:rsid w:val="00E24AE2"/>
    <w:rsid w:val="00E423C0"/>
    <w:rsid w:val="00E6414C"/>
    <w:rsid w:val="00E7260F"/>
    <w:rsid w:val="00E8702D"/>
    <w:rsid w:val="00E905F4"/>
    <w:rsid w:val="00E916A9"/>
    <w:rsid w:val="00E916DE"/>
    <w:rsid w:val="00E925AD"/>
    <w:rsid w:val="00E96630"/>
    <w:rsid w:val="00EA1491"/>
    <w:rsid w:val="00ED18DC"/>
    <w:rsid w:val="00ED6201"/>
    <w:rsid w:val="00ED7A2A"/>
    <w:rsid w:val="00EF1D7F"/>
    <w:rsid w:val="00F0137E"/>
    <w:rsid w:val="00F21786"/>
    <w:rsid w:val="00F2641B"/>
    <w:rsid w:val="00F3742B"/>
    <w:rsid w:val="00F41FDB"/>
    <w:rsid w:val="00F5059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2E97"/>
  <w15:docId w15:val="{71CE5C62-5E43-4AF2-8C4A-7CDB9B1F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locked/>
    <w:rsid w:val="00C740D2"/>
    <w:rPr>
      <w:b/>
      <w:sz w:val="28"/>
      <w:lang w:val="en-GB"/>
    </w:rPr>
  </w:style>
  <w:style w:type="character" w:customStyle="1" w:styleId="H1GChar">
    <w:name w:val="_ H_1_G Char"/>
    <w:link w:val="H1G"/>
    <w:qFormat/>
    <w:locked/>
    <w:rsid w:val="00C740D2"/>
    <w:rPr>
      <w:b/>
      <w:sz w:val="24"/>
      <w:lang w:val="en-GB"/>
    </w:rPr>
  </w:style>
  <w:style w:type="character" w:customStyle="1" w:styleId="H23GChar">
    <w:name w:val="_ H_2/3_G Char"/>
    <w:link w:val="H23G"/>
    <w:locked/>
    <w:rsid w:val="00C740D2"/>
    <w:rPr>
      <w:b/>
      <w:lang w:val="en-GB"/>
    </w:rPr>
  </w:style>
  <w:style w:type="character" w:styleId="CommentReference">
    <w:name w:val="annotation reference"/>
    <w:basedOn w:val="DefaultParagraphFont"/>
    <w:semiHidden/>
    <w:unhideWhenUsed/>
    <w:rsid w:val="00541676"/>
    <w:rPr>
      <w:sz w:val="16"/>
      <w:szCs w:val="16"/>
    </w:rPr>
  </w:style>
  <w:style w:type="paragraph" w:styleId="CommentText">
    <w:name w:val="annotation text"/>
    <w:basedOn w:val="Normal"/>
    <w:link w:val="CommentTextChar"/>
    <w:unhideWhenUsed/>
    <w:rsid w:val="00541676"/>
    <w:pPr>
      <w:spacing w:line="240" w:lineRule="auto"/>
    </w:pPr>
  </w:style>
  <w:style w:type="character" w:customStyle="1" w:styleId="CommentTextChar">
    <w:name w:val="Comment Text Char"/>
    <w:basedOn w:val="DefaultParagraphFont"/>
    <w:link w:val="CommentText"/>
    <w:rsid w:val="00541676"/>
    <w:rPr>
      <w:lang w:val="en-GB"/>
    </w:rPr>
  </w:style>
  <w:style w:type="paragraph" w:styleId="CommentSubject">
    <w:name w:val="annotation subject"/>
    <w:basedOn w:val="CommentText"/>
    <w:next w:val="CommentText"/>
    <w:link w:val="CommentSubjectChar"/>
    <w:semiHidden/>
    <w:unhideWhenUsed/>
    <w:rsid w:val="00541676"/>
    <w:rPr>
      <w:b/>
      <w:bCs/>
    </w:rPr>
  </w:style>
  <w:style w:type="character" w:customStyle="1" w:styleId="CommentSubjectChar">
    <w:name w:val="Comment Subject Char"/>
    <w:basedOn w:val="CommentTextChar"/>
    <w:link w:val="CommentSubject"/>
    <w:semiHidden/>
    <w:rsid w:val="00541676"/>
    <w:rPr>
      <w:b/>
      <w:bCs/>
      <w:lang w:val="en-GB"/>
    </w:rPr>
  </w:style>
  <w:style w:type="paragraph" w:styleId="Revision">
    <w:name w:val="Revision"/>
    <w:hidden/>
    <w:uiPriority w:val="99"/>
    <w:semiHidden/>
    <w:rsid w:val="00F2641B"/>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5F9E711E-769D-40C8-B9F4-9B784B9B9E60}"/>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3137</Characters>
  <Application>Microsoft Office Word</Application>
  <DocSecurity>0</DocSecurity>
  <Lines>77</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ECE/TRANS/WP.15/265/Corr.1</dc:title>
  <dc:subject>2408794</dc:subject>
  <dc:creator>ECE/TRANS/WP.15/265/Corr.1</dc:creator>
  <cp:keywords/>
  <dc:description/>
  <cp:lastModifiedBy>Anni Vi</cp:lastModifiedBy>
  <cp:revision>2</cp:revision>
  <cp:lastPrinted>2009-02-18T09:36:00Z</cp:lastPrinted>
  <dcterms:created xsi:type="dcterms:W3CDTF">2024-05-16T14:36:00Z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