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07EE9617" w14:textId="77777777" w:rsidTr="00387CD4">
        <w:trPr>
          <w:trHeight w:hRule="exact" w:val="851"/>
        </w:trPr>
        <w:tc>
          <w:tcPr>
            <w:tcW w:w="142" w:type="dxa"/>
            <w:tcBorders>
              <w:bottom w:val="single" w:sz="4" w:space="0" w:color="auto"/>
            </w:tcBorders>
          </w:tcPr>
          <w:p w14:paraId="3A201CE3" w14:textId="77777777" w:rsidR="002D5AAC" w:rsidRDefault="002D5AAC" w:rsidP="001427C4">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7D0113F7"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2D67F354" w14:textId="54050052" w:rsidR="002D5AAC" w:rsidRDefault="001427C4" w:rsidP="001427C4">
            <w:pPr>
              <w:jc w:val="right"/>
            </w:pPr>
            <w:r w:rsidRPr="001427C4">
              <w:rPr>
                <w:sz w:val="40"/>
              </w:rPr>
              <w:t>ECE</w:t>
            </w:r>
            <w:r>
              <w:t>/TRANS/WP.15/265/Add.1</w:t>
            </w:r>
          </w:p>
        </w:tc>
      </w:tr>
      <w:tr w:rsidR="002D5AAC" w14:paraId="47E81528" w14:textId="77777777" w:rsidTr="00387CD4">
        <w:trPr>
          <w:trHeight w:hRule="exact" w:val="2835"/>
        </w:trPr>
        <w:tc>
          <w:tcPr>
            <w:tcW w:w="1280" w:type="dxa"/>
            <w:gridSpan w:val="2"/>
            <w:tcBorders>
              <w:top w:val="single" w:sz="4" w:space="0" w:color="auto"/>
              <w:bottom w:val="single" w:sz="12" w:space="0" w:color="auto"/>
            </w:tcBorders>
          </w:tcPr>
          <w:p w14:paraId="6700A926" w14:textId="77777777" w:rsidR="002D5AAC" w:rsidRDefault="002E5067" w:rsidP="00387CD4">
            <w:pPr>
              <w:spacing w:before="120"/>
              <w:jc w:val="center"/>
            </w:pPr>
            <w:r>
              <w:rPr>
                <w:noProof/>
                <w:lang w:val="fr-CH" w:eastAsia="fr-CH"/>
              </w:rPr>
              <w:drawing>
                <wp:inline distT="0" distB="0" distL="0" distR="0" wp14:anchorId="3C6A6303" wp14:editId="58654E6B">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1F660ADF"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3901D89A" w14:textId="77777777" w:rsidR="002D5AAC" w:rsidRDefault="001427C4" w:rsidP="00387CD4">
            <w:pPr>
              <w:spacing w:before="240"/>
              <w:rPr>
                <w:lang w:val="en-US"/>
              </w:rPr>
            </w:pPr>
            <w:r>
              <w:rPr>
                <w:lang w:val="en-US"/>
              </w:rPr>
              <w:t>Distr.: General</w:t>
            </w:r>
          </w:p>
          <w:p w14:paraId="364499A1" w14:textId="77777777" w:rsidR="001427C4" w:rsidRDefault="001427C4" w:rsidP="001427C4">
            <w:pPr>
              <w:spacing w:line="240" w:lineRule="exact"/>
              <w:rPr>
                <w:lang w:val="en-US"/>
              </w:rPr>
            </w:pPr>
            <w:r>
              <w:rPr>
                <w:lang w:val="en-US"/>
              </w:rPr>
              <w:t>16 May 2024</w:t>
            </w:r>
          </w:p>
          <w:p w14:paraId="1EFFE0CA" w14:textId="77777777" w:rsidR="001427C4" w:rsidRDefault="001427C4" w:rsidP="001427C4">
            <w:pPr>
              <w:spacing w:line="240" w:lineRule="exact"/>
              <w:rPr>
                <w:lang w:val="en-US"/>
              </w:rPr>
            </w:pPr>
            <w:r>
              <w:rPr>
                <w:lang w:val="en-US"/>
              </w:rPr>
              <w:t>Russian</w:t>
            </w:r>
          </w:p>
          <w:p w14:paraId="28BBCE5A" w14:textId="39C6E2C2" w:rsidR="001427C4" w:rsidRPr="008D53B6" w:rsidRDefault="001427C4" w:rsidP="001427C4">
            <w:pPr>
              <w:spacing w:line="240" w:lineRule="exact"/>
              <w:rPr>
                <w:lang w:val="en-US"/>
              </w:rPr>
            </w:pPr>
            <w:r>
              <w:rPr>
                <w:lang w:val="en-US"/>
              </w:rPr>
              <w:t>Original: English and French</w:t>
            </w:r>
          </w:p>
        </w:tc>
      </w:tr>
    </w:tbl>
    <w:p w14:paraId="2D807DCB"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1C37745A" w14:textId="77777777" w:rsidR="001427C4" w:rsidRPr="001427C4" w:rsidRDefault="001427C4" w:rsidP="001427C4">
      <w:pPr>
        <w:spacing w:before="120"/>
        <w:rPr>
          <w:sz w:val="28"/>
          <w:szCs w:val="28"/>
        </w:rPr>
      </w:pPr>
      <w:r w:rsidRPr="001427C4">
        <w:rPr>
          <w:sz w:val="28"/>
          <w:szCs w:val="28"/>
        </w:rPr>
        <w:t>Комитет по внутреннему транспорту</w:t>
      </w:r>
    </w:p>
    <w:p w14:paraId="16775BF7" w14:textId="77777777" w:rsidR="001427C4" w:rsidRPr="001427C4" w:rsidRDefault="001427C4" w:rsidP="001427C4">
      <w:pPr>
        <w:spacing w:before="120"/>
        <w:rPr>
          <w:b/>
          <w:sz w:val="24"/>
          <w:szCs w:val="24"/>
        </w:rPr>
      </w:pPr>
      <w:r w:rsidRPr="001427C4">
        <w:rPr>
          <w:b/>
          <w:bCs/>
          <w:sz w:val="24"/>
          <w:szCs w:val="24"/>
        </w:rPr>
        <w:t>Рабочая группа по перевозкам опасных грузов</w:t>
      </w:r>
    </w:p>
    <w:p w14:paraId="7C0FE034" w14:textId="4D338F94" w:rsidR="001427C4" w:rsidRPr="00FD5B12" w:rsidRDefault="001427C4" w:rsidP="001427C4">
      <w:pPr>
        <w:pStyle w:val="HChG"/>
      </w:pPr>
      <w:r>
        <w:tab/>
      </w:r>
      <w:r>
        <w:tab/>
      </w:r>
      <w:r w:rsidRPr="00FD5B12">
        <w:t>Соглашение о международной дорожной перевозке опасных грузов (ДОПОГ)</w:t>
      </w:r>
    </w:p>
    <w:p w14:paraId="0819240E" w14:textId="4E18010C" w:rsidR="001427C4" w:rsidRPr="00FD5B12" w:rsidRDefault="001427C4" w:rsidP="001427C4">
      <w:pPr>
        <w:pStyle w:val="H1G"/>
      </w:pPr>
      <w:r>
        <w:tab/>
      </w:r>
      <w:r>
        <w:tab/>
      </w:r>
      <w:r w:rsidRPr="00FD5B12">
        <w:t>Проекты поправок к приложениям A и B к</w:t>
      </w:r>
      <w:r>
        <w:rPr>
          <w:lang w:val="en-US"/>
        </w:rPr>
        <w:t xml:space="preserve"> </w:t>
      </w:r>
      <w:r w:rsidRPr="00FD5B12">
        <w:t>ДОПОГ</w:t>
      </w:r>
    </w:p>
    <w:p w14:paraId="4788D59F" w14:textId="09ED12DD" w:rsidR="001427C4" w:rsidRPr="00FD5B12" w:rsidRDefault="001427C4" w:rsidP="001427C4">
      <w:pPr>
        <w:pStyle w:val="H23G"/>
      </w:pPr>
      <w:r>
        <w:tab/>
      </w:r>
      <w:r>
        <w:tab/>
      </w:r>
      <w:r w:rsidRPr="00FD5B12">
        <w:t>Добавление</w:t>
      </w:r>
    </w:p>
    <w:p w14:paraId="677818DD" w14:textId="66F9522B" w:rsidR="001427C4" w:rsidRPr="00FD5B12" w:rsidRDefault="001427C4" w:rsidP="001427C4">
      <w:pPr>
        <w:pStyle w:val="H1G"/>
      </w:pPr>
      <w:r>
        <w:tab/>
      </w:r>
      <w:r>
        <w:tab/>
      </w:r>
      <w:r w:rsidRPr="00FD5B12">
        <w:t>Записка секретариата</w:t>
      </w:r>
    </w:p>
    <w:p w14:paraId="055EC9E7" w14:textId="7E496949" w:rsidR="001427C4" w:rsidRPr="00FD5B12" w:rsidRDefault="001427C4" w:rsidP="001427C4">
      <w:pPr>
        <w:pStyle w:val="SingleTxtG"/>
      </w:pPr>
      <w:r w:rsidRPr="00FD5B12">
        <w:tab/>
        <w:t>На своей сто пятнадцатой сессии Рабочая группа по перевозкам опасных грузов просила секретариат распространить дополнительный перечень поправок, вступление в силу которых запланировано на 1 января 2025 года, в виде добавления к документу ECE/TRANS/WP.15/265, который Председатель препроводит Договаривающимся сторонам через правительство своей страны для принятия в соответствии с процедурой, изложенной в статье 14 ДОПОГ (см. ECE/TRANS/WP.15/267, пункт 72).</w:t>
      </w:r>
    </w:p>
    <w:p w14:paraId="207460D0" w14:textId="61591725" w:rsidR="001427C4" w:rsidRPr="00FD5B12" w:rsidRDefault="001427C4" w:rsidP="001427C4">
      <w:pPr>
        <w:pStyle w:val="SingleTxtG"/>
      </w:pPr>
      <w:r w:rsidRPr="00FD5B12">
        <w:tab/>
        <w:t>Настоящий документ содержит запрошенный дополнительный перечень поправок, принятых Рабочей группой на ее сто пятнадцатой сессии.</w:t>
      </w:r>
    </w:p>
    <w:p w14:paraId="2BB2C063" w14:textId="77777777" w:rsidR="001427C4" w:rsidRPr="00FD5B12" w:rsidRDefault="001427C4" w:rsidP="001427C4">
      <w:pPr>
        <w:rPr>
          <w:bCs/>
        </w:rPr>
      </w:pPr>
      <w:r w:rsidRPr="00FD5B12">
        <w:rPr>
          <w:bCs/>
        </w:rPr>
        <w:br w:type="page"/>
      </w:r>
    </w:p>
    <w:p w14:paraId="038B71FB" w14:textId="05D22A12" w:rsidR="001427C4" w:rsidRPr="00FD5B12" w:rsidRDefault="001427C4" w:rsidP="001427C4">
      <w:pPr>
        <w:pStyle w:val="H1G"/>
      </w:pPr>
      <w:r>
        <w:lastRenderedPageBreak/>
        <w:tab/>
      </w:r>
      <w:r>
        <w:tab/>
      </w:r>
      <w:r w:rsidRPr="00FD5B12">
        <w:rPr>
          <w:bCs/>
        </w:rPr>
        <w:t>Глава 1.1</w:t>
      </w:r>
    </w:p>
    <w:p w14:paraId="17A05FC3" w14:textId="31D9C993" w:rsidR="001427C4" w:rsidRPr="00FD5B12" w:rsidRDefault="001427C4" w:rsidP="001427C4">
      <w:pPr>
        <w:pStyle w:val="SingleTxtG"/>
        <w:tabs>
          <w:tab w:val="clear" w:pos="1701"/>
        </w:tabs>
        <w:ind w:left="2268" w:hanging="1134"/>
      </w:pPr>
      <w:r w:rsidRPr="00FD5B12">
        <w:t>1.1.3.7</w:t>
      </w:r>
      <w:r w:rsidRPr="00FD5B12">
        <w:tab/>
        <w:t>В подпункте b):</w:t>
      </w:r>
      <w:r w:rsidRPr="00FD5B12">
        <w:tab/>
        <w:t>поправка к тексту на французском языке не касается текста на русском языке.</w:t>
      </w:r>
    </w:p>
    <w:p w14:paraId="7E866A71" w14:textId="6AA49DF9" w:rsidR="001427C4" w:rsidRPr="00FD5B12" w:rsidRDefault="001427C4" w:rsidP="001427C4">
      <w:pPr>
        <w:pStyle w:val="H1G"/>
      </w:pPr>
      <w:r>
        <w:tab/>
      </w:r>
      <w:r>
        <w:tab/>
      </w:r>
      <w:r w:rsidRPr="00FD5B12">
        <w:rPr>
          <w:bCs/>
        </w:rPr>
        <w:t>Глава 1.2</w:t>
      </w:r>
    </w:p>
    <w:p w14:paraId="05AE7082" w14:textId="0B16CBCC" w:rsidR="001427C4" w:rsidRPr="001427C4" w:rsidRDefault="001427C4" w:rsidP="001427C4">
      <w:pPr>
        <w:pStyle w:val="SingleTxtG"/>
        <w:tabs>
          <w:tab w:val="clear" w:pos="1701"/>
        </w:tabs>
        <w:ind w:left="2268" w:hanging="1134"/>
      </w:pPr>
      <w:r w:rsidRPr="00FD5B12">
        <w:t>1.2.1</w:t>
      </w:r>
      <w:r w:rsidRPr="00FD5B12">
        <w:tab/>
        <w:t xml:space="preserve">Поправка к </w:t>
      </w:r>
      <w:r w:rsidRPr="001427C4">
        <w:t>тексту на французском языке не касается текста на русском языке.</w:t>
      </w:r>
    </w:p>
    <w:p w14:paraId="101EDDA8" w14:textId="0494F7DA" w:rsidR="001427C4" w:rsidRPr="00FD5B12" w:rsidRDefault="001427C4" w:rsidP="001427C4">
      <w:pPr>
        <w:pStyle w:val="SingleTxtG"/>
        <w:tabs>
          <w:tab w:val="clear" w:pos="1701"/>
        </w:tabs>
        <w:ind w:left="2268" w:hanging="1134"/>
        <w:rPr>
          <w:bCs/>
        </w:rPr>
      </w:pPr>
      <w:r w:rsidRPr="001427C4">
        <w:t>1.2.2.1</w:t>
      </w:r>
      <w:r w:rsidRPr="001427C4">
        <w:tab/>
        <w:t>Поправка к</w:t>
      </w:r>
      <w:r w:rsidRPr="00FD5B12">
        <w:t xml:space="preserve"> тексту на английском языке не касается текста на русском языке.</w:t>
      </w:r>
    </w:p>
    <w:p w14:paraId="0B2A32E0" w14:textId="484D4474" w:rsidR="001427C4" w:rsidRPr="00FD5B12" w:rsidRDefault="001427C4" w:rsidP="001427C4">
      <w:pPr>
        <w:pStyle w:val="H1G"/>
      </w:pPr>
      <w:r>
        <w:tab/>
      </w:r>
      <w:r>
        <w:tab/>
      </w:r>
      <w:r w:rsidRPr="00FD5B12">
        <w:rPr>
          <w:bCs/>
        </w:rPr>
        <w:t>Глава 1.4</w:t>
      </w:r>
    </w:p>
    <w:p w14:paraId="6CEE81BB" w14:textId="0F4E0CF0" w:rsidR="001427C4" w:rsidRPr="00FD5B12" w:rsidRDefault="001427C4" w:rsidP="001427C4">
      <w:pPr>
        <w:pStyle w:val="SingleTxtG"/>
        <w:tabs>
          <w:tab w:val="clear" w:pos="1701"/>
        </w:tabs>
        <w:ind w:left="2268" w:hanging="1134"/>
        <w:rPr>
          <w:bCs/>
        </w:rPr>
      </w:pPr>
      <w:r w:rsidRPr="00FD5B12">
        <w:t>1.4.2.1.1</w:t>
      </w:r>
      <w:r w:rsidRPr="00FD5B12">
        <w:tab/>
        <w:t xml:space="preserve">В конце подпункта е) заменить </w:t>
      </w:r>
      <w:r>
        <w:t>«</w:t>
      </w:r>
      <w:r w:rsidRPr="00FD5B12">
        <w:t>.</w:t>
      </w:r>
      <w:r>
        <w:t>»</w:t>
      </w:r>
      <w:r w:rsidRPr="00FD5B12">
        <w:t xml:space="preserve"> на </w:t>
      </w:r>
      <w:r>
        <w:t>«</w:t>
      </w:r>
      <w:r w:rsidRPr="00FD5B12">
        <w:t>;</w:t>
      </w:r>
      <w:r>
        <w:t>»</w:t>
      </w:r>
      <w:r w:rsidRPr="00FD5B12">
        <w:t>.</w:t>
      </w:r>
    </w:p>
    <w:p w14:paraId="14F3D248" w14:textId="258B09BE" w:rsidR="001427C4" w:rsidRPr="00FD5B12" w:rsidRDefault="001427C4" w:rsidP="001427C4">
      <w:pPr>
        <w:pStyle w:val="SingleTxtG"/>
        <w:tabs>
          <w:tab w:val="clear" w:pos="1701"/>
        </w:tabs>
      </w:pPr>
      <w:r>
        <w:tab/>
      </w:r>
      <w:r w:rsidRPr="00FD5B12">
        <w:t>Добавить следующий новый подпункт f):</w:t>
      </w:r>
    </w:p>
    <w:p w14:paraId="68D6C4A2" w14:textId="5962C6B7" w:rsidR="001427C4" w:rsidRPr="00FD5B12" w:rsidRDefault="001427C4" w:rsidP="00526DF7">
      <w:pPr>
        <w:pStyle w:val="SingleTxtG"/>
        <w:tabs>
          <w:tab w:val="clear" w:pos="1701"/>
        </w:tabs>
        <w:ind w:left="2268" w:hanging="1134"/>
        <w:rPr>
          <w:iCs/>
        </w:rPr>
      </w:pPr>
      <w:r>
        <w:t>«</w:t>
      </w:r>
      <w:r w:rsidRPr="00FD5B12">
        <w:t>f)</w:t>
      </w:r>
      <w:r>
        <w:tab/>
      </w:r>
      <w:r w:rsidRPr="00FD5B12">
        <w:t>в случае контейнеров-цистерн и переносных цистерн, перевозящих охлажденные сжиженные газы, обеспечить определение фактического времени удержания, если применимо, или, в случае порожних неочищенных контейнеров-цистерн и переносных цистерн, обеспечить достаточное снижение давления</w:t>
      </w:r>
      <w:r>
        <w:t>»</w:t>
      </w:r>
      <w:r w:rsidRPr="00FD5B12">
        <w:t xml:space="preserve">. </w:t>
      </w:r>
    </w:p>
    <w:p w14:paraId="124268B3" w14:textId="5747FEAA" w:rsidR="001427C4" w:rsidRPr="00FD5B12" w:rsidRDefault="001427C4" w:rsidP="001427C4">
      <w:pPr>
        <w:pStyle w:val="H1G"/>
      </w:pPr>
      <w:r>
        <w:tab/>
      </w:r>
      <w:r>
        <w:tab/>
      </w:r>
      <w:r w:rsidRPr="00FD5B12">
        <w:rPr>
          <w:bCs/>
        </w:rPr>
        <w:t>Глава 1.6</w:t>
      </w:r>
    </w:p>
    <w:p w14:paraId="18B75972" w14:textId="0F589563" w:rsidR="001427C4" w:rsidRPr="00FD5B12" w:rsidRDefault="001427C4" w:rsidP="001427C4">
      <w:pPr>
        <w:pStyle w:val="SingleTxtG"/>
        <w:tabs>
          <w:tab w:val="clear" w:pos="1701"/>
        </w:tabs>
        <w:ind w:left="2268" w:hanging="1134"/>
      </w:pPr>
      <w:r w:rsidRPr="00FD5B12">
        <w:t>1.6.1.51</w:t>
      </w:r>
      <w:r w:rsidRPr="00FD5B12">
        <w:tab/>
        <w:t xml:space="preserve">В абзаце после трех втяжек заменить </w:t>
      </w:r>
      <w:r>
        <w:t>«</w:t>
      </w:r>
      <w:r w:rsidRPr="00FD5B12">
        <w:t>30 июня 2025 года</w:t>
      </w:r>
      <w:r>
        <w:t>»</w:t>
      </w:r>
      <w:r w:rsidRPr="00FD5B12">
        <w:t xml:space="preserve"> на </w:t>
      </w:r>
      <w:r>
        <w:t>«</w:t>
      </w:r>
      <w:r w:rsidRPr="00FD5B12">
        <w:t>30 июня 2027 года</w:t>
      </w:r>
      <w:r>
        <w:t>»</w:t>
      </w:r>
      <w:r w:rsidRPr="00FD5B12">
        <w:t>.</w:t>
      </w:r>
    </w:p>
    <w:p w14:paraId="4CEF29A7" w14:textId="77777777" w:rsidR="001427C4" w:rsidRPr="00FD5B12" w:rsidRDefault="001427C4" w:rsidP="001427C4">
      <w:pPr>
        <w:pStyle w:val="SingleTxtG"/>
        <w:tabs>
          <w:tab w:val="clear" w:pos="1701"/>
        </w:tabs>
        <w:ind w:left="2268" w:hanging="1134"/>
        <w:rPr>
          <w:bCs/>
          <w:iCs/>
        </w:rPr>
      </w:pPr>
      <w:r w:rsidRPr="00FD5B12">
        <w:t>1.6.4</w:t>
      </w:r>
      <w:r w:rsidRPr="00FD5B12">
        <w:tab/>
        <w:t>Добавить переходную меру следующего содержания:</w:t>
      </w:r>
    </w:p>
    <w:p w14:paraId="0E1DD133" w14:textId="545F6B3F" w:rsidR="001427C4" w:rsidRPr="00FD5B12" w:rsidRDefault="001427C4" w:rsidP="001427C4">
      <w:pPr>
        <w:pStyle w:val="SingleTxtG"/>
        <w:tabs>
          <w:tab w:val="clear" w:pos="1701"/>
        </w:tabs>
        <w:ind w:left="2268" w:hanging="1134"/>
      </w:pPr>
      <w:r>
        <w:t>«</w:t>
      </w:r>
      <w:r w:rsidRPr="00FD5B12">
        <w:t>1.6.4.66</w:t>
      </w:r>
      <w:r w:rsidRPr="00FD5B12">
        <w:tab/>
        <w:t>Переносные цистерны, изготовленные до 1 января 2027 года в соответствии с требованиями, действующими до 31 декабря 2024 года, но не</w:t>
      </w:r>
      <w:r>
        <w:t xml:space="preserve"> </w:t>
      </w:r>
      <w:r w:rsidRPr="00FD5B12">
        <w:t xml:space="preserve">отвечающие, однако, требованиям подпункта 6.7.4.15.1 i) </w:t>
      </w:r>
      <w:proofErr w:type="spellStart"/>
      <w:r w:rsidRPr="00FD5B12">
        <w:t>iv</w:t>
      </w:r>
      <w:proofErr w:type="spellEnd"/>
      <w:r w:rsidRPr="00FD5B12">
        <w:t>), применяемым с 1 января 2025 года, могут по-прежнему эксплуатироваться</w:t>
      </w:r>
      <w:r>
        <w:t>»</w:t>
      </w:r>
      <w:r w:rsidRPr="00FD5B12">
        <w:t xml:space="preserve">. </w:t>
      </w:r>
    </w:p>
    <w:p w14:paraId="28EF49BA" w14:textId="6A7390F8" w:rsidR="001427C4" w:rsidRPr="00FD5B12" w:rsidRDefault="001427C4" w:rsidP="001427C4">
      <w:pPr>
        <w:pStyle w:val="SingleTxtG"/>
        <w:tabs>
          <w:tab w:val="clear" w:pos="1701"/>
          <w:tab w:val="clear" w:pos="2268"/>
          <w:tab w:val="clear" w:pos="2835"/>
        </w:tabs>
        <w:ind w:left="2268" w:hanging="1134"/>
      </w:pPr>
      <w:r w:rsidRPr="00FD5B12">
        <w:t>1.6.5.4</w:t>
      </w:r>
      <w:r w:rsidRPr="00FD5B12">
        <w:tab/>
        <w:t xml:space="preserve">Заменить </w:t>
      </w:r>
      <w:r>
        <w:t>«</w:t>
      </w:r>
      <w:r w:rsidRPr="00FD5B12">
        <w:t>(</w:t>
      </w:r>
      <w:r w:rsidRPr="00FD5B12">
        <w:rPr>
          <w:i/>
          <w:iCs/>
        </w:rPr>
        <w:t>Зарезервирован</w:t>
      </w:r>
      <w:r w:rsidRPr="00FD5B12">
        <w:t>)</w:t>
      </w:r>
      <w:r>
        <w:t>»</w:t>
      </w:r>
      <w:r w:rsidRPr="00FD5B12">
        <w:t xml:space="preserve"> на </w:t>
      </w:r>
      <w:r>
        <w:t>«</w:t>
      </w:r>
      <w:r w:rsidRPr="00FD5B12">
        <w:t>Что касается конструкции транспортных средств AT, то требования части 9, действующие по 31 декабря 2024 года, могут применяться до 31 декабря 2026 года</w:t>
      </w:r>
      <w:r>
        <w:t>»</w:t>
      </w:r>
      <w:r w:rsidRPr="00FD5B12">
        <w:t xml:space="preserve">. </w:t>
      </w:r>
    </w:p>
    <w:p w14:paraId="7EEC20E2" w14:textId="77777777" w:rsidR="001427C4" w:rsidRPr="00FD5B12" w:rsidRDefault="001427C4" w:rsidP="001427C4">
      <w:pPr>
        <w:pStyle w:val="SingleTxtG"/>
        <w:tabs>
          <w:tab w:val="clear" w:pos="1701"/>
        </w:tabs>
        <w:ind w:left="2268" w:hanging="1134"/>
      </w:pPr>
      <w:r w:rsidRPr="00FD5B12">
        <w:t>1.6.5</w:t>
      </w:r>
      <w:r w:rsidRPr="00FD5B12">
        <w:tab/>
        <w:t>Добавить следующие переходные меры:</w:t>
      </w:r>
    </w:p>
    <w:p w14:paraId="43B686C5" w14:textId="12B80A68" w:rsidR="001427C4" w:rsidRPr="00FD5B12" w:rsidRDefault="001427C4" w:rsidP="001427C4">
      <w:pPr>
        <w:pStyle w:val="SingleTxtG"/>
        <w:tabs>
          <w:tab w:val="clear" w:pos="1701"/>
        </w:tabs>
        <w:ind w:left="2268" w:hanging="1134"/>
      </w:pPr>
      <w:r>
        <w:t>«</w:t>
      </w:r>
      <w:r w:rsidRPr="00FD5B12">
        <w:t>1.6.5.26</w:t>
      </w:r>
      <w:r w:rsidRPr="00FD5B12">
        <w:tab/>
        <w:t>Транспортные средства, впервые зарегистрированные (или, если регистрация не является обязательной, впервые введенные в эксплуатацию) до 1 января 2027 года, официально утвержденные в качестве транспортных средств АТ, не соответствующие положениям пункта 9.2.4.2 в отношении топливных баков, могут по-прежнему эксплуатироваться</w:t>
      </w:r>
      <w:r>
        <w:t>»</w:t>
      </w:r>
      <w:r w:rsidRPr="00FD5B12">
        <w:t xml:space="preserve">. </w:t>
      </w:r>
    </w:p>
    <w:p w14:paraId="4C5D1965" w14:textId="7E09C37B" w:rsidR="001427C4" w:rsidRPr="00FD5B12" w:rsidRDefault="001427C4" w:rsidP="001427C4">
      <w:pPr>
        <w:pStyle w:val="SingleTxtG"/>
        <w:tabs>
          <w:tab w:val="clear" w:pos="1701"/>
        </w:tabs>
        <w:ind w:left="2268" w:hanging="1134"/>
      </w:pPr>
      <w:r>
        <w:t>«</w:t>
      </w:r>
      <w:r w:rsidRPr="00FD5B12">
        <w:t>1.6.5.27</w:t>
      </w:r>
      <w:r w:rsidRPr="00FD5B12">
        <w:tab/>
        <w:t>Транспортные средства, впервые зарегистрированные (или, если регистрация не является обязательной, впервые введенные в эксплуатацию) до 1 января 2027 года, официально утвержденные в качестве транспортных средств АТ, не соответствующие положениям пункта 9.2.4.4.2 в отношении оценки перезаряжаемой системы аккумулирования электрической энергии, могут по-прежнему эксплуатироваться</w:t>
      </w:r>
      <w:r>
        <w:t>»</w:t>
      </w:r>
      <w:r w:rsidRPr="00FD5B12">
        <w:t xml:space="preserve">. </w:t>
      </w:r>
    </w:p>
    <w:p w14:paraId="2AA40BC3" w14:textId="67CB8845" w:rsidR="001427C4" w:rsidRPr="00FD5B12" w:rsidRDefault="001427C4" w:rsidP="001427C4">
      <w:pPr>
        <w:pStyle w:val="SingleTxtG"/>
        <w:tabs>
          <w:tab w:val="clear" w:pos="1701"/>
        </w:tabs>
        <w:ind w:left="2268" w:hanging="1134"/>
      </w:pPr>
      <w:r>
        <w:t>«</w:t>
      </w:r>
      <w:r w:rsidRPr="00FD5B12">
        <w:t>1.6.5.28</w:t>
      </w:r>
      <w:r w:rsidRPr="00FD5B12">
        <w:tab/>
        <w:t xml:space="preserve">Транспортные средства, впервые зарегистрированные (или, если регистрация не является обязательной, впервые введенные в эксплуатацию) до 1 января 2027 года, официально утвержденные в </w:t>
      </w:r>
      <w:r w:rsidRPr="00FD5B12">
        <w:lastRenderedPageBreak/>
        <w:t>качестве транспортных средств АТ, не соответствующие положениям пункта 9.2.4.3.1 в отношении двигателей, могут по-прежнему эксплуатироваться</w:t>
      </w:r>
      <w:r>
        <w:t>»</w:t>
      </w:r>
      <w:r w:rsidRPr="00FD5B12">
        <w:t xml:space="preserve">. </w:t>
      </w:r>
    </w:p>
    <w:p w14:paraId="72640A09" w14:textId="57E7D2EF" w:rsidR="001427C4" w:rsidRPr="00FD5B12" w:rsidRDefault="001427C4" w:rsidP="001427C4">
      <w:pPr>
        <w:pStyle w:val="H1G"/>
      </w:pPr>
      <w:r>
        <w:tab/>
      </w:r>
      <w:r>
        <w:tab/>
      </w:r>
      <w:r w:rsidRPr="00FD5B12">
        <w:rPr>
          <w:bCs/>
        </w:rPr>
        <w:t>Глава 1.8</w:t>
      </w:r>
    </w:p>
    <w:p w14:paraId="02E1DF14" w14:textId="77777777" w:rsidR="001427C4" w:rsidRPr="00FD5B12" w:rsidRDefault="001427C4" w:rsidP="001427C4">
      <w:pPr>
        <w:pStyle w:val="SingleTxtG"/>
        <w:tabs>
          <w:tab w:val="clear" w:pos="1701"/>
        </w:tabs>
        <w:ind w:right="567"/>
        <w:rPr>
          <w:iCs/>
        </w:rPr>
      </w:pPr>
      <w:r w:rsidRPr="00FD5B12">
        <w:t>1.8.6.2.1</w:t>
      </w:r>
      <w:r w:rsidRPr="00FD5B12">
        <w:tab/>
        <w:t>Изменить последний абзац следующим образом:</w:t>
      </w:r>
    </w:p>
    <w:p w14:paraId="2E37B3A5" w14:textId="605A9141" w:rsidR="001427C4" w:rsidRPr="00FD5B12" w:rsidRDefault="001427C4" w:rsidP="001427C4">
      <w:pPr>
        <w:pStyle w:val="SingleTxtG"/>
        <w:tabs>
          <w:tab w:val="clear" w:pos="1701"/>
        </w:tabs>
      </w:pPr>
      <w:r>
        <w:t>«</w:t>
      </w:r>
      <w:r w:rsidRPr="00FD5B12">
        <w:t>В тех случаях, когда компетентный орган выполняет функции проверяющего органа самостоятельно, компетентный орган должен соблюдать положения подраздела 1.8.6.3. Однако, когда компетентный орган назначает проверяющий орган для выполнения функций компетентного органа, назначенный орган должен быть аккредитован в соответствии со стандартом EN ISO/IEC 17020:2012 (за исключением пункта 8.1.3) по типу А</w:t>
      </w:r>
      <w:r>
        <w:t>»</w:t>
      </w:r>
      <w:r w:rsidRPr="00FD5B12">
        <w:t xml:space="preserve">. </w:t>
      </w:r>
    </w:p>
    <w:p w14:paraId="29F38F52" w14:textId="5270B5FA" w:rsidR="001427C4" w:rsidRPr="00FD5B12" w:rsidRDefault="001427C4" w:rsidP="001427C4">
      <w:pPr>
        <w:pStyle w:val="SingleTxtG"/>
        <w:tabs>
          <w:tab w:val="clear" w:pos="1701"/>
        </w:tabs>
        <w:spacing w:before="120"/>
        <w:ind w:left="2268" w:hanging="1134"/>
      </w:pPr>
      <w:r w:rsidRPr="00FD5B12">
        <w:t>1.8.6.3.1</w:t>
      </w:r>
      <w:r w:rsidRPr="00FD5B12">
        <w:tab/>
        <w:t xml:space="preserve">Изменить последнее предложение следующим образом: </w:t>
      </w:r>
      <w:r>
        <w:t>«</w:t>
      </w:r>
      <w:r w:rsidRPr="00FD5B12">
        <w:t>Вышеприведенные требования считаются выполненными в случае аккредитации в соответствии со стандартом EN ISO/IEC 17020:2012 (за исключением положения 8.1.3)</w:t>
      </w:r>
      <w:r>
        <w:t>»</w:t>
      </w:r>
      <w:r w:rsidRPr="00FD5B12">
        <w:t xml:space="preserve">. </w:t>
      </w:r>
    </w:p>
    <w:p w14:paraId="7FCE071D" w14:textId="7393EF91" w:rsidR="001427C4" w:rsidRPr="00FD5B12" w:rsidRDefault="001427C4" w:rsidP="001427C4">
      <w:pPr>
        <w:pStyle w:val="H1G"/>
      </w:pPr>
      <w:r>
        <w:tab/>
      </w:r>
      <w:r>
        <w:tab/>
      </w:r>
      <w:r w:rsidRPr="00FD5B12">
        <w:rPr>
          <w:bCs/>
        </w:rPr>
        <w:t>Глава 4.1</w:t>
      </w:r>
    </w:p>
    <w:p w14:paraId="1DF3EAEF" w14:textId="77777777" w:rsidR="001427C4" w:rsidRPr="00FD5B12" w:rsidRDefault="001427C4" w:rsidP="001427C4">
      <w:pPr>
        <w:pStyle w:val="SingleTxtG"/>
        <w:tabs>
          <w:tab w:val="clear" w:pos="1701"/>
          <w:tab w:val="clear" w:pos="2268"/>
          <w:tab w:val="clear" w:pos="2835"/>
        </w:tabs>
        <w:ind w:left="2268" w:hanging="1134"/>
      </w:pPr>
      <w:r w:rsidRPr="00FD5B12">
        <w:t>4.1.4.1, P200</w:t>
      </w:r>
      <w:r w:rsidRPr="00FD5B12">
        <w:tab/>
        <w:t>Во всей инструкции по упаковке, включая таблицы 1–3, поместить сноски непосредственно под инструкцией по упаковке на тех страницах, где они находятся, и изменить их последовательную нумерацию на a)–i).</w:t>
      </w:r>
    </w:p>
    <w:p w14:paraId="31888EFE" w14:textId="15155E7C" w:rsidR="001427C4" w:rsidRPr="00FD5B12" w:rsidRDefault="001427C4" w:rsidP="001427C4">
      <w:pPr>
        <w:pStyle w:val="SingleTxtG"/>
        <w:tabs>
          <w:tab w:val="clear" w:pos="1701"/>
          <w:tab w:val="clear" w:pos="2268"/>
          <w:tab w:val="clear" w:pos="2835"/>
        </w:tabs>
        <w:ind w:left="2268" w:hanging="1134"/>
      </w:pPr>
      <w:r w:rsidRPr="00FD5B12">
        <w:tab/>
        <w:t xml:space="preserve">В пункте (5) b) под первой и второй формулами после </w:t>
      </w:r>
      <w:r>
        <w:t>«</w:t>
      </w:r>
      <w:r w:rsidRPr="00FD5B12">
        <w:t>где</w:t>
      </w:r>
      <w:r>
        <w:t>»</w:t>
      </w:r>
      <w:r w:rsidRPr="00FD5B12">
        <w:t xml:space="preserve"> добавить двоеточие и начать после него с новой строки.</w:t>
      </w:r>
    </w:p>
    <w:p w14:paraId="5EE27AA4" w14:textId="16117D9F" w:rsidR="001427C4" w:rsidRPr="00FD5B12" w:rsidRDefault="001427C4" w:rsidP="001427C4">
      <w:pPr>
        <w:pStyle w:val="SingleTxtG"/>
        <w:tabs>
          <w:tab w:val="clear" w:pos="1701"/>
          <w:tab w:val="clear" w:pos="2268"/>
          <w:tab w:val="clear" w:pos="2835"/>
        </w:tabs>
        <w:ind w:left="2268" w:hanging="1134"/>
      </w:pPr>
      <w:r w:rsidRPr="00FD5B12">
        <w:tab/>
        <w:t xml:space="preserve">В пункте (5) c) под формулой после </w:t>
      </w:r>
      <w:r>
        <w:t>«</w:t>
      </w:r>
      <w:r w:rsidRPr="00FD5B12">
        <w:t>где</w:t>
      </w:r>
      <w:r>
        <w:t>»</w:t>
      </w:r>
      <w:r w:rsidRPr="00FD5B12">
        <w:t xml:space="preserve"> добавить двоеточие и начать после него с новой строки.</w:t>
      </w:r>
    </w:p>
    <w:p w14:paraId="3187D3A6" w14:textId="0C9A553D" w:rsidR="001427C4" w:rsidRPr="00FD5B12" w:rsidRDefault="001427C4" w:rsidP="001427C4">
      <w:pPr>
        <w:pStyle w:val="SingleTxtG"/>
        <w:tabs>
          <w:tab w:val="clear" w:pos="1701"/>
          <w:tab w:val="clear" w:pos="2268"/>
          <w:tab w:val="clear" w:pos="2835"/>
        </w:tabs>
        <w:ind w:left="2268" w:hanging="1134"/>
      </w:pPr>
      <w:r w:rsidRPr="00FD5B12">
        <w:tab/>
        <w:t xml:space="preserve">В пункте (10) z: под первой формулой заменить </w:t>
      </w:r>
      <w:r>
        <w:t>«</w:t>
      </w:r>
      <w:r w:rsidRPr="00FD5B12">
        <w:t>где</w:t>
      </w:r>
      <w:r>
        <w:t>»</w:t>
      </w:r>
      <w:r w:rsidRPr="00FD5B12">
        <w:t xml:space="preserve"> на </w:t>
      </w:r>
      <w:r>
        <w:t>«</w:t>
      </w:r>
      <w:r w:rsidRPr="00FD5B12">
        <w:t>где:</w:t>
      </w:r>
      <w:r>
        <w:t>»</w:t>
      </w:r>
      <w:r w:rsidRPr="00FD5B12">
        <w:t xml:space="preserve"> и начать после этого с новой строки. Во второй формуле после </w:t>
      </w:r>
      <w:r>
        <w:t>«</w:t>
      </w:r>
      <w:r w:rsidRPr="00FD5B12">
        <w:t>где</w:t>
      </w:r>
      <w:r>
        <w:t>»</w:t>
      </w:r>
      <w:r w:rsidRPr="00FD5B12">
        <w:t xml:space="preserve"> добавить двоеточие и начать после него с новой строки.</w:t>
      </w:r>
    </w:p>
    <w:p w14:paraId="42CF5AA0" w14:textId="77777777" w:rsidR="001427C4" w:rsidRPr="00FD5B12" w:rsidRDefault="001427C4" w:rsidP="001427C4">
      <w:pPr>
        <w:pStyle w:val="SingleTxtG"/>
        <w:tabs>
          <w:tab w:val="clear" w:pos="1701"/>
          <w:tab w:val="clear" w:pos="2268"/>
          <w:tab w:val="clear" w:pos="2835"/>
        </w:tabs>
        <w:ind w:left="2268" w:hanging="1134"/>
      </w:pPr>
      <w:r w:rsidRPr="00FD5B12">
        <w:tab/>
        <w:t xml:space="preserve">В пункте (10) </w:t>
      </w:r>
      <w:proofErr w:type="spellStart"/>
      <w:r w:rsidRPr="00FD5B12">
        <w:t>ab</w:t>
      </w:r>
      <w:proofErr w:type="spellEnd"/>
      <w:r w:rsidRPr="00FD5B12">
        <w:t>: изменить нумерацию пунктов i)–</w:t>
      </w:r>
      <w:proofErr w:type="spellStart"/>
      <w:r w:rsidRPr="00FD5B12">
        <w:t>iii</w:t>
      </w:r>
      <w:proofErr w:type="spellEnd"/>
      <w:r w:rsidRPr="00FD5B12">
        <w:t>) на a)–c).</w:t>
      </w:r>
    </w:p>
    <w:p w14:paraId="27D4855E" w14:textId="77777777" w:rsidR="001427C4" w:rsidRPr="00FD5B12" w:rsidRDefault="001427C4" w:rsidP="001427C4">
      <w:pPr>
        <w:pStyle w:val="SingleTxtG"/>
        <w:tabs>
          <w:tab w:val="clear" w:pos="1701"/>
          <w:tab w:val="clear" w:pos="2268"/>
          <w:tab w:val="clear" w:pos="2835"/>
        </w:tabs>
        <w:ind w:left="2268" w:hanging="1134"/>
      </w:pPr>
      <w:r w:rsidRPr="00FD5B12">
        <w:tab/>
        <w:t xml:space="preserve">В пункте (10) </w:t>
      </w:r>
      <w:proofErr w:type="spellStart"/>
      <w:r w:rsidRPr="00FD5B12">
        <w:t>ad</w:t>
      </w:r>
      <w:proofErr w:type="spellEnd"/>
      <w:r w:rsidRPr="00FD5B12">
        <w:t xml:space="preserve">: изменить нумерацию пунктов i) и </w:t>
      </w:r>
      <w:proofErr w:type="spellStart"/>
      <w:r w:rsidRPr="00FD5B12">
        <w:t>ii</w:t>
      </w:r>
      <w:proofErr w:type="spellEnd"/>
      <w:r w:rsidRPr="00FD5B12">
        <w:t xml:space="preserve">) на a) и b) и перенумеровать перечень, заменив тире на i) и </w:t>
      </w:r>
      <w:proofErr w:type="spellStart"/>
      <w:r w:rsidRPr="00FD5B12">
        <w:t>ii</w:t>
      </w:r>
      <w:proofErr w:type="spellEnd"/>
      <w:r w:rsidRPr="00FD5B12">
        <w:t>).</w:t>
      </w:r>
    </w:p>
    <w:p w14:paraId="1F0D2770" w14:textId="123BBA60" w:rsidR="001427C4" w:rsidRPr="00FD5B12" w:rsidRDefault="001427C4" w:rsidP="001427C4">
      <w:pPr>
        <w:pStyle w:val="SingleTxtG"/>
        <w:tabs>
          <w:tab w:val="clear" w:pos="1701"/>
        </w:tabs>
        <w:ind w:left="2268" w:hanging="1134"/>
        <w:rPr>
          <w:bCs/>
        </w:rPr>
      </w:pPr>
      <w:r>
        <w:tab/>
      </w:r>
      <w:r w:rsidRPr="00FD5B12">
        <w:t xml:space="preserve">В пункте (11), в конце таблицы, исключить строку для стандарта </w:t>
      </w:r>
      <w:r>
        <w:t>«</w:t>
      </w:r>
      <w:r w:rsidRPr="00FD5B12">
        <w:t>EN 14794:2005</w:t>
      </w:r>
      <w:r>
        <w:t>»</w:t>
      </w:r>
      <w:r w:rsidRPr="00FD5B12">
        <w:t>.</w:t>
      </w:r>
    </w:p>
    <w:p w14:paraId="56AEC7AE" w14:textId="77777777" w:rsidR="001427C4" w:rsidRPr="00FD5B12" w:rsidRDefault="001427C4" w:rsidP="001427C4">
      <w:pPr>
        <w:pStyle w:val="SingleTxtG"/>
        <w:tabs>
          <w:tab w:val="clear" w:pos="1701"/>
          <w:tab w:val="clear" w:pos="2268"/>
          <w:tab w:val="clear" w:pos="2835"/>
        </w:tabs>
        <w:ind w:left="2268" w:hanging="1134"/>
      </w:pPr>
      <w:r w:rsidRPr="00FD5B12">
        <w:tab/>
        <w:t>В пункте (13) 2.2 изменить нумерацию перечня с тире на a)–е).</w:t>
      </w:r>
    </w:p>
    <w:p w14:paraId="0A2F4FCE" w14:textId="77777777" w:rsidR="001427C4" w:rsidRPr="00FD5B12" w:rsidRDefault="001427C4" w:rsidP="001427C4">
      <w:pPr>
        <w:pStyle w:val="SingleTxtG"/>
        <w:tabs>
          <w:tab w:val="clear" w:pos="1701"/>
          <w:tab w:val="clear" w:pos="2268"/>
          <w:tab w:val="clear" w:pos="2835"/>
        </w:tabs>
        <w:ind w:left="2268" w:hanging="1134"/>
      </w:pPr>
      <w:r w:rsidRPr="00FD5B12">
        <w:tab/>
        <w:t xml:space="preserve">В пункте (13) 2.3 изменить нумерацию перечня первого уровня с тире на a)–e) и нумерацию перечня второго уровня с тире на i) и </w:t>
      </w:r>
      <w:proofErr w:type="spellStart"/>
      <w:r w:rsidRPr="00FD5B12">
        <w:t>ii</w:t>
      </w:r>
      <w:proofErr w:type="spellEnd"/>
      <w:r w:rsidRPr="00FD5B12">
        <w:t>).</w:t>
      </w:r>
    </w:p>
    <w:p w14:paraId="54155366" w14:textId="77B2C1DC" w:rsidR="001427C4" w:rsidRPr="00FD5B12" w:rsidRDefault="001427C4" w:rsidP="001427C4">
      <w:pPr>
        <w:pStyle w:val="SingleTxtG"/>
        <w:ind w:left="2268"/>
      </w:pPr>
      <w:r w:rsidRPr="00FD5B12">
        <w:t xml:space="preserve">Под таблицей 2 после графика в сноске, касающейся коэффициента наполнения для </w:t>
      </w:r>
      <w:r w:rsidR="0040379B">
        <w:t>№ </w:t>
      </w:r>
      <w:r w:rsidRPr="00FD5B12">
        <w:t>1965</w:t>
      </w:r>
      <w:r w:rsidR="00712CF9" w:rsidRPr="00712CF9">
        <w:t xml:space="preserve"> </w:t>
      </w:r>
      <w:r w:rsidR="00712CF9" w:rsidRPr="00FD5B12">
        <w:t>ООН</w:t>
      </w:r>
      <w:r w:rsidRPr="00FD5B12">
        <w:t>, с поправками, содержащимися в документе ECE/TRANS/265, добавить следующее новое примечание:</w:t>
      </w:r>
    </w:p>
    <w:p w14:paraId="512D476C" w14:textId="2A7658FA" w:rsidR="001427C4" w:rsidRPr="00FD5B12" w:rsidRDefault="001427C4" w:rsidP="001427C4">
      <w:pPr>
        <w:pStyle w:val="SingleTxtG"/>
        <w:ind w:left="2268"/>
        <w:rPr>
          <w:i/>
          <w:iCs/>
        </w:rPr>
      </w:pPr>
      <w:r w:rsidRPr="00712CF9">
        <w:t>«</w:t>
      </w:r>
      <w:r w:rsidRPr="00FD5B12">
        <w:rPr>
          <w:b/>
          <w:bCs/>
          <w:i/>
          <w:iCs/>
        </w:rPr>
        <w:t>ПРИМЕЧАНИЕ</w:t>
      </w:r>
      <w:r w:rsidRPr="00FD5B12">
        <w:rPr>
          <w:i/>
          <w:iCs/>
        </w:rPr>
        <w:t>: Вышеприведенный график можно использовать для определения правильных коэффициентов наполнения для смесей, перечисленных в подразделе 2.2.2.3</w:t>
      </w:r>
      <w:r w:rsidRPr="00712CF9">
        <w:t>»</w:t>
      </w:r>
      <w:r w:rsidRPr="00FD5B12">
        <w:rPr>
          <w:i/>
          <w:iCs/>
        </w:rPr>
        <w:t>.</w:t>
      </w:r>
      <w:r w:rsidRPr="00FD5B12">
        <w:t xml:space="preserve"> </w:t>
      </w:r>
    </w:p>
    <w:p w14:paraId="5119CC21" w14:textId="5F762C05" w:rsidR="001427C4" w:rsidRPr="00FD5B12" w:rsidRDefault="001427C4" w:rsidP="001427C4">
      <w:pPr>
        <w:pStyle w:val="SingleTxtG"/>
        <w:ind w:left="2268" w:hanging="1134"/>
      </w:pPr>
      <w:r w:rsidRPr="00FD5B12">
        <w:t>4.1.6.15</w:t>
      </w:r>
      <w:r w:rsidRPr="00FD5B12">
        <w:tab/>
        <w:t xml:space="preserve">В таблице 4.1.6.15.1, в первой строке для </w:t>
      </w:r>
      <w:r>
        <w:t>«</w:t>
      </w:r>
      <w:r w:rsidRPr="00FD5B12">
        <w:t>4.1.6.8 Вентили с конструктивной защитой</w:t>
      </w:r>
      <w:r>
        <w:t>»</w:t>
      </w:r>
      <w:r w:rsidRPr="00FD5B12">
        <w:t>, во втором столбце</w:t>
      </w:r>
      <w:r w:rsidR="0040379B">
        <w:t xml:space="preserve"> </w:t>
      </w:r>
      <w:r w:rsidRPr="00FD5B12">
        <w:t xml:space="preserve">после </w:t>
      </w:r>
      <w:r>
        <w:t>«</w:t>
      </w:r>
      <w:r w:rsidRPr="00FD5B12">
        <w:t>EN ISO 10297:2014 + A1:2017</w:t>
      </w:r>
      <w:r>
        <w:t>»</w:t>
      </w:r>
      <w:r w:rsidRPr="00FD5B12">
        <w:t xml:space="preserve">, добавить </w:t>
      </w:r>
      <w:r>
        <w:t>«</w:t>
      </w:r>
      <w:r w:rsidRPr="00FD5B12">
        <w:t>или пункт 5.4.2 стандарта EN ISO 10297: 2024</w:t>
      </w:r>
      <w:r>
        <w:t>»</w:t>
      </w:r>
      <w:r w:rsidRPr="00FD5B12">
        <w:t>.</w:t>
      </w:r>
    </w:p>
    <w:p w14:paraId="65B8FC48" w14:textId="1362552B" w:rsidR="001427C4" w:rsidRPr="00FD5B12" w:rsidRDefault="001427C4" w:rsidP="001427C4">
      <w:pPr>
        <w:pStyle w:val="H1G"/>
      </w:pPr>
      <w:r>
        <w:lastRenderedPageBreak/>
        <w:tab/>
      </w:r>
      <w:r w:rsidR="00712CF9">
        <w:tab/>
      </w:r>
      <w:r w:rsidRPr="00FD5B12">
        <w:rPr>
          <w:bCs/>
        </w:rPr>
        <w:t>Глава 4.2</w:t>
      </w:r>
    </w:p>
    <w:p w14:paraId="04B33E63" w14:textId="4FB3794D" w:rsidR="001427C4" w:rsidRPr="00FD5B12" w:rsidRDefault="001427C4" w:rsidP="00712CF9">
      <w:pPr>
        <w:pStyle w:val="SingleTxtG"/>
        <w:tabs>
          <w:tab w:val="clear" w:pos="1701"/>
        </w:tabs>
        <w:rPr>
          <w:i/>
          <w:iCs/>
        </w:rPr>
      </w:pPr>
      <w:r w:rsidRPr="00FD5B12">
        <w:t xml:space="preserve">После заголовка главы 4.2 в примечании 2 после слов </w:t>
      </w:r>
      <w:r>
        <w:t>«</w:t>
      </w:r>
      <w:r w:rsidRPr="00FD5B12">
        <w:t>не являющемся Договаривающейся стороной ДОПОГ,</w:t>
      </w:r>
      <w:r>
        <w:t>»</w:t>
      </w:r>
      <w:r w:rsidRPr="00FD5B12">
        <w:t xml:space="preserve"> добавить: </w:t>
      </w:r>
      <w:r>
        <w:t>«</w:t>
      </w:r>
      <w:r w:rsidRPr="00FD5B12">
        <w:t>или утвержденные в соответствии с главой 6.7 МКМПОГ,</w:t>
      </w:r>
      <w:r>
        <w:t>»</w:t>
      </w:r>
      <w:r w:rsidRPr="00FD5B12">
        <w:t>.</w:t>
      </w:r>
    </w:p>
    <w:p w14:paraId="6B6D027A" w14:textId="77777777" w:rsidR="001427C4" w:rsidRPr="00FD5B12" w:rsidRDefault="001427C4" w:rsidP="00712CF9">
      <w:pPr>
        <w:pStyle w:val="SingleTxtG"/>
        <w:tabs>
          <w:tab w:val="clear" w:pos="1701"/>
        </w:tabs>
        <w:rPr>
          <w:bCs/>
        </w:rPr>
      </w:pPr>
      <w:r w:rsidRPr="00FD5B12">
        <w:t>4.2.3.7.1</w:t>
      </w:r>
      <w:r w:rsidRPr="00FD5B12">
        <w:tab/>
        <w:t>В конце пункта после подпунктов добавить следующий новый абзац:</w:t>
      </w:r>
    </w:p>
    <w:p w14:paraId="5004EA18" w14:textId="18714B26" w:rsidR="001427C4" w:rsidRPr="00FD5B12" w:rsidRDefault="001427C4" w:rsidP="00712CF9">
      <w:pPr>
        <w:pStyle w:val="SingleTxtG"/>
        <w:tabs>
          <w:tab w:val="clear" w:pos="1701"/>
        </w:tabs>
      </w:pPr>
      <w:r>
        <w:t>«</w:t>
      </w:r>
      <w:r w:rsidRPr="00FD5B12">
        <w:t>Расчет фактического времени удержания может не выполняться, если вся перевозка осуществляется только автомобильным транспортом, без перегрузки на другое транспортное средство и без промежуточного временного хранения. При отказе от расчета фактического времени удержания положения пунктов 4.2.3.7.2, 4.2.3.7.3 и 4.2.3.8 e) и f) не применяются</w:t>
      </w:r>
      <w:r>
        <w:t>»</w:t>
      </w:r>
      <w:r w:rsidRPr="00FD5B12">
        <w:t xml:space="preserve">. </w:t>
      </w:r>
    </w:p>
    <w:p w14:paraId="67958A96" w14:textId="3E6A08CB" w:rsidR="001427C4" w:rsidRPr="00FD5B12" w:rsidRDefault="001427C4" w:rsidP="001427C4">
      <w:pPr>
        <w:pStyle w:val="H1G"/>
      </w:pPr>
      <w:r>
        <w:tab/>
      </w:r>
      <w:r w:rsidR="00712CF9">
        <w:tab/>
      </w:r>
      <w:r w:rsidRPr="00FD5B12">
        <w:rPr>
          <w:bCs/>
        </w:rPr>
        <w:t>Глава 4.3</w:t>
      </w:r>
    </w:p>
    <w:p w14:paraId="6EF27D99" w14:textId="2A4147B7" w:rsidR="001427C4" w:rsidRPr="00FD5B12" w:rsidRDefault="001427C4" w:rsidP="00712CF9">
      <w:pPr>
        <w:pStyle w:val="SingleTxtG"/>
        <w:tabs>
          <w:tab w:val="clear" w:pos="1701"/>
        </w:tabs>
        <w:ind w:left="2268" w:hanging="1134"/>
        <w:rPr>
          <w:bCs/>
        </w:rPr>
      </w:pPr>
      <w:r w:rsidRPr="00FD5B12">
        <w:t>4.3.3.5</w:t>
      </w:r>
      <w:r>
        <w:tab/>
      </w:r>
      <w:r w:rsidRPr="00FD5B12">
        <w:t>В конце, в правой колонке, перед предложением, которое будет добавлено в соответствии с документом ECE/TRANS/WP.15/265, добавить следующий новый абзац:</w:t>
      </w:r>
    </w:p>
    <w:p w14:paraId="67C94001" w14:textId="406BDC03" w:rsidR="001427C4" w:rsidRPr="00FD5B12" w:rsidRDefault="001427C4" w:rsidP="001427C4">
      <w:pPr>
        <w:pStyle w:val="SingleTxtG"/>
      </w:pPr>
      <w:r>
        <w:t>«</w:t>
      </w:r>
      <w:r w:rsidRPr="00FD5B12">
        <w:t>Расчет фактического времени удержания может не выполняться, если вся перевозка осуществляется только автомобильным транспортом, без перегрузки на другое транспортное средство и без промежуточного временного хранения. При отказе от расчета фактического времени удержания положения пунктов 4.3.3.6 e), f) и g) не применяются</w:t>
      </w:r>
      <w:r>
        <w:t>»</w:t>
      </w:r>
      <w:r w:rsidRPr="00FD5B12">
        <w:t xml:space="preserve">. </w:t>
      </w:r>
    </w:p>
    <w:p w14:paraId="2EA95615" w14:textId="0920612D" w:rsidR="001427C4" w:rsidRPr="00FD5B12" w:rsidRDefault="001427C4" w:rsidP="001427C4">
      <w:pPr>
        <w:pStyle w:val="H1G"/>
      </w:pPr>
      <w:r>
        <w:tab/>
      </w:r>
      <w:r w:rsidR="00712CF9">
        <w:tab/>
      </w:r>
      <w:r w:rsidRPr="00FD5B12">
        <w:rPr>
          <w:bCs/>
        </w:rPr>
        <w:t>Глава 5.3</w:t>
      </w:r>
    </w:p>
    <w:p w14:paraId="315836CD" w14:textId="4159D3B7" w:rsidR="001427C4" w:rsidRPr="00FD5B12" w:rsidRDefault="001427C4" w:rsidP="001427C4">
      <w:pPr>
        <w:pStyle w:val="SingleTxtG"/>
        <w:ind w:left="2268" w:hanging="1134"/>
      </w:pPr>
      <w:r w:rsidRPr="00FD5B12">
        <w:t>5.3.2.1.1</w:t>
      </w:r>
      <w:r w:rsidRPr="00FD5B12">
        <w:tab/>
        <w:t xml:space="preserve">В конце второго абзаца добавить слова </w:t>
      </w:r>
      <w:r>
        <w:t>«</w:t>
      </w:r>
      <w:r w:rsidRPr="00FD5B12">
        <w:t xml:space="preserve">или </w:t>
      </w:r>
      <w:r w:rsidR="0040379B">
        <w:t>№ </w:t>
      </w:r>
      <w:r w:rsidRPr="00FD5B12">
        <w:t>ООН 3475, в зависимости от обстоятельств</w:t>
      </w:r>
      <w:r>
        <w:t>»</w:t>
      </w:r>
      <w:r w:rsidRPr="00FD5B12">
        <w:t>.</w:t>
      </w:r>
    </w:p>
    <w:p w14:paraId="203B21C7" w14:textId="6B2191BD" w:rsidR="001427C4" w:rsidRPr="00FD5B12" w:rsidRDefault="001427C4" w:rsidP="001427C4">
      <w:pPr>
        <w:pStyle w:val="SingleTxtG"/>
        <w:tabs>
          <w:tab w:val="clear" w:pos="1701"/>
          <w:tab w:val="clear" w:pos="2268"/>
          <w:tab w:val="clear" w:pos="2835"/>
        </w:tabs>
        <w:ind w:left="2268" w:hanging="1134"/>
      </w:pPr>
      <w:r w:rsidRPr="00FD5B12">
        <w:t>5.3.2.1.3</w:t>
      </w:r>
      <w:r w:rsidRPr="00FD5B12">
        <w:tab/>
        <w:t xml:space="preserve">Заменить </w:t>
      </w:r>
      <w:r>
        <w:t>«</w:t>
      </w:r>
      <w:r w:rsidRPr="00FD5B12">
        <w:t>1203 или 1223</w:t>
      </w:r>
      <w:r>
        <w:t>»</w:t>
      </w:r>
      <w:r w:rsidRPr="00FD5B12">
        <w:t xml:space="preserve"> на </w:t>
      </w:r>
      <w:r>
        <w:t>«</w:t>
      </w:r>
      <w:r w:rsidRPr="00FD5B12">
        <w:t>1203, 1223 или 3475</w:t>
      </w:r>
      <w:r>
        <w:t>»</w:t>
      </w:r>
      <w:r w:rsidRPr="00FD5B12">
        <w:t xml:space="preserve"> и изменить конец пункта следующим образом:</w:t>
      </w:r>
    </w:p>
    <w:p w14:paraId="178B97D4" w14:textId="40702E39" w:rsidR="001427C4" w:rsidRPr="00FD5B12" w:rsidRDefault="001427C4" w:rsidP="001427C4">
      <w:pPr>
        <w:pStyle w:val="SingleTxtG"/>
        <w:tabs>
          <w:tab w:val="clear" w:pos="1701"/>
          <w:tab w:val="clear" w:pos="2268"/>
          <w:tab w:val="clear" w:pos="2835"/>
        </w:tabs>
        <w:ind w:left="2268" w:hanging="1134"/>
      </w:pPr>
      <w:r>
        <w:t>«</w:t>
      </w:r>
      <w:r w:rsidRPr="00FD5B12">
        <w:t>... и номер ООН, предписанные:</w:t>
      </w:r>
    </w:p>
    <w:p w14:paraId="614C4CE5" w14:textId="7D2D79D5" w:rsidR="001427C4" w:rsidRPr="00FD5B12" w:rsidRDefault="001427C4" w:rsidP="001427C4">
      <w:pPr>
        <w:pStyle w:val="SingleTxtG"/>
        <w:tabs>
          <w:tab w:val="clear" w:pos="1701"/>
          <w:tab w:val="clear" w:pos="2268"/>
          <w:tab w:val="clear" w:pos="2835"/>
        </w:tabs>
        <w:ind w:left="2268" w:hanging="1134"/>
      </w:pPr>
      <w:r w:rsidRPr="00FD5B12">
        <w:t>a)</w:t>
      </w:r>
      <w:r w:rsidRPr="00FD5B12">
        <w:tab/>
        <w:t xml:space="preserve">для </w:t>
      </w:r>
      <w:r w:rsidR="0040379B">
        <w:t>№ </w:t>
      </w:r>
      <w:r w:rsidRPr="00FD5B12">
        <w:t>ООН 3475; или</w:t>
      </w:r>
    </w:p>
    <w:p w14:paraId="472EE5D3" w14:textId="4790639A" w:rsidR="001427C4" w:rsidRPr="00FD5B12" w:rsidRDefault="001427C4" w:rsidP="001427C4">
      <w:pPr>
        <w:pStyle w:val="SingleTxtG"/>
        <w:tabs>
          <w:tab w:val="clear" w:pos="1701"/>
          <w:tab w:val="clear" w:pos="2268"/>
          <w:tab w:val="clear" w:pos="2835"/>
        </w:tabs>
        <w:ind w:left="2268" w:hanging="1134"/>
      </w:pPr>
      <w:r w:rsidRPr="00FD5B12">
        <w:t>b)</w:t>
      </w:r>
      <w:r w:rsidRPr="00FD5B12">
        <w:tab/>
        <w:t>для наиболее опасного из перевозимых веществ, т.</w:t>
      </w:r>
      <w:r w:rsidR="00712CF9">
        <w:t> </w:t>
      </w:r>
      <w:r w:rsidRPr="00FD5B12">
        <w:t xml:space="preserve">е. для вещества с самой низкой температурой вспышки, при отсутствии вещества с </w:t>
      </w:r>
      <w:r w:rsidR="0040379B">
        <w:t>№ </w:t>
      </w:r>
      <w:r w:rsidRPr="00FD5B12">
        <w:t>3475</w:t>
      </w:r>
      <w:r w:rsidR="00712CF9" w:rsidRPr="00712CF9">
        <w:t xml:space="preserve"> </w:t>
      </w:r>
      <w:r w:rsidR="00712CF9" w:rsidRPr="00FD5B12">
        <w:t>ООН</w:t>
      </w:r>
      <w:r>
        <w:t>»</w:t>
      </w:r>
      <w:r w:rsidRPr="00FD5B12">
        <w:t xml:space="preserve">. </w:t>
      </w:r>
    </w:p>
    <w:p w14:paraId="6D33BA6C" w14:textId="61382880" w:rsidR="001427C4" w:rsidRPr="00FD5B12" w:rsidRDefault="001427C4" w:rsidP="001427C4">
      <w:pPr>
        <w:pStyle w:val="H1G"/>
      </w:pPr>
      <w:r>
        <w:tab/>
      </w:r>
      <w:r w:rsidR="00712CF9">
        <w:tab/>
      </w:r>
      <w:r w:rsidRPr="00FD5B12">
        <w:rPr>
          <w:bCs/>
        </w:rPr>
        <w:t>Глава 5.4</w:t>
      </w:r>
    </w:p>
    <w:p w14:paraId="7483BB37" w14:textId="77777777" w:rsidR="001427C4" w:rsidRPr="00FD5B12" w:rsidRDefault="001427C4" w:rsidP="00712CF9">
      <w:pPr>
        <w:pStyle w:val="SingleTxtG"/>
        <w:tabs>
          <w:tab w:val="clear" w:pos="1701"/>
        </w:tabs>
        <w:rPr>
          <w:bCs/>
          <w:iCs/>
        </w:rPr>
      </w:pPr>
      <w:r w:rsidRPr="00FD5B12">
        <w:t>5.4.1.1.3.1</w:t>
      </w:r>
      <w:r w:rsidRPr="00FD5B12">
        <w:tab/>
        <w:t>Изменить последний подпункт следующим образом:</w:t>
      </w:r>
    </w:p>
    <w:p w14:paraId="7CB22217" w14:textId="438A4FDC" w:rsidR="001427C4" w:rsidRPr="00FD5B12" w:rsidRDefault="001427C4" w:rsidP="00712CF9">
      <w:pPr>
        <w:pStyle w:val="SingleTxtG"/>
        <w:tabs>
          <w:tab w:val="clear" w:pos="1701"/>
        </w:tabs>
      </w:pPr>
      <w:r>
        <w:t>«</w:t>
      </w:r>
      <w:r w:rsidRPr="00FD5B12">
        <w:t>Если применяется положение, касающееся отходов, изложенное в пункте 2.1.3.5.5, то техническое наименование, предписанное в главе 3.3, специальное положение 274, можно не добавлять</w:t>
      </w:r>
      <w:r>
        <w:t>»</w:t>
      </w:r>
      <w:r w:rsidRPr="00FD5B12">
        <w:t xml:space="preserve">. </w:t>
      </w:r>
    </w:p>
    <w:p w14:paraId="58D2C8F6" w14:textId="77777777" w:rsidR="001427C4" w:rsidRPr="00FD5B12" w:rsidRDefault="001427C4" w:rsidP="00712CF9">
      <w:pPr>
        <w:pStyle w:val="SingleTxtG"/>
        <w:tabs>
          <w:tab w:val="clear" w:pos="1701"/>
        </w:tabs>
        <w:rPr>
          <w:bCs/>
          <w:iCs/>
        </w:rPr>
      </w:pPr>
      <w:r w:rsidRPr="00FD5B12">
        <w:t>5.4.1.2.2</w:t>
      </w:r>
      <w:r w:rsidRPr="00FD5B12">
        <w:tab/>
        <w:t>В конце подпункта d) добавить следующий новый абзац:</w:t>
      </w:r>
    </w:p>
    <w:p w14:paraId="297461E8" w14:textId="3BCFB1DC" w:rsidR="001427C4" w:rsidRPr="00FD5B12" w:rsidRDefault="001427C4" w:rsidP="00712CF9">
      <w:pPr>
        <w:pStyle w:val="SingleTxtG"/>
        <w:tabs>
          <w:tab w:val="clear" w:pos="1701"/>
        </w:tabs>
      </w:pPr>
      <w:r>
        <w:t>«</w:t>
      </w:r>
      <w:r w:rsidRPr="00FD5B12">
        <w:t>В случае отказа от расчета фактического времени удержания в соответствии с пунктами 4.2.3.7.1 или 4.3.3.5 данное положение не применяется</w:t>
      </w:r>
      <w:r>
        <w:t>»</w:t>
      </w:r>
      <w:r w:rsidRPr="00FD5B12">
        <w:t xml:space="preserve">. </w:t>
      </w:r>
    </w:p>
    <w:p w14:paraId="70DCC144" w14:textId="4276A206" w:rsidR="001427C4" w:rsidRPr="00FD5B12" w:rsidRDefault="001427C4" w:rsidP="001427C4">
      <w:pPr>
        <w:pStyle w:val="H1G"/>
      </w:pPr>
      <w:r>
        <w:tab/>
      </w:r>
      <w:r w:rsidR="00712CF9">
        <w:tab/>
      </w:r>
      <w:r w:rsidRPr="00FD5B12">
        <w:rPr>
          <w:bCs/>
        </w:rPr>
        <w:t>Глава 5.5</w:t>
      </w:r>
    </w:p>
    <w:p w14:paraId="5FEF528D" w14:textId="0110256F" w:rsidR="001427C4" w:rsidRPr="00FD5B12" w:rsidRDefault="001427C4" w:rsidP="00712CF9">
      <w:pPr>
        <w:pStyle w:val="SingleTxtG"/>
        <w:tabs>
          <w:tab w:val="clear" w:pos="1701"/>
        </w:tabs>
        <w:ind w:left="2268" w:hanging="1134"/>
        <w:rPr>
          <w:bCs/>
          <w:iCs/>
        </w:rPr>
      </w:pPr>
      <w:r w:rsidRPr="00FD5B12">
        <w:t>5.5.4</w:t>
      </w:r>
      <w:r>
        <w:tab/>
      </w:r>
      <w:r w:rsidRPr="00FD5B12">
        <w:t>Поправка к тексту на французском языке не касается текста на русском языке.</w:t>
      </w:r>
    </w:p>
    <w:p w14:paraId="7B3EC702" w14:textId="2A2AA6C3" w:rsidR="001427C4" w:rsidRPr="00FD5B12" w:rsidRDefault="001427C4" w:rsidP="00712CF9">
      <w:pPr>
        <w:pStyle w:val="SingleTxtG"/>
        <w:tabs>
          <w:tab w:val="clear" w:pos="1701"/>
        </w:tabs>
        <w:ind w:left="2268" w:hanging="1134"/>
        <w:rPr>
          <w:bCs/>
          <w:iCs/>
        </w:rPr>
      </w:pPr>
      <w:r w:rsidRPr="00FD5B12">
        <w:t>5.5.4.1</w:t>
      </w:r>
      <w:r>
        <w:tab/>
      </w:r>
      <w:r w:rsidRPr="00FD5B12">
        <w:t>Поправка к тексту на французском языке не касается текста на русском языке.</w:t>
      </w:r>
    </w:p>
    <w:p w14:paraId="3265851F" w14:textId="5C328CC1" w:rsidR="001427C4" w:rsidRPr="00FD5B12" w:rsidRDefault="001427C4" w:rsidP="001427C4">
      <w:pPr>
        <w:pStyle w:val="H1G"/>
      </w:pPr>
      <w:r>
        <w:lastRenderedPageBreak/>
        <w:tab/>
      </w:r>
      <w:r w:rsidR="00712CF9">
        <w:tab/>
      </w:r>
      <w:r w:rsidRPr="00FD5B12">
        <w:rPr>
          <w:bCs/>
        </w:rPr>
        <w:t>Глава 6.2</w:t>
      </w:r>
    </w:p>
    <w:p w14:paraId="7BB0D797" w14:textId="55F8F362" w:rsidR="001427C4" w:rsidRPr="00FD5B12" w:rsidRDefault="001427C4" w:rsidP="00712CF9">
      <w:pPr>
        <w:pStyle w:val="SingleTxtG"/>
        <w:tabs>
          <w:tab w:val="clear" w:pos="1701"/>
        </w:tabs>
        <w:ind w:left="2268" w:right="1133" w:hanging="1134"/>
        <w:rPr>
          <w:bCs/>
        </w:rPr>
      </w:pPr>
      <w:r w:rsidRPr="00FD5B12">
        <w:t>6.2.4.1</w:t>
      </w:r>
      <w:r>
        <w:tab/>
      </w:r>
      <w:r w:rsidRPr="00FD5B12">
        <w:t>В таблице, раздел под заголовком</w:t>
      </w:r>
      <w:r w:rsidRPr="00FD5B12">
        <w:rPr>
          <w:b/>
          <w:bCs/>
          <w:i/>
          <w:iCs/>
        </w:rPr>
        <w:t xml:space="preserve"> </w:t>
      </w:r>
      <w:r>
        <w:rPr>
          <w:b/>
          <w:bCs/>
          <w:i/>
          <w:iCs/>
        </w:rPr>
        <w:t>«</w:t>
      </w:r>
      <w:r w:rsidRPr="00FD5B12">
        <w:rPr>
          <w:b/>
          <w:bCs/>
          <w:i/>
          <w:iCs/>
        </w:rPr>
        <w:t>Для конструкции и изготовления сосудов под давлением или корпусов сосудов под давлением</w:t>
      </w:r>
      <w:r>
        <w:rPr>
          <w:b/>
          <w:bCs/>
          <w:i/>
          <w:iCs/>
        </w:rPr>
        <w:t>»</w:t>
      </w:r>
      <w:r w:rsidRPr="00712CF9">
        <w:t>:</w:t>
      </w:r>
    </w:p>
    <w:p w14:paraId="4A4BBA2F" w14:textId="5FB51560" w:rsidR="001427C4" w:rsidRPr="00FD5B12" w:rsidRDefault="001427C4" w:rsidP="00712CF9">
      <w:pPr>
        <w:pStyle w:val="Bullet1G"/>
        <w:numPr>
          <w:ilvl w:val="0"/>
          <w:numId w:val="22"/>
        </w:numPr>
        <w:suppressAutoHyphens w:val="0"/>
      </w:pPr>
      <w:r w:rsidRPr="00FD5B12">
        <w:t xml:space="preserve">для стандарта EN 1964-3:2000 в колонке 4 заменить </w:t>
      </w:r>
      <w:r>
        <w:t>«</w:t>
      </w:r>
      <w:r w:rsidRPr="00FD5B12">
        <w:t>До дальнейшего указания</w:t>
      </w:r>
      <w:r>
        <w:t>»</w:t>
      </w:r>
      <w:r w:rsidRPr="00FD5B12">
        <w:t xml:space="preserve"> на </w:t>
      </w:r>
      <w:r>
        <w:t>«</w:t>
      </w:r>
      <w:r w:rsidRPr="00FD5B12">
        <w:t>До 31 декабря 2026 года</w:t>
      </w:r>
      <w:r>
        <w:t>»</w:t>
      </w:r>
      <w:r w:rsidRPr="00FD5B12">
        <w:t>;</w:t>
      </w:r>
    </w:p>
    <w:p w14:paraId="56328081" w14:textId="6DB5E39B" w:rsidR="001427C4" w:rsidRPr="00FD5B12" w:rsidRDefault="001427C4" w:rsidP="00712CF9">
      <w:pPr>
        <w:pStyle w:val="Bullet1G"/>
        <w:numPr>
          <w:ilvl w:val="0"/>
          <w:numId w:val="22"/>
        </w:numPr>
        <w:suppressAutoHyphens w:val="0"/>
      </w:pPr>
      <w:r w:rsidRPr="00FD5B12">
        <w:t xml:space="preserve">для стандарта EN 13322-1:2003 + A1:2006 в колонке 4 заменить </w:t>
      </w:r>
      <w:r>
        <w:t>«</w:t>
      </w:r>
      <w:r w:rsidRPr="00FD5B12">
        <w:t>До</w:t>
      </w:r>
      <w:r w:rsidR="00712CF9">
        <w:t> </w:t>
      </w:r>
      <w:r w:rsidRPr="00FD5B12">
        <w:t>дальнейшего указания</w:t>
      </w:r>
      <w:r>
        <w:t>»</w:t>
      </w:r>
      <w:r w:rsidRPr="00FD5B12">
        <w:t xml:space="preserve"> на </w:t>
      </w:r>
      <w:r>
        <w:t>«</w:t>
      </w:r>
      <w:r w:rsidRPr="00FD5B12">
        <w:t>С 1 января 2007 года до 31 декабря 2026 года</w:t>
      </w:r>
      <w:r>
        <w:t>»</w:t>
      </w:r>
      <w:r w:rsidRPr="00FD5B12">
        <w:t>.</w:t>
      </w:r>
    </w:p>
    <w:p w14:paraId="6A78B020" w14:textId="7374AC09" w:rsidR="001427C4" w:rsidRPr="00FD5B12" w:rsidRDefault="001427C4" w:rsidP="00712CF9">
      <w:pPr>
        <w:pStyle w:val="Bullet1G"/>
        <w:numPr>
          <w:ilvl w:val="0"/>
          <w:numId w:val="22"/>
        </w:numPr>
        <w:suppressAutoHyphens w:val="0"/>
      </w:pPr>
      <w:r w:rsidRPr="00FD5B12">
        <w:t xml:space="preserve">После строки для стандарта </w:t>
      </w:r>
      <w:r>
        <w:t>«</w:t>
      </w:r>
      <w:r w:rsidRPr="00FD5B12">
        <w:t>EN 13322-1:2003 + A1:2006</w:t>
      </w:r>
      <w:r>
        <w:t>»</w:t>
      </w:r>
      <w:r w:rsidRPr="00FD5B12">
        <w:t xml:space="preserve"> добавить следующую новую строку:</w:t>
      </w:r>
    </w:p>
    <w:tbl>
      <w:tblPr>
        <w:tblW w:w="850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3"/>
        <w:gridCol w:w="3499"/>
        <w:gridCol w:w="1022"/>
        <w:gridCol w:w="1145"/>
        <w:gridCol w:w="645"/>
      </w:tblGrid>
      <w:tr w:rsidR="00712CF9" w:rsidRPr="00712CF9" w14:paraId="759C9AC1" w14:textId="77777777" w:rsidTr="00712CF9">
        <w:trPr>
          <w:cantSplit/>
        </w:trPr>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099E9B" w14:textId="77777777" w:rsidR="001427C4" w:rsidRPr="00712CF9" w:rsidRDefault="001427C4" w:rsidP="00712CF9">
            <w:pPr>
              <w:keepNext/>
              <w:widowControl w:val="0"/>
              <w:spacing w:before="60" w:after="60" w:line="220" w:lineRule="atLeast"/>
              <w:jc w:val="center"/>
              <w:rPr>
                <w:rFonts w:cs="Arial"/>
                <w:sz w:val="16"/>
                <w:szCs w:val="16"/>
              </w:rPr>
            </w:pPr>
            <w:r w:rsidRPr="00712CF9">
              <w:rPr>
                <w:sz w:val="16"/>
                <w:szCs w:val="16"/>
              </w:rPr>
              <w:t>(1)</w:t>
            </w:r>
          </w:p>
        </w:tc>
        <w:tc>
          <w:tcPr>
            <w:tcW w:w="34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167821" w14:textId="77777777" w:rsidR="001427C4" w:rsidRPr="00712CF9" w:rsidRDefault="001427C4" w:rsidP="00712CF9">
            <w:pPr>
              <w:widowControl w:val="0"/>
              <w:spacing w:before="60" w:after="60" w:line="220" w:lineRule="atLeast"/>
              <w:jc w:val="center"/>
              <w:rPr>
                <w:rFonts w:cs="Arial"/>
                <w:sz w:val="16"/>
                <w:szCs w:val="16"/>
              </w:rPr>
            </w:pPr>
            <w:r w:rsidRPr="00712CF9">
              <w:rPr>
                <w:sz w:val="16"/>
                <w:szCs w:val="16"/>
              </w:rPr>
              <w:t>(2)</w:t>
            </w:r>
          </w:p>
        </w:tc>
        <w:tc>
          <w:tcPr>
            <w:tcW w:w="1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0B38F7" w14:textId="77777777" w:rsidR="001427C4" w:rsidRPr="00712CF9" w:rsidRDefault="001427C4" w:rsidP="00712CF9">
            <w:pPr>
              <w:widowControl w:val="0"/>
              <w:spacing w:before="60" w:after="60" w:line="220" w:lineRule="atLeast"/>
              <w:jc w:val="center"/>
              <w:rPr>
                <w:rFonts w:cs="Arial"/>
                <w:sz w:val="16"/>
                <w:szCs w:val="16"/>
              </w:rPr>
            </w:pPr>
            <w:r w:rsidRPr="00712CF9">
              <w:rPr>
                <w:sz w:val="16"/>
                <w:szCs w:val="16"/>
              </w:rPr>
              <w:t>(3)</w:t>
            </w:r>
          </w:p>
        </w:tc>
        <w:tc>
          <w:tcPr>
            <w:tcW w:w="11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9557AA" w14:textId="77777777" w:rsidR="001427C4" w:rsidRPr="00712CF9" w:rsidRDefault="001427C4" w:rsidP="00712CF9">
            <w:pPr>
              <w:widowControl w:val="0"/>
              <w:spacing w:before="60" w:after="60" w:line="220" w:lineRule="atLeast"/>
              <w:jc w:val="center"/>
              <w:rPr>
                <w:rFonts w:cs="Arial"/>
                <w:sz w:val="16"/>
                <w:szCs w:val="16"/>
              </w:rPr>
            </w:pPr>
            <w:r w:rsidRPr="00712CF9">
              <w:rPr>
                <w:sz w:val="16"/>
                <w:szCs w:val="16"/>
              </w:rPr>
              <w:t>(4)</w:t>
            </w:r>
          </w:p>
        </w:tc>
        <w:tc>
          <w:tcPr>
            <w:tcW w:w="6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50D8DE" w14:textId="77777777" w:rsidR="001427C4" w:rsidRPr="00712CF9" w:rsidRDefault="001427C4" w:rsidP="00712CF9">
            <w:pPr>
              <w:widowControl w:val="0"/>
              <w:spacing w:before="60" w:after="60" w:line="220" w:lineRule="atLeast"/>
              <w:jc w:val="center"/>
              <w:rPr>
                <w:rFonts w:cs="Arial"/>
                <w:sz w:val="16"/>
                <w:szCs w:val="16"/>
              </w:rPr>
            </w:pPr>
            <w:r w:rsidRPr="00712CF9">
              <w:rPr>
                <w:sz w:val="16"/>
                <w:szCs w:val="16"/>
              </w:rPr>
              <w:t>(5)</w:t>
            </w:r>
          </w:p>
        </w:tc>
      </w:tr>
      <w:tr w:rsidR="00712CF9" w:rsidRPr="00712CF9" w14:paraId="1B93EAA1" w14:textId="77777777" w:rsidTr="00712CF9">
        <w:trPr>
          <w:cantSplit/>
        </w:trPr>
        <w:tc>
          <w:tcPr>
            <w:tcW w:w="21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E9E3B7" w14:textId="77777777" w:rsidR="001427C4" w:rsidRPr="00712CF9" w:rsidRDefault="001427C4" w:rsidP="00712CF9">
            <w:pPr>
              <w:widowControl w:val="0"/>
              <w:spacing w:before="60" w:after="60" w:line="220" w:lineRule="atLeast"/>
              <w:rPr>
                <w:rFonts w:cs="Arial"/>
                <w:sz w:val="18"/>
                <w:szCs w:val="18"/>
              </w:rPr>
            </w:pPr>
            <w:r w:rsidRPr="00712CF9">
              <w:rPr>
                <w:sz w:val="18"/>
                <w:szCs w:val="18"/>
              </w:rPr>
              <w:t>EN 13322-1:2024</w:t>
            </w:r>
          </w:p>
        </w:tc>
        <w:tc>
          <w:tcPr>
            <w:tcW w:w="34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D191DD" w14:textId="77777777" w:rsidR="001427C4" w:rsidRPr="00712CF9" w:rsidRDefault="001427C4" w:rsidP="00712CF9">
            <w:pPr>
              <w:widowControl w:val="0"/>
              <w:spacing w:before="60" w:after="60" w:line="220" w:lineRule="atLeast"/>
              <w:rPr>
                <w:rFonts w:cs="Arial"/>
                <w:i/>
                <w:sz w:val="18"/>
                <w:szCs w:val="18"/>
              </w:rPr>
            </w:pPr>
            <w:r w:rsidRPr="00712CF9">
              <w:rPr>
                <w:sz w:val="18"/>
                <w:szCs w:val="18"/>
              </w:rPr>
              <w:t>Переносные газовые баллоны — Сварные стальные газовые баллоны многоразового использования — Конструкция и изготовление — Часть 1: Сварная сталь</w:t>
            </w:r>
          </w:p>
        </w:tc>
        <w:tc>
          <w:tcPr>
            <w:tcW w:w="1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D58F79" w14:textId="77777777" w:rsidR="001427C4" w:rsidRPr="00712CF9" w:rsidRDefault="001427C4" w:rsidP="00712CF9">
            <w:pPr>
              <w:widowControl w:val="0"/>
              <w:spacing w:before="60" w:after="60" w:line="220" w:lineRule="atLeast"/>
              <w:rPr>
                <w:rFonts w:cs="Arial"/>
                <w:sz w:val="18"/>
                <w:szCs w:val="18"/>
              </w:rPr>
            </w:pPr>
            <w:r w:rsidRPr="00712CF9">
              <w:rPr>
                <w:sz w:val="18"/>
                <w:szCs w:val="18"/>
              </w:rPr>
              <w:t>6.2.3.1 и 6.2.3.4</w:t>
            </w:r>
          </w:p>
        </w:tc>
        <w:tc>
          <w:tcPr>
            <w:tcW w:w="11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EDD3AC" w14:textId="77777777" w:rsidR="001427C4" w:rsidRPr="00712CF9" w:rsidRDefault="001427C4" w:rsidP="00712CF9">
            <w:pPr>
              <w:widowControl w:val="0"/>
              <w:spacing w:before="60" w:after="60" w:line="220" w:lineRule="atLeast"/>
              <w:jc w:val="center"/>
              <w:rPr>
                <w:rFonts w:cs="Arial"/>
                <w:sz w:val="18"/>
                <w:szCs w:val="18"/>
              </w:rPr>
            </w:pPr>
            <w:r w:rsidRPr="00712CF9">
              <w:rPr>
                <w:sz w:val="18"/>
                <w:szCs w:val="18"/>
              </w:rPr>
              <w:t>До дальнейшего указания</w:t>
            </w:r>
          </w:p>
        </w:tc>
        <w:tc>
          <w:tcPr>
            <w:tcW w:w="6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DE4898" w14:textId="77777777" w:rsidR="001427C4" w:rsidRPr="00712CF9" w:rsidRDefault="001427C4" w:rsidP="00712CF9">
            <w:pPr>
              <w:widowControl w:val="0"/>
              <w:spacing w:before="60" w:after="60" w:line="220" w:lineRule="atLeast"/>
              <w:rPr>
                <w:rFonts w:cs="Arial"/>
                <w:sz w:val="18"/>
                <w:szCs w:val="18"/>
              </w:rPr>
            </w:pPr>
          </w:p>
        </w:tc>
      </w:tr>
    </w:tbl>
    <w:p w14:paraId="149CDC30" w14:textId="60872D18" w:rsidR="001427C4" w:rsidRPr="00FD5B12" w:rsidRDefault="001427C4" w:rsidP="001427C4">
      <w:pPr>
        <w:pStyle w:val="SingleTxtG"/>
        <w:spacing w:before="120"/>
        <w:ind w:left="2268"/>
      </w:pPr>
      <w:r w:rsidRPr="00FD5B12">
        <w:t xml:space="preserve">В таблице, под заголовком </w:t>
      </w:r>
      <w:r>
        <w:t>«</w:t>
      </w:r>
      <w:r w:rsidRPr="00FD5B12">
        <w:rPr>
          <w:b/>
          <w:bCs/>
          <w:i/>
          <w:iCs/>
        </w:rPr>
        <w:t>Для конструкции и изготовления затворов</w:t>
      </w:r>
      <w:r>
        <w:t>»</w:t>
      </w:r>
      <w:r w:rsidRPr="00FD5B12">
        <w:t>:</w:t>
      </w:r>
    </w:p>
    <w:p w14:paraId="60B7CBAB" w14:textId="48FA1F40" w:rsidR="001427C4" w:rsidRPr="00FD5B12" w:rsidRDefault="001427C4" w:rsidP="001427C4">
      <w:pPr>
        <w:pStyle w:val="Bullet1G"/>
        <w:numPr>
          <w:ilvl w:val="0"/>
          <w:numId w:val="22"/>
        </w:numPr>
        <w:suppressAutoHyphens w:val="0"/>
      </w:pPr>
      <w:r w:rsidRPr="00FD5B12">
        <w:t xml:space="preserve">для стандарта EN ISO 10297:2014 + A1:2017, в колонке 4, заменить </w:t>
      </w:r>
      <w:r>
        <w:t>«</w:t>
      </w:r>
      <w:r w:rsidRPr="00FD5B12">
        <w:t>До</w:t>
      </w:r>
      <w:r w:rsidR="00712CF9">
        <w:rPr>
          <w:lang w:val="en-US"/>
        </w:rPr>
        <w:t> </w:t>
      </w:r>
      <w:r w:rsidRPr="00FD5B12">
        <w:t>дальнейшего указания</w:t>
      </w:r>
      <w:r>
        <w:t>»</w:t>
      </w:r>
      <w:r w:rsidRPr="00FD5B12">
        <w:t xml:space="preserve"> на </w:t>
      </w:r>
      <w:r>
        <w:t>«</w:t>
      </w:r>
      <w:r w:rsidRPr="00FD5B12">
        <w:t>С 1 января 2019 до 31 декабря 2026</w:t>
      </w:r>
      <w:r w:rsidR="00712CF9">
        <w:rPr>
          <w:lang w:val="en-US"/>
        </w:rPr>
        <w:t> </w:t>
      </w:r>
      <w:r w:rsidRPr="00FD5B12">
        <w:t>года</w:t>
      </w:r>
      <w:r>
        <w:t>»</w:t>
      </w:r>
      <w:r w:rsidRPr="00FD5B12">
        <w:t>;</w:t>
      </w:r>
    </w:p>
    <w:p w14:paraId="060D3BBC" w14:textId="0901971A" w:rsidR="001427C4" w:rsidRPr="00FD5B12" w:rsidRDefault="001427C4" w:rsidP="001427C4">
      <w:pPr>
        <w:pStyle w:val="Bullet1G"/>
        <w:numPr>
          <w:ilvl w:val="0"/>
          <w:numId w:val="22"/>
        </w:numPr>
        <w:suppressAutoHyphens w:val="0"/>
      </w:pPr>
      <w:r w:rsidRPr="00FD5B12">
        <w:t xml:space="preserve">после строки для стандарта </w:t>
      </w:r>
      <w:r>
        <w:t>«</w:t>
      </w:r>
      <w:r w:rsidRPr="00FD5B12">
        <w:t>EN ISO 10297:2014+A1:2017</w:t>
      </w:r>
      <w:r>
        <w:t>»</w:t>
      </w:r>
      <w:r w:rsidRPr="00FD5B12">
        <w:t xml:space="preserve"> добавить следующую новую строку: </w:t>
      </w:r>
    </w:p>
    <w:tbl>
      <w:tblPr>
        <w:tblW w:w="850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3521"/>
        <w:gridCol w:w="1032"/>
        <w:gridCol w:w="1158"/>
        <w:gridCol w:w="628"/>
      </w:tblGrid>
      <w:tr w:rsidR="00712CF9" w:rsidRPr="00712CF9" w14:paraId="6B333DFC" w14:textId="77777777" w:rsidTr="00712CF9">
        <w:tc>
          <w:tcPr>
            <w:tcW w:w="21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B96241" w14:textId="77777777" w:rsidR="001427C4" w:rsidRPr="00712CF9" w:rsidRDefault="001427C4" w:rsidP="00712CF9">
            <w:pPr>
              <w:widowControl w:val="0"/>
              <w:spacing w:before="60" w:after="60" w:line="220" w:lineRule="atLeast"/>
              <w:jc w:val="center"/>
              <w:rPr>
                <w:rFonts w:cs="Arial"/>
                <w:sz w:val="16"/>
                <w:szCs w:val="16"/>
              </w:rPr>
            </w:pPr>
            <w:r w:rsidRPr="00712CF9">
              <w:rPr>
                <w:sz w:val="16"/>
                <w:szCs w:val="16"/>
              </w:rPr>
              <w:t>(1)</w:t>
            </w:r>
          </w:p>
        </w:tc>
        <w:tc>
          <w:tcPr>
            <w:tcW w:w="3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FB31FB" w14:textId="77777777" w:rsidR="001427C4" w:rsidRPr="00712CF9" w:rsidRDefault="001427C4" w:rsidP="00712CF9">
            <w:pPr>
              <w:widowControl w:val="0"/>
              <w:spacing w:before="60" w:after="60" w:line="220" w:lineRule="atLeast"/>
              <w:jc w:val="center"/>
              <w:rPr>
                <w:rFonts w:cs="Arial"/>
                <w:sz w:val="16"/>
                <w:szCs w:val="16"/>
              </w:rPr>
            </w:pPr>
            <w:r w:rsidRPr="00712CF9">
              <w:rPr>
                <w:sz w:val="16"/>
                <w:szCs w:val="16"/>
              </w:rPr>
              <w:t>(2)</w:t>
            </w:r>
          </w:p>
        </w:tc>
        <w:tc>
          <w:tcPr>
            <w:tcW w:w="1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B91FE8" w14:textId="77777777" w:rsidR="001427C4" w:rsidRPr="00712CF9" w:rsidRDefault="001427C4" w:rsidP="00712CF9">
            <w:pPr>
              <w:widowControl w:val="0"/>
              <w:spacing w:before="60" w:after="60" w:line="220" w:lineRule="atLeast"/>
              <w:jc w:val="center"/>
              <w:rPr>
                <w:rFonts w:cs="Arial"/>
                <w:sz w:val="16"/>
                <w:szCs w:val="16"/>
              </w:rPr>
            </w:pPr>
            <w:r w:rsidRPr="00712CF9">
              <w:rPr>
                <w:sz w:val="16"/>
                <w:szCs w:val="16"/>
              </w:rPr>
              <w:t>(3)</w:t>
            </w:r>
          </w:p>
        </w:tc>
        <w:tc>
          <w:tcPr>
            <w:tcW w:w="11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209EA31" w14:textId="77777777" w:rsidR="001427C4" w:rsidRPr="00712CF9" w:rsidRDefault="001427C4" w:rsidP="00712CF9">
            <w:pPr>
              <w:widowControl w:val="0"/>
              <w:spacing w:before="60" w:after="60" w:line="220" w:lineRule="atLeast"/>
              <w:jc w:val="center"/>
              <w:rPr>
                <w:rFonts w:cs="Arial"/>
                <w:sz w:val="16"/>
                <w:szCs w:val="16"/>
              </w:rPr>
            </w:pPr>
            <w:r w:rsidRPr="00712CF9">
              <w:rPr>
                <w:sz w:val="16"/>
                <w:szCs w:val="16"/>
              </w:rPr>
              <w:t>(4)</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6A0449" w14:textId="77777777" w:rsidR="001427C4" w:rsidRPr="00712CF9" w:rsidRDefault="001427C4" w:rsidP="00712CF9">
            <w:pPr>
              <w:widowControl w:val="0"/>
              <w:spacing w:before="60" w:after="60" w:line="220" w:lineRule="atLeast"/>
              <w:jc w:val="center"/>
              <w:rPr>
                <w:rFonts w:cs="Arial"/>
                <w:sz w:val="16"/>
                <w:szCs w:val="16"/>
              </w:rPr>
            </w:pPr>
            <w:r w:rsidRPr="00712CF9">
              <w:rPr>
                <w:sz w:val="16"/>
                <w:szCs w:val="16"/>
              </w:rPr>
              <w:t>(5)</w:t>
            </w:r>
          </w:p>
        </w:tc>
      </w:tr>
      <w:tr w:rsidR="00712CF9" w:rsidRPr="00712CF9" w14:paraId="67855ABC" w14:textId="77777777" w:rsidTr="00712CF9">
        <w:tc>
          <w:tcPr>
            <w:tcW w:w="21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DDD8BF" w14:textId="77777777" w:rsidR="001427C4" w:rsidRPr="00712CF9" w:rsidRDefault="001427C4" w:rsidP="00712CF9">
            <w:pPr>
              <w:widowControl w:val="0"/>
              <w:spacing w:before="60" w:after="60" w:line="220" w:lineRule="atLeast"/>
              <w:rPr>
                <w:rFonts w:cs="Arial"/>
                <w:sz w:val="18"/>
                <w:szCs w:val="18"/>
              </w:rPr>
            </w:pPr>
            <w:r w:rsidRPr="00712CF9">
              <w:rPr>
                <w:sz w:val="18"/>
                <w:szCs w:val="18"/>
              </w:rPr>
              <w:t>EN ISO 10297:2024</w:t>
            </w:r>
          </w:p>
        </w:tc>
        <w:tc>
          <w:tcPr>
            <w:tcW w:w="3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D0D5F5" w14:textId="77777777" w:rsidR="001427C4" w:rsidRPr="00712CF9" w:rsidRDefault="001427C4" w:rsidP="00712CF9">
            <w:pPr>
              <w:widowControl w:val="0"/>
              <w:spacing w:before="60" w:after="60" w:line="220" w:lineRule="atLeast"/>
              <w:rPr>
                <w:rFonts w:cs="Arial"/>
                <w:i/>
                <w:sz w:val="18"/>
                <w:szCs w:val="18"/>
              </w:rPr>
            </w:pPr>
            <w:r w:rsidRPr="00712CF9">
              <w:rPr>
                <w:sz w:val="18"/>
                <w:szCs w:val="18"/>
              </w:rPr>
              <w:t>Газовые баллоны — Вентили баллонов — Технические требования и испытания по типу конструкции</w:t>
            </w:r>
          </w:p>
        </w:tc>
        <w:tc>
          <w:tcPr>
            <w:tcW w:w="1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ACBED1" w14:textId="77777777" w:rsidR="001427C4" w:rsidRPr="00712CF9" w:rsidRDefault="001427C4" w:rsidP="00712CF9">
            <w:pPr>
              <w:widowControl w:val="0"/>
              <w:spacing w:before="60" w:after="60" w:line="220" w:lineRule="atLeast"/>
              <w:rPr>
                <w:rFonts w:cs="Arial"/>
                <w:sz w:val="18"/>
                <w:szCs w:val="18"/>
              </w:rPr>
            </w:pPr>
            <w:r w:rsidRPr="00712CF9">
              <w:rPr>
                <w:sz w:val="18"/>
                <w:szCs w:val="18"/>
              </w:rPr>
              <w:t xml:space="preserve">6.2.3.1 и 6.2.3.3 </w:t>
            </w:r>
          </w:p>
        </w:tc>
        <w:tc>
          <w:tcPr>
            <w:tcW w:w="11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213536" w14:textId="77777777" w:rsidR="001427C4" w:rsidRPr="00712CF9" w:rsidRDefault="001427C4" w:rsidP="00712CF9">
            <w:pPr>
              <w:widowControl w:val="0"/>
              <w:spacing w:before="60" w:after="60" w:line="220" w:lineRule="atLeast"/>
              <w:jc w:val="center"/>
              <w:rPr>
                <w:rFonts w:cs="Arial"/>
                <w:sz w:val="18"/>
                <w:szCs w:val="18"/>
              </w:rPr>
            </w:pPr>
            <w:r w:rsidRPr="00712CF9">
              <w:rPr>
                <w:sz w:val="18"/>
                <w:szCs w:val="18"/>
              </w:rPr>
              <w:t>До дальнейшего указания</w:t>
            </w:r>
          </w:p>
        </w:tc>
        <w:tc>
          <w:tcPr>
            <w:tcW w:w="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0337EE" w14:textId="77777777" w:rsidR="001427C4" w:rsidRPr="00712CF9" w:rsidRDefault="001427C4" w:rsidP="00712CF9">
            <w:pPr>
              <w:widowControl w:val="0"/>
              <w:spacing w:before="60" w:after="60" w:line="220" w:lineRule="atLeast"/>
              <w:rPr>
                <w:rFonts w:cs="Arial"/>
                <w:sz w:val="18"/>
                <w:szCs w:val="18"/>
              </w:rPr>
            </w:pPr>
          </w:p>
        </w:tc>
      </w:tr>
    </w:tbl>
    <w:p w14:paraId="01F6BDC2" w14:textId="2030A4EB" w:rsidR="001427C4" w:rsidRPr="00FD5B12" w:rsidRDefault="001427C4" w:rsidP="001427C4">
      <w:pPr>
        <w:pStyle w:val="H1G"/>
      </w:pPr>
      <w:r>
        <w:tab/>
      </w:r>
      <w:r w:rsidR="00712CF9">
        <w:tab/>
      </w:r>
      <w:r w:rsidRPr="00FD5B12">
        <w:rPr>
          <w:bCs/>
        </w:rPr>
        <w:t>Глава 6.8</w:t>
      </w:r>
    </w:p>
    <w:p w14:paraId="71DA7EAF" w14:textId="7C362700" w:rsidR="001427C4" w:rsidRPr="00FD5B12" w:rsidRDefault="001427C4" w:rsidP="00712CF9">
      <w:pPr>
        <w:pStyle w:val="SingleTxtG"/>
        <w:tabs>
          <w:tab w:val="clear" w:pos="1701"/>
        </w:tabs>
        <w:ind w:left="2268" w:right="1133" w:hanging="1134"/>
        <w:rPr>
          <w:bCs/>
        </w:rPr>
      </w:pPr>
      <w:r w:rsidRPr="00FD5B12">
        <w:t>6.8.2.3.2</w:t>
      </w:r>
      <w:r w:rsidRPr="00FD5B12">
        <w:tab/>
        <w:t>В примечании после слов</w:t>
      </w:r>
      <w:r w:rsidR="0040379B">
        <w:t xml:space="preserve"> </w:t>
      </w:r>
      <w:r>
        <w:t>«</w:t>
      </w:r>
      <w:r w:rsidRPr="00FD5B12">
        <w:t>приложение B к стандарту EN 12972:2018</w:t>
      </w:r>
      <w:r>
        <w:t>»</w:t>
      </w:r>
      <w:r w:rsidRPr="00FD5B12">
        <w:t xml:space="preserve"> добавить </w:t>
      </w:r>
      <w:r>
        <w:t>«</w:t>
      </w:r>
      <w:r w:rsidRPr="00FD5B12">
        <w:t>+ A1:2024</w:t>
      </w:r>
      <w:r>
        <w:t>»</w:t>
      </w:r>
      <w:r w:rsidRPr="00FD5B12">
        <w:t>.</w:t>
      </w:r>
    </w:p>
    <w:p w14:paraId="663AFD28" w14:textId="1130062C" w:rsidR="001427C4" w:rsidRPr="00FD5B12" w:rsidRDefault="001427C4" w:rsidP="00712CF9">
      <w:pPr>
        <w:pStyle w:val="SingleTxtG"/>
        <w:tabs>
          <w:tab w:val="clear" w:pos="1701"/>
        </w:tabs>
        <w:ind w:left="2268" w:right="1133" w:hanging="1134"/>
        <w:rPr>
          <w:bCs/>
        </w:rPr>
      </w:pPr>
      <w:r w:rsidRPr="00FD5B12">
        <w:t>6.8.2.6.1</w:t>
      </w:r>
      <w:r w:rsidRPr="00FD5B12">
        <w:tab/>
        <w:t xml:space="preserve">В таблице, раздел под заголовком </w:t>
      </w:r>
      <w:r>
        <w:t>«</w:t>
      </w:r>
      <w:r w:rsidRPr="00FD5B12">
        <w:rPr>
          <w:b/>
          <w:bCs/>
          <w:i/>
          <w:iCs/>
        </w:rPr>
        <w:t>Для оборудования</w:t>
      </w:r>
      <w:r>
        <w:t>»</w:t>
      </w:r>
      <w:r w:rsidRPr="00FD5B12">
        <w:t xml:space="preserve">, для стандартов EN 14432:2014 и EN 14433:2014 в колонке 3, заменить </w:t>
      </w:r>
      <w:r>
        <w:t>«</w:t>
      </w:r>
      <w:r w:rsidRPr="00FD5B12">
        <w:t>6.8.2.3.2</w:t>
      </w:r>
      <w:r>
        <w:t>»</w:t>
      </w:r>
      <w:r w:rsidRPr="00FD5B12">
        <w:t xml:space="preserve"> на </w:t>
      </w:r>
      <w:r>
        <w:t>«</w:t>
      </w:r>
      <w:r w:rsidRPr="00FD5B12">
        <w:t>6.8.2.3.1</w:t>
      </w:r>
      <w:r w:rsidR="00712CF9">
        <w:t>»</w:t>
      </w:r>
      <w:r w:rsidRPr="00FD5B12">
        <w:t>.</w:t>
      </w:r>
    </w:p>
    <w:p w14:paraId="000EC293" w14:textId="77777777" w:rsidR="001427C4" w:rsidRPr="00FD5B12" w:rsidRDefault="001427C4" w:rsidP="00712CF9">
      <w:pPr>
        <w:pStyle w:val="SingleTxtG"/>
        <w:tabs>
          <w:tab w:val="clear" w:pos="1701"/>
        </w:tabs>
        <w:ind w:right="1133"/>
        <w:rPr>
          <w:rFonts w:cs="Arial"/>
          <w:bCs/>
          <w:szCs w:val="22"/>
        </w:rPr>
      </w:pPr>
      <w:r w:rsidRPr="00FD5B12">
        <w:t>6.8.2.6.2</w:t>
      </w:r>
      <w:r w:rsidRPr="00FD5B12">
        <w:tab/>
        <w:t>Изменить таблицу следующим образом:</w:t>
      </w:r>
    </w:p>
    <w:p w14:paraId="514B291D" w14:textId="7CBE6656" w:rsidR="001427C4" w:rsidRPr="00FD5B12" w:rsidRDefault="001427C4" w:rsidP="00712CF9">
      <w:pPr>
        <w:pStyle w:val="Bullet1G"/>
        <w:numPr>
          <w:ilvl w:val="0"/>
          <w:numId w:val="22"/>
        </w:numPr>
        <w:suppressAutoHyphens w:val="0"/>
      </w:pPr>
      <w:r w:rsidRPr="00FD5B12">
        <w:t xml:space="preserve">для стандарта EN 12972:2018 в колонке 4 заменить </w:t>
      </w:r>
      <w:r>
        <w:t>«</w:t>
      </w:r>
      <w:r w:rsidRPr="00FD5B12">
        <w:t>До дальнейшего указания</w:t>
      </w:r>
      <w:r>
        <w:t>»</w:t>
      </w:r>
      <w:r w:rsidRPr="00FD5B12">
        <w:t xml:space="preserve"> на </w:t>
      </w:r>
      <w:r>
        <w:t>«</w:t>
      </w:r>
      <w:r w:rsidRPr="00FD5B12">
        <w:t>До 31 декабря 2026 года</w:t>
      </w:r>
      <w:r>
        <w:t>»</w:t>
      </w:r>
      <w:r w:rsidRPr="00FD5B12">
        <w:t>;</w:t>
      </w:r>
    </w:p>
    <w:p w14:paraId="4B7521B7" w14:textId="3BE0DAAF" w:rsidR="001427C4" w:rsidRPr="00FD5B12" w:rsidRDefault="001427C4" w:rsidP="00712CF9">
      <w:pPr>
        <w:pStyle w:val="Bullet1G"/>
        <w:numPr>
          <w:ilvl w:val="0"/>
          <w:numId w:val="22"/>
        </w:numPr>
        <w:suppressAutoHyphens w:val="0"/>
      </w:pPr>
      <w:r w:rsidRPr="00FD5B12">
        <w:t xml:space="preserve">после строки для стандарта </w:t>
      </w:r>
      <w:r>
        <w:t>«</w:t>
      </w:r>
      <w:r w:rsidRPr="00FD5B12">
        <w:t>EN 12972:2018</w:t>
      </w:r>
      <w:r>
        <w:t>»</w:t>
      </w:r>
      <w:r w:rsidRPr="00FD5B12">
        <w:t xml:space="preserve"> добавить следующую новую строку: </w:t>
      </w:r>
    </w:p>
    <w:tbl>
      <w:tblPr>
        <w:tblW w:w="850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3759"/>
        <w:gridCol w:w="1476"/>
        <w:gridCol w:w="1118"/>
      </w:tblGrid>
      <w:tr w:rsidR="001427C4" w:rsidRPr="00712CF9" w14:paraId="36A64720" w14:textId="77777777" w:rsidTr="00712CF9">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9B4B56" w14:textId="77777777" w:rsidR="001427C4" w:rsidRPr="00712CF9" w:rsidRDefault="001427C4" w:rsidP="00712CF9">
            <w:pPr>
              <w:keepNext/>
              <w:widowControl w:val="0"/>
              <w:spacing w:before="60" w:after="60" w:line="220" w:lineRule="atLeast"/>
              <w:jc w:val="center"/>
              <w:rPr>
                <w:rFonts w:cs="Arial"/>
                <w:sz w:val="16"/>
                <w:szCs w:val="16"/>
              </w:rPr>
            </w:pPr>
            <w:r w:rsidRPr="00712CF9">
              <w:rPr>
                <w:sz w:val="16"/>
                <w:szCs w:val="16"/>
              </w:rPr>
              <w:t>(1)</w:t>
            </w:r>
          </w:p>
        </w:tc>
        <w:tc>
          <w:tcPr>
            <w:tcW w:w="37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A6049F" w14:textId="77777777" w:rsidR="001427C4" w:rsidRPr="00712CF9" w:rsidRDefault="001427C4" w:rsidP="00712CF9">
            <w:pPr>
              <w:keepNext/>
              <w:widowControl w:val="0"/>
              <w:spacing w:before="60" w:after="60" w:line="220" w:lineRule="atLeast"/>
              <w:jc w:val="center"/>
              <w:rPr>
                <w:rFonts w:cs="Arial"/>
                <w:sz w:val="16"/>
                <w:szCs w:val="16"/>
              </w:rPr>
            </w:pPr>
            <w:r w:rsidRPr="00712CF9">
              <w:rPr>
                <w:sz w:val="16"/>
                <w:szCs w:val="16"/>
              </w:rPr>
              <w:t>(2)</w:t>
            </w:r>
          </w:p>
        </w:tc>
        <w:tc>
          <w:tcPr>
            <w:tcW w:w="14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0C348F" w14:textId="77777777" w:rsidR="001427C4" w:rsidRPr="00712CF9" w:rsidRDefault="001427C4" w:rsidP="00712CF9">
            <w:pPr>
              <w:keepNext/>
              <w:widowControl w:val="0"/>
              <w:spacing w:before="60" w:after="60" w:line="220" w:lineRule="atLeast"/>
              <w:jc w:val="center"/>
              <w:rPr>
                <w:rFonts w:cs="Arial"/>
                <w:sz w:val="16"/>
                <w:szCs w:val="16"/>
              </w:rPr>
            </w:pPr>
            <w:r w:rsidRPr="00712CF9">
              <w:rPr>
                <w:sz w:val="16"/>
                <w:szCs w:val="16"/>
              </w:rPr>
              <w:t>(3)</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4921E5" w14:textId="77777777" w:rsidR="001427C4" w:rsidRPr="00712CF9" w:rsidRDefault="001427C4" w:rsidP="00712CF9">
            <w:pPr>
              <w:keepNext/>
              <w:widowControl w:val="0"/>
              <w:spacing w:before="60" w:after="60" w:line="220" w:lineRule="atLeast"/>
              <w:jc w:val="center"/>
              <w:rPr>
                <w:rFonts w:cs="Arial"/>
                <w:sz w:val="16"/>
                <w:szCs w:val="16"/>
              </w:rPr>
            </w:pPr>
            <w:r w:rsidRPr="00712CF9">
              <w:rPr>
                <w:sz w:val="16"/>
                <w:szCs w:val="16"/>
              </w:rPr>
              <w:t>(4)</w:t>
            </w:r>
          </w:p>
        </w:tc>
      </w:tr>
      <w:tr w:rsidR="001427C4" w:rsidRPr="00712CF9" w14:paraId="15CB5ABD" w14:textId="77777777" w:rsidTr="00712CF9">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0376E9" w14:textId="77777777" w:rsidR="001427C4" w:rsidRPr="00712CF9" w:rsidRDefault="001427C4" w:rsidP="00712CF9">
            <w:pPr>
              <w:widowControl w:val="0"/>
              <w:spacing w:before="60" w:after="60" w:line="220" w:lineRule="atLeast"/>
              <w:rPr>
                <w:rFonts w:cs="Arial"/>
                <w:bCs/>
                <w:sz w:val="18"/>
                <w:szCs w:val="18"/>
              </w:rPr>
            </w:pPr>
            <w:r w:rsidRPr="00712CF9">
              <w:rPr>
                <w:sz w:val="18"/>
                <w:szCs w:val="18"/>
              </w:rPr>
              <w:t>EN 12972:2018 + A1:2024</w:t>
            </w:r>
          </w:p>
        </w:tc>
        <w:tc>
          <w:tcPr>
            <w:tcW w:w="37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F58BC8" w14:textId="756DF70A" w:rsidR="001427C4" w:rsidRPr="00712CF9" w:rsidRDefault="001427C4" w:rsidP="00712CF9">
            <w:pPr>
              <w:widowControl w:val="0"/>
              <w:spacing w:before="60" w:after="60" w:line="220" w:lineRule="atLeast"/>
              <w:rPr>
                <w:rFonts w:cs="Arial"/>
                <w:bCs/>
                <w:i/>
                <w:sz w:val="18"/>
                <w:szCs w:val="18"/>
              </w:rPr>
            </w:pPr>
            <w:r w:rsidRPr="00712CF9">
              <w:rPr>
                <w:sz w:val="18"/>
                <w:szCs w:val="18"/>
              </w:rPr>
              <w:t xml:space="preserve">Цистерны для перевозки опасных грузов </w:t>
            </w:r>
            <w:r w:rsidR="00712CF9">
              <w:rPr>
                <w:sz w:val="18"/>
                <w:szCs w:val="18"/>
                <w:lang w:val="en-US"/>
              </w:rPr>
              <w:t>—</w:t>
            </w:r>
            <w:r w:rsidRPr="00712CF9">
              <w:rPr>
                <w:sz w:val="18"/>
                <w:szCs w:val="18"/>
              </w:rPr>
              <w:t xml:space="preserve"> Испытания, проверка и маркировка металлических цистерн</w:t>
            </w:r>
          </w:p>
        </w:tc>
        <w:tc>
          <w:tcPr>
            <w:tcW w:w="14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0047E7" w14:textId="77777777" w:rsidR="001427C4" w:rsidRPr="00712CF9" w:rsidRDefault="001427C4" w:rsidP="00712CF9">
            <w:pPr>
              <w:widowControl w:val="0"/>
              <w:spacing w:before="60" w:after="60" w:line="220" w:lineRule="atLeast"/>
              <w:rPr>
                <w:rFonts w:cs="Arial"/>
                <w:bCs/>
                <w:sz w:val="18"/>
                <w:szCs w:val="18"/>
              </w:rPr>
            </w:pPr>
            <w:r w:rsidRPr="00712CF9">
              <w:rPr>
                <w:sz w:val="18"/>
                <w:szCs w:val="18"/>
              </w:rPr>
              <w:t>6.8.2.1.23, 6.8.2.3, 6.8.2.4 и 6.8.3.4</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D3575D" w14:textId="77777777" w:rsidR="001427C4" w:rsidRPr="00712CF9" w:rsidRDefault="001427C4" w:rsidP="00712CF9">
            <w:pPr>
              <w:widowControl w:val="0"/>
              <w:spacing w:before="60" w:after="60" w:line="220" w:lineRule="atLeast"/>
              <w:jc w:val="center"/>
              <w:rPr>
                <w:rFonts w:cs="Arial"/>
                <w:bCs/>
                <w:sz w:val="18"/>
                <w:szCs w:val="18"/>
              </w:rPr>
            </w:pPr>
            <w:r w:rsidRPr="00712CF9">
              <w:rPr>
                <w:sz w:val="18"/>
                <w:szCs w:val="18"/>
              </w:rPr>
              <w:t>До дальнейшего указания</w:t>
            </w:r>
          </w:p>
        </w:tc>
      </w:tr>
    </w:tbl>
    <w:p w14:paraId="3564B0DE" w14:textId="1847899B" w:rsidR="001427C4" w:rsidRPr="00FD5B12" w:rsidRDefault="001427C4" w:rsidP="00526DF7">
      <w:pPr>
        <w:pStyle w:val="SingleTxtG"/>
        <w:tabs>
          <w:tab w:val="clear" w:pos="1701"/>
        </w:tabs>
        <w:spacing w:before="120"/>
        <w:ind w:left="2268" w:hanging="1134"/>
      </w:pPr>
      <w:r w:rsidRPr="00FD5B12">
        <w:t>6.8.3.2.9.4</w:t>
      </w:r>
      <w:r w:rsidRPr="00FD5B12">
        <w:tab/>
        <w:t xml:space="preserve">Изложить первое предложение в следующей редакции: </w:t>
      </w:r>
      <w:r>
        <w:t>«</w:t>
      </w:r>
      <w:r w:rsidRPr="00FD5B12">
        <w:t>Каждое входное отверстие предохранительных клапанов должно располагаться в верхней части корпуса, как можно ближе к верхней образующей</w:t>
      </w:r>
      <w:r>
        <w:t>»</w:t>
      </w:r>
      <w:r w:rsidRPr="00FD5B12">
        <w:t xml:space="preserve">. </w:t>
      </w:r>
    </w:p>
    <w:p w14:paraId="72E214EE" w14:textId="48093649" w:rsidR="001427C4" w:rsidRPr="00FD5B12" w:rsidRDefault="001427C4" w:rsidP="00526DF7">
      <w:pPr>
        <w:pStyle w:val="SingleTxtG"/>
        <w:tabs>
          <w:tab w:val="clear" w:pos="1701"/>
        </w:tabs>
        <w:ind w:left="2268" w:hanging="1134"/>
        <w:rPr>
          <w:rFonts w:eastAsia="Noto Serif CJK SC"/>
        </w:rPr>
      </w:pPr>
      <w:r w:rsidRPr="00FD5B12">
        <w:lastRenderedPageBreak/>
        <w:t xml:space="preserve">6.8.4 </w:t>
      </w:r>
      <w:r>
        <w:tab/>
      </w:r>
      <w:r w:rsidRPr="00FD5B12">
        <w:t>В подпункте d) специального положения TT8 изменить последний абзац следующим образом:</w:t>
      </w:r>
    </w:p>
    <w:p w14:paraId="6649D7F5" w14:textId="5CE55C5A" w:rsidR="001427C4" w:rsidRPr="00FD5B12" w:rsidRDefault="001427C4" w:rsidP="001427C4">
      <w:pPr>
        <w:pStyle w:val="SingleTxtG"/>
        <w:rPr>
          <w:rFonts w:eastAsia="Noto Serif CJK SC"/>
        </w:rPr>
      </w:pPr>
      <w:r>
        <w:t>«</w:t>
      </w:r>
      <w:r w:rsidRPr="00FD5B12">
        <w:t xml:space="preserve">Такие проверки методом </w:t>
      </w:r>
      <w:proofErr w:type="spellStart"/>
      <w:r w:rsidRPr="00FD5B12">
        <w:t>магнитоскопии</w:t>
      </w:r>
      <w:proofErr w:type="spellEnd"/>
      <w:r w:rsidRPr="00FD5B12">
        <w:t xml:space="preserve"> должны проводиться в соответствии со</w:t>
      </w:r>
      <w:r w:rsidR="00526DF7">
        <w:rPr>
          <w:lang w:val="en-US"/>
        </w:rPr>
        <w:t xml:space="preserve"> </w:t>
      </w:r>
      <w:r w:rsidRPr="00FD5B12">
        <w:t>стандартом EN 12972:2018 + A1:2024</w:t>
      </w:r>
      <w:r w:rsidR="00526DF7">
        <w:t>»</w:t>
      </w:r>
      <w:r w:rsidRPr="00FD5B12">
        <w:t xml:space="preserve">. </w:t>
      </w:r>
    </w:p>
    <w:p w14:paraId="39EEC89E" w14:textId="74123E9B" w:rsidR="001427C4" w:rsidRPr="00FD5B12" w:rsidRDefault="001427C4" w:rsidP="001427C4">
      <w:pPr>
        <w:pStyle w:val="SingleTxtG"/>
        <w:ind w:left="2268"/>
        <w:rPr>
          <w:rFonts w:eastAsia="Noto Serif CJK SC"/>
        </w:rPr>
      </w:pPr>
      <w:r w:rsidRPr="00FD5B12">
        <w:t xml:space="preserve">В подпункте d) специального положения TT11, второй отступ, в ссылке на стандарт EN ISO 17638:2016, </w:t>
      </w:r>
      <w:r>
        <w:t>заменить</w:t>
      </w:r>
      <w:r w:rsidRPr="00FD5B12">
        <w:t xml:space="preserve"> </w:t>
      </w:r>
      <w:r>
        <w:t>«</w:t>
      </w:r>
      <w:r w:rsidRPr="00FD5B12">
        <w:t>с уровнями допуска по дефектам</w:t>
      </w:r>
      <w:r>
        <w:t>»</w:t>
      </w:r>
      <w:r w:rsidRPr="00FD5B12">
        <w:t xml:space="preserve"> </w:t>
      </w:r>
      <w:r>
        <w:t>на</w:t>
      </w:r>
      <w:r w:rsidR="0040379B">
        <w:t xml:space="preserve"> </w:t>
      </w:r>
      <w:r>
        <w:t>«</w:t>
      </w:r>
      <w:r w:rsidRPr="009C4D02">
        <w:t xml:space="preserve">с приемкой </w:t>
      </w:r>
      <w:r>
        <w:t xml:space="preserve">согласно </w:t>
      </w:r>
      <w:r w:rsidRPr="009C4D02">
        <w:t>уровн</w:t>
      </w:r>
      <w:r>
        <w:t>ю</w:t>
      </w:r>
      <w:r w:rsidRPr="009C4D02">
        <w:t xml:space="preserve"> 2Х</w:t>
      </w:r>
      <w:r>
        <w:t>»</w:t>
      </w:r>
      <w:r w:rsidRPr="00FD5B12">
        <w:t>.</w:t>
      </w:r>
    </w:p>
    <w:p w14:paraId="18931D7B" w14:textId="77777777" w:rsidR="001427C4" w:rsidRPr="00FD5B12" w:rsidRDefault="001427C4" w:rsidP="001427C4">
      <w:pPr>
        <w:pStyle w:val="SingleTxtG"/>
        <w:ind w:left="2268"/>
        <w:rPr>
          <w:rFonts w:eastAsia="Noto Serif CJK SC"/>
        </w:rPr>
      </w:pPr>
      <w:r w:rsidRPr="00FD5B12">
        <w:t xml:space="preserve">В подпункте d) специального положения TT11 изменить </w:t>
      </w:r>
      <w:r>
        <w:t>абзац</w:t>
      </w:r>
      <w:r w:rsidRPr="00FD5B12">
        <w:t xml:space="preserve"> после четвертого отступа, включая отступ этого </w:t>
      </w:r>
      <w:r>
        <w:t>абзаца</w:t>
      </w:r>
      <w:r w:rsidRPr="00FD5B12">
        <w:t>, следующим образом:</w:t>
      </w:r>
    </w:p>
    <w:p w14:paraId="5EDEC77B" w14:textId="55474156" w:rsidR="001427C4" w:rsidRPr="00FD5B12" w:rsidRDefault="001427C4" w:rsidP="001427C4">
      <w:pPr>
        <w:pStyle w:val="SingleTxtG"/>
      </w:pPr>
      <w:r>
        <w:t>«</w:t>
      </w:r>
      <w:r w:rsidRPr="00FD5B12">
        <w:t>Неразрушающий контроль должен осуществляться персоналом в соответствии со стандартами EN 12972:2018 + A1:2024 или EN 14334:2014</w:t>
      </w:r>
      <w:r>
        <w:t>»</w:t>
      </w:r>
      <w:r w:rsidRPr="00FD5B12">
        <w:t xml:space="preserve">. </w:t>
      </w:r>
    </w:p>
    <w:p w14:paraId="2397A4AF" w14:textId="6614D5A4" w:rsidR="001427C4" w:rsidRPr="00FD5B12" w:rsidRDefault="001427C4" w:rsidP="001427C4">
      <w:pPr>
        <w:pStyle w:val="H1G"/>
      </w:pPr>
      <w:r>
        <w:tab/>
      </w:r>
      <w:r w:rsidR="00526DF7">
        <w:tab/>
      </w:r>
      <w:r w:rsidRPr="00FD5B12">
        <w:rPr>
          <w:bCs/>
        </w:rPr>
        <w:t>Глава 6.11</w:t>
      </w:r>
    </w:p>
    <w:p w14:paraId="0B958FBD" w14:textId="77777777" w:rsidR="001427C4" w:rsidRPr="00FD5B12" w:rsidRDefault="001427C4" w:rsidP="00526DF7">
      <w:pPr>
        <w:pStyle w:val="SingleTxtG"/>
        <w:tabs>
          <w:tab w:val="clear" w:pos="1701"/>
        </w:tabs>
        <w:ind w:left="2268" w:hanging="1134"/>
      </w:pPr>
      <w:r w:rsidRPr="00FD5B12">
        <w:t>6.11.4.1</w:t>
      </w:r>
      <w:r w:rsidRPr="00FD5B12">
        <w:tab/>
        <w:t xml:space="preserve">Поправка к тексту на </w:t>
      </w:r>
      <w:r w:rsidRPr="00526DF7">
        <w:t>французском</w:t>
      </w:r>
      <w:r w:rsidRPr="00FD5B12">
        <w:t xml:space="preserve"> языке не касается текста на русском языке.</w:t>
      </w:r>
    </w:p>
    <w:p w14:paraId="03B8080D" w14:textId="748CC9B2" w:rsidR="001427C4" w:rsidRPr="00FD5B12" w:rsidRDefault="00526DF7" w:rsidP="00526DF7">
      <w:pPr>
        <w:pStyle w:val="SingleTxtG"/>
        <w:tabs>
          <w:tab w:val="clear" w:pos="1701"/>
        </w:tabs>
        <w:ind w:left="2268" w:hanging="1134"/>
        <w:rPr>
          <w:bCs/>
        </w:rPr>
      </w:pPr>
      <w:r>
        <w:tab/>
      </w:r>
      <w:r w:rsidR="001427C4" w:rsidRPr="00FD5B12">
        <w:t xml:space="preserve">Сноску </w:t>
      </w:r>
      <w:r w:rsidR="001427C4" w:rsidRPr="00FD5B12">
        <w:rPr>
          <w:vertAlign w:val="superscript"/>
        </w:rPr>
        <w:t>2</w:t>
      </w:r>
      <w:r w:rsidR="001427C4" w:rsidRPr="00FD5B12">
        <w:t xml:space="preserve"> изменить следующим </w:t>
      </w:r>
      <w:r w:rsidR="001427C4" w:rsidRPr="00526DF7">
        <w:t>образом</w:t>
      </w:r>
      <w:r w:rsidR="001427C4" w:rsidRPr="00FD5B12">
        <w:t xml:space="preserve"> </w:t>
      </w:r>
      <w:r w:rsidR="001427C4">
        <w:t>«</w:t>
      </w:r>
      <w:r w:rsidR="001427C4" w:rsidRPr="00FD5B12">
        <w:t>Третье издание IRS (Международные решения для железнодорожного транспорта), применимое с 1 декабря 2023 года</w:t>
      </w:r>
      <w:r w:rsidR="001427C4">
        <w:t>»</w:t>
      </w:r>
      <w:r>
        <w:t>.</w:t>
      </w:r>
    </w:p>
    <w:p w14:paraId="46198BA7" w14:textId="4854D277" w:rsidR="001427C4" w:rsidRPr="00FD5B12" w:rsidRDefault="001427C4" w:rsidP="001427C4">
      <w:pPr>
        <w:pStyle w:val="H1G"/>
      </w:pPr>
      <w:r>
        <w:tab/>
      </w:r>
      <w:r w:rsidR="00526DF7">
        <w:tab/>
      </w:r>
      <w:r w:rsidRPr="00FD5B12">
        <w:rPr>
          <w:bCs/>
        </w:rPr>
        <w:t>Глава 7.1</w:t>
      </w:r>
    </w:p>
    <w:p w14:paraId="5D0F5098" w14:textId="58229D09" w:rsidR="001427C4" w:rsidRPr="00FD5B12" w:rsidRDefault="001427C4" w:rsidP="00526DF7">
      <w:pPr>
        <w:pStyle w:val="SingleTxtG"/>
        <w:tabs>
          <w:tab w:val="clear" w:pos="1701"/>
        </w:tabs>
        <w:ind w:left="2268" w:hanging="1134"/>
        <w:rPr>
          <w:bCs/>
        </w:rPr>
      </w:pPr>
      <w:r w:rsidRPr="00FD5B12">
        <w:t>7.1.3</w:t>
      </w:r>
      <w:r>
        <w:tab/>
      </w:r>
      <w:r w:rsidRPr="00FD5B12">
        <w:t xml:space="preserve">Сноску </w:t>
      </w:r>
      <w:r w:rsidRPr="00FD5B12">
        <w:rPr>
          <w:vertAlign w:val="superscript"/>
        </w:rPr>
        <w:t>2</w:t>
      </w:r>
      <w:r w:rsidRPr="00FD5B12">
        <w:t xml:space="preserve"> изменить следующим </w:t>
      </w:r>
      <w:r w:rsidRPr="00526DF7">
        <w:t>образом</w:t>
      </w:r>
      <w:r w:rsidRPr="00FD5B12">
        <w:t xml:space="preserve"> </w:t>
      </w:r>
      <w:r>
        <w:t>«</w:t>
      </w:r>
      <w:r w:rsidRPr="00FD5B12">
        <w:t>Третье издание IRS (Международные решения для железнодорожного транспорта), применимое с 1 декабря 2023 года</w:t>
      </w:r>
      <w:r>
        <w:t>»</w:t>
      </w:r>
      <w:r w:rsidR="00526DF7">
        <w:t>.</w:t>
      </w:r>
    </w:p>
    <w:p w14:paraId="2F93C9A3" w14:textId="791AE98E" w:rsidR="001427C4" w:rsidRPr="00FD5B12" w:rsidRDefault="001427C4" w:rsidP="001427C4">
      <w:pPr>
        <w:pStyle w:val="H1G"/>
      </w:pPr>
      <w:r>
        <w:tab/>
      </w:r>
      <w:r w:rsidR="00526DF7">
        <w:tab/>
      </w:r>
      <w:r w:rsidRPr="00FD5B12">
        <w:rPr>
          <w:bCs/>
        </w:rPr>
        <w:t>Глава 7.3</w:t>
      </w:r>
    </w:p>
    <w:p w14:paraId="53AB33B4" w14:textId="3490CCD1" w:rsidR="001427C4" w:rsidRPr="00FD5B12" w:rsidRDefault="001427C4" w:rsidP="00526DF7">
      <w:pPr>
        <w:pStyle w:val="SingleTxtG"/>
        <w:tabs>
          <w:tab w:val="clear" w:pos="1701"/>
        </w:tabs>
        <w:ind w:left="2268" w:hanging="1134"/>
      </w:pPr>
      <w:r w:rsidRPr="00FD5B12">
        <w:t>7.3.3.2.6</w:t>
      </w:r>
      <w:r w:rsidRPr="00FD5B12">
        <w:tab/>
        <w:t>Изменения к дополнительному положению AP8</w:t>
      </w:r>
      <w:r w:rsidR="0040379B">
        <w:t xml:space="preserve"> </w:t>
      </w:r>
      <w:r w:rsidRPr="00FD5B12">
        <w:t>в тексте на французском языке не касаются текста на русском языке.</w:t>
      </w:r>
    </w:p>
    <w:p w14:paraId="69EB50C9" w14:textId="187EF3FC" w:rsidR="001427C4" w:rsidRPr="00FD5B12" w:rsidRDefault="001427C4" w:rsidP="001427C4">
      <w:pPr>
        <w:pStyle w:val="H1G"/>
      </w:pPr>
      <w:r>
        <w:tab/>
      </w:r>
      <w:r w:rsidR="00526DF7">
        <w:tab/>
      </w:r>
      <w:r w:rsidRPr="00FD5B12">
        <w:rPr>
          <w:bCs/>
        </w:rPr>
        <w:t>Глава 9.2</w:t>
      </w:r>
    </w:p>
    <w:p w14:paraId="03872B68" w14:textId="30A24DFC" w:rsidR="001427C4" w:rsidRPr="00FD5B12" w:rsidRDefault="001427C4" w:rsidP="001427C4">
      <w:pPr>
        <w:pStyle w:val="SingleTxtG"/>
        <w:tabs>
          <w:tab w:val="clear" w:pos="1701"/>
        </w:tabs>
        <w:ind w:left="2268" w:hanging="1134"/>
      </w:pPr>
      <w:r w:rsidRPr="00FD5B12">
        <w:t xml:space="preserve">9.2.1.1 </w:t>
      </w:r>
      <w:r w:rsidRPr="00FD5B12">
        <w:tab/>
        <w:t xml:space="preserve">Во втором отступе второго абзаца заменить </w:t>
      </w:r>
      <w:r>
        <w:t>«</w:t>
      </w:r>
      <w:r w:rsidRPr="00FD5B12">
        <w:t>9.2.5</w:t>
      </w:r>
      <w:r>
        <w:t>»</w:t>
      </w:r>
      <w:r w:rsidRPr="00FD5B12">
        <w:t xml:space="preserve"> на </w:t>
      </w:r>
      <w:r>
        <w:t>«</w:t>
      </w:r>
      <w:r w:rsidRPr="00FD5B12">
        <w:t>9.2.6</w:t>
      </w:r>
      <w:r>
        <w:t>»</w:t>
      </w:r>
      <w:r w:rsidRPr="00FD5B12">
        <w:t>.</w:t>
      </w:r>
    </w:p>
    <w:p w14:paraId="7398D5F9" w14:textId="77777777" w:rsidR="001427C4" w:rsidRPr="00FD5B12" w:rsidRDefault="001427C4" w:rsidP="001427C4">
      <w:pPr>
        <w:pStyle w:val="SingleTxtG"/>
        <w:tabs>
          <w:tab w:val="clear" w:pos="1701"/>
        </w:tabs>
        <w:ind w:left="2268" w:hanging="1134"/>
      </w:pPr>
      <w:r w:rsidRPr="00FD5B12">
        <w:tab/>
        <w:t>Внести изменения в следующие строки таблицы:</w:t>
      </w:r>
    </w:p>
    <w:p w14:paraId="49559D34" w14:textId="6400F96C" w:rsidR="001427C4" w:rsidRPr="00FD5B12" w:rsidRDefault="001427C4" w:rsidP="001427C4">
      <w:pPr>
        <w:pStyle w:val="Bullet1G"/>
        <w:numPr>
          <w:ilvl w:val="0"/>
          <w:numId w:val="22"/>
        </w:numPr>
        <w:suppressAutoHyphens w:val="0"/>
      </w:pPr>
      <w:r w:rsidRPr="00FD5B12">
        <w:t xml:space="preserve">9.2.4: Заменить </w:t>
      </w:r>
      <w:r>
        <w:t>«</w:t>
      </w:r>
      <w:r w:rsidRPr="00FD5B12">
        <w:t>ПРЕДОТВРАЩЕНИЕ ОПАСНОСТИ ВОЗНИКНОВЕНИЯ ПОЖАРА</w:t>
      </w:r>
      <w:r>
        <w:t>»</w:t>
      </w:r>
      <w:r w:rsidRPr="00FD5B12">
        <w:t xml:space="preserve"> на </w:t>
      </w:r>
      <w:r>
        <w:t>«</w:t>
      </w:r>
      <w:r w:rsidRPr="00FD5B12">
        <w:t>СИЛОВАЯ УСТАНОВКА ТРАНСПОРТНОГО СРЕДСТВА</w:t>
      </w:r>
      <w:r>
        <w:t>»</w:t>
      </w:r>
      <w:r w:rsidRPr="00FD5B12">
        <w:t>.</w:t>
      </w:r>
    </w:p>
    <w:p w14:paraId="747CB585" w14:textId="1A94B6C8" w:rsidR="001427C4" w:rsidRPr="00FD5B12" w:rsidRDefault="001427C4" w:rsidP="001427C4">
      <w:pPr>
        <w:pStyle w:val="Bullet1G"/>
        <w:numPr>
          <w:ilvl w:val="0"/>
          <w:numId w:val="22"/>
        </w:numPr>
        <w:suppressAutoHyphens w:val="0"/>
      </w:pPr>
      <w:r w:rsidRPr="00FD5B12">
        <w:t xml:space="preserve">9.2.4.3: изменить нумерацию на 9.2.4.2, в колонку </w:t>
      </w:r>
      <w:r>
        <w:t>«</w:t>
      </w:r>
      <w:r w:rsidRPr="00FD5B12">
        <w:t>AT</w:t>
      </w:r>
      <w:r>
        <w:t>»</w:t>
      </w:r>
      <w:r w:rsidRPr="00FD5B12">
        <w:t xml:space="preserve"> добавить </w:t>
      </w:r>
      <w:r>
        <w:t>«</w:t>
      </w:r>
      <w:proofErr w:type="spellStart"/>
      <w:r w:rsidRPr="00FD5B12">
        <w:t>X</w:t>
      </w:r>
      <w:r w:rsidRPr="00FD5B12">
        <w:rPr>
          <w:vertAlign w:val="superscript"/>
        </w:rPr>
        <w:t>h</w:t>
      </w:r>
      <w:proofErr w:type="spellEnd"/>
      <w:r>
        <w:t>»</w:t>
      </w:r>
      <w:r w:rsidRPr="00FD5B12">
        <w:t>, а</w:t>
      </w:r>
      <w:r w:rsidR="00526DF7">
        <w:t xml:space="preserve"> </w:t>
      </w:r>
      <w:r w:rsidRPr="00FD5B12">
        <w:t>в</w:t>
      </w:r>
      <w:r w:rsidR="00526DF7">
        <w:t xml:space="preserve"> </w:t>
      </w:r>
      <w:r w:rsidRPr="00FD5B12">
        <w:t xml:space="preserve">колонку </w:t>
      </w:r>
      <w:r>
        <w:t>«</w:t>
      </w:r>
      <w:r w:rsidRPr="00FD5B12">
        <w:t>ЗАМЕЧАНИЯ</w:t>
      </w:r>
      <w:r>
        <w:t>»</w:t>
      </w:r>
      <w:r w:rsidRPr="00FD5B12">
        <w:t xml:space="preserve"> добавить </w:t>
      </w:r>
      <w:r>
        <w:t>«</w:t>
      </w:r>
      <w:r w:rsidRPr="00FD5B12">
        <w:rPr>
          <w:vertAlign w:val="superscript"/>
        </w:rPr>
        <w:t>h</w:t>
      </w:r>
      <w:r w:rsidRPr="00FD5B12">
        <w:t> Применимо к автомобилям, использующим иные виды топлива, кроме водорода, впервые зарегистрированным после 31 декабря 2026 года</w:t>
      </w:r>
      <w:r>
        <w:t>»</w:t>
      </w:r>
      <w:r w:rsidRPr="00FD5B12">
        <w:t xml:space="preserve">. </w:t>
      </w:r>
    </w:p>
    <w:p w14:paraId="6F4CA327" w14:textId="39C81A9D" w:rsidR="001427C4" w:rsidRPr="00FD5B12" w:rsidRDefault="001427C4" w:rsidP="001427C4">
      <w:pPr>
        <w:pStyle w:val="Bullet1G"/>
        <w:numPr>
          <w:ilvl w:val="0"/>
          <w:numId w:val="22"/>
        </w:numPr>
        <w:suppressAutoHyphens w:val="0"/>
      </w:pPr>
      <w:r w:rsidRPr="00FD5B12">
        <w:t>Заменить строки для пунктов 9.2.4.4</w:t>
      </w:r>
      <w:r w:rsidR="00526DF7">
        <w:t>–</w:t>
      </w:r>
      <w:r w:rsidRPr="00FD5B12">
        <w:t>9.2.4.7 следующим:</w:t>
      </w:r>
    </w:p>
    <w:tbl>
      <w:tblPr>
        <w:tblStyle w:val="ac"/>
        <w:tblW w:w="0" w:type="auto"/>
        <w:tblInd w:w="1134" w:type="dxa"/>
        <w:tblLayout w:type="fixed"/>
        <w:tblCellMar>
          <w:top w:w="28" w:type="dxa"/>
          <w:left w:w="57" w:type="dxa"/>
          <w:bottom w:w="28" w:type="dxa"/>
          <w:right w:w="57" w:type="dxa"/>
        </w:tblCellMar>
        <w:tblLook w:val="04A0" w:firstRow="1" w:lastRow="0" w:firstColumn="1" w:lastColumn="0" w:noHBand="0" w:noVBand="1"/>
      </w:tblPr>
      <w:tblGrid>
        <w:gridCol w:w="1125"/>
        <w:gridCol w:w="2189"/>
        <w:gridCol w:w="469"/>
        <w:gridCol w:w="469"/>
        <w:gridCol w:w="475"/>
        <w:gridCol w:w="505"/>
        <w:gridCol w:w="3272"/>
      </w:tblGrid>
      <w:tr w:rsidR="001427C4" w:rsidRPr="00526DF7" w14:paraId="1EEE5C6E" w14:textId="77777777" w:rsidTr="00526DF7">
        <w:tc>
          <w:tcPr>
            <w:tcW w:w="1125" w:type="dxa"/>
            <w:tcMar>
              <w:top w:w="0" w:type="dxa"/>
              <w:left w:w="28" w:type="dxa"/>
              <w:bottom w:w="0" w:type="dxa"/>
              <w:right w:w="28" w:type="dxa"/>
            </w:tcMar>
          </w:tcPr>
          <w:p w14:paraId="6A1C087A" w14:textId="77777777" w:rsidR="001427C4" w:rsidRPr="00526DF7" w:rsidRDefault="001427C4" w:rsidP="00526DF7">
            <w:pPr>
              <w:spacing w:before="60" w:after="60" w:line="220" w:lineRule="atLeast"/>
              <w:rPr>
                <w:sz w:val="18"/>
                <w:szCs w:val="18"/>
              </w:rPr>
            </w:pPr>
            <w:r w:rsidRPr="00526DF7">
              <w:rPr>
                <w:sz w:val="18"/>
                <w:szCs w:val="18"/>
              </w:rPr>
              <w:t>9.2.4.3</w:t>
            </w:r>
          </w:p>
        </w:tc>
        <w:tc>
          <w:tcPr>
            <w:tcW w:w="2189" w:type="dxa"/>
            <w:tcMar>
              <w:top w:w="0" w:type="dxa"/>
              <w:left w:w="28" w:type="dxa"/>
              <w:bottom w:w="0" w:type="dxa"/>
              <w:right w:w="28" w:type="dxa"/>
            </w:tcMar>
          </w:tcPr>
          <w:p w14:paraId="507E0D28" w14:textId="77777777" w:rsidR="001427C4" w:rsidRPr="00526DF7" w:rsidRDefault="001427C4" w:rsidP="00526DF7">
            <w:pPr>
              <w:spacing w:before="60" w:after="60" w:line="220" w:lineRule="atLeast"/>
              <w:rPr>
                <w:sz w:val="18"/>
                <w:szCs w:val="18"/>
              </w:rPr>
            </w:pPr>
            <w:r w:rsidRPr="00526DF7">
              <w:rPr>
                <w:sz w:val="18"/>
                <w:szCs w:val="18"/>
              </w:rPr>
              <w:t>Двигатель внутреннего сгорания</w:t>
            </w:r>
          </w:p>
        </w:tc>
        <w:tc>
          <w:tcPr>
            <w:tcW w:w="469" w:type="dxa"/>
            <w:tcMar>
              <w:top w:w="0" w:type="dxa"/>
              <w:left w:w="28" w:type="dxa"/>
              <w:bottom w:w="0" w:type="dxa"/>
              <w:right w:w="28" w:type="dxa"/>
            </w:tcMar>
          </w:tcPr>
          <w:p w14:paraId="0ECB9366"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469" w:type="dxa"/>
            <w:tcMar>
              <w:top w:w="0" w:type="dxa"/>
              <w:left w:w="28" w:type="dxa"/>
              <w:bottom w:w="0" w:type="dxa"/>
              <w:right w:w="28" w:type="dxa"/>
            </w:tcMar>
          </w:tcPr>
          <w:p w14:paraId="32E257B1"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475" w:type="dxa"/>
            <w:tcMar>
              <w:top w:w="0" w:type="dxa"/>
              <w:left w:w="28" w:type="dxa"/>
              <w:bottom w:w="0" w:type="dxa"/>
              <w:right w:w="28" w:type="dxa"/>
            </w:tcMar>
          </w:tcPr>
          <w:p w14:paraId="304AFE83" w14:textId="77777777" w:rsidR="001427C4" w:rsidRPr="00526DF7" w:rsidRDefault="001427C4" w:rsidP="00526DF7">
            <w:pPr>
              <w:spacing w:before="60" w:after="60" w:line="220" w:lineRule="atLeast"/>
              <w:jc w:val="center"/>
              <w:rPr>
                <w:sz w:val="18"/>
                <w:szCs w:val="18"/>
              </w:rPr>
            </w:pPr>
            <w:proofErr w:type="spellStart"/>
            <w:r w:rsidRPr="00526DF7">
              <w:rPr>
                <w:sz w:val="18"/>
                <w:szCs w:val="18"/>
              </w:rPr>
              <w:t>X</w:t>
            </w:r>
            <w:r w:rsidRPr="00526DF7">
              <w:rPr>
                <w:sz w:val="18"/>
                <w:szCs w:val="18"/>
                <w:vertAlign w:val="superscript"/>
              </w:rPr>
              <w:t>i</w:t>
            </w:r>
            <w:proofErr w:type="spellEnd"/>
          </w:p>
        </w:tc>
        <w:tc>
          <w:tcPr>
            <w:tcW w:w="505" w:type="dxa"/>
            <w:tcMar>
              <w:top w:w="0" w:type="dxa"/>
              <w:left w:w="28" w:type="dxa"/>
              <w:bottom w:w="0" w:type="dxa"/>
              <w:right w:w="28" w:type="dxa"/>
            </w:tcMar>
          </w:tcPr>
          <w:p w14:paraId="4812BFEE"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3272" w:type="dxa"/>
            <w:tcMar>
              <w:top w:w="0" w:type="dxa"/>
              <w:left w:w="28" w:type="dxa"/>
              <w:bottom w:w="0" w:type="dxa"/>
              <w:right w:w="28" w:type="dxa"/>
            </w:tcMar>
          </w:tcPr>
          <w:p w14:paraId="1259ED39" w14:textId="77777777" w:rsidR="001427C4" w:rsidRPr="00526DF7" w:rsidRDefault="001427C4" w:rsidP="00526DF7">
            <w:pPr>
              <w:spacing w:before="60" w:after="60" w:line="220" w:lineRule="atLeast"/>
              <w:rPr>
                <w:sz w:val="18"/>
                <w:szCs w:val="18"/>
              </w:rPr>
            </w:pPr>
            <w:r w:rsidRPr="00526DF7">
              <w:rPr>
                <w:sz w:val="18"/>
                <w:szCs w:val="18"/>
                <w:vertAlign w:val="superscript"/>
              </w:rPr>
              <w:t xml:space="preserve">i </w:t>
            </w:r>
            <w:r w:rsidRPr="00526DF7">
              <w:rPr>
                <w:sz w:val="18"/>
                <w:szCs w:val="18"/>
              </w:rPr>
              <w:t>Применимо к автомобилям, впервые зарегистрированным после 31 декабря 2026 года.</w:t>
            </w:r>
          </w:p>
        </w:tc>
      </w:tr>
      <w:tr w:rsidR="001427C4" w:rsidRPr="00526DF7" w14:paraId="253D16D5" w14:textId="77777777" w:rsidTr="00526DF7">
        <w:tc>
          <w:tcPr>
            <w:tcW w:w="1125" w:type="dxa"/>
            <w:tcMar>
              <w:top w:w="0" w:type="dxa"/>
              <w:left w:w="28" w:type="dxa"/>
              <w:bottom w:w="0" w:type="dxa"/>
              <w:right w:w="28" w:type="dxa"/>
            </w:tcMar>
          </w:tcPr>
          <w:p w14:paraId="395CAEB2" w14:textId="77777777" w:rsidR="001427C4" w:rsidRPr="00526DF7" w:rsidRDefault="001427C4" w:rsidP="00526DF7">
            <w:pPr>
              <w:spacing w:before="60" w:after="60" w:line="220" w:lineRule="atLeast"/>
              <w:rPr>
                <w:sz w:val="18"/>
                <w:szCs w:val="18"/>
              </w:rPr>
            </w:pPr>
            <w:r w:rsidRPr="00526DF7">
              <w:rPr>
                <w:sz w:val="18"/>
                <w:szCs w:val="18"/>
              </w:rPr>
              <w:t>9.2.4.3.1</w:t>
            </w:r>
          </w:p>
        </w:tc>
        <w:tc>
          <w:tcPr>
            <w:tcW w:w="2189" w:type="dxa"/>
            <w:tcMar>
              <w:top w:w="0" w:type="dxa"/>
              <w:left w:w="28" w:type="dxa"/>
              <w:bottom w:w="0" w:type="dxa"/>
              <w:right w:w="28" w:type="dxa"/>
            </w:tcMar>
          </w:tcPr>
          <w:p w14:paraId="33A6A820" w14:textId="77777777" w:rsidR="001427C4" w:rsidRPr="00526DF7" w:rsidRDefault="001427C4" w:rsidP="00526DF7">
            <w:pPr>
              <w:spacing w:before="60" w:after="60" w:line="220" w:lineRule="atLeast"/>
              <w:rPr>
                <w:sz w:val="18"/>
                <w:szCs w:val="18"/>
              </w:rPr>
            </w:pPr>
            <w:r w:rsidRPr="00526DF7">
              <w:rPr>
                <w:sz w:val="18"/>
                <w:szCs w:val="18"/>
              </w:rPr>
              <w:t>Двигатель</w:t>
            </w:r>
          </w:p>
        </w:tc>
        <w:tc>
          <w:tcPr>
            <w:tcW w:w="469" w:type="dxa"/>
            <w:tcMar>
              <w:top w:w="0" w:type="dxa"/>
              <w:left w:w="28" w:type="dxa"/>
              <w:bottom w:w="0" w:type="dxa"/>
              <w:right w:w="28" w:type="dxa"/>
            </w:tcMar>
          </w:tcPr>
          <w:p w14:paraId="1B8C95B7"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469" w:type="dxa"/>
            <w:tcMar>
              <w:top w:w="0" w:type="dxa"/>
              <w:left w:w="28" w:type="dxa"/>
              <w:bottom w:w="0" w:type="dxa"/>
              <w:right w:w="28" w:type="dxa"/>
            </w:tcMar>
          </w:tcPr>
          <w:p w14:paraId="7B5848E5"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475" w:type="dxa"/>
            <w:tcMar>
              <w:top w:w="0" w:type="dxa"/>
              <w:left w:w="28" w:type="dxa"/>
              <w:bottom w:w="0" w:type="dxa"/>
              <w:right w:w="28" w:type="dxa"/>
            </w:tcMar>
          </w:tcPr>
          <w:p w14:paraId="04F17AF9" w14:textId="77777777" w:rsidR="001427C4" w:rsidRPr="00526DF7" w:rsidRDefault="001427C4" w:rsidP="00526DF7">
            <w:pPr>
              <w:spacing w:before="60" w:after="60" w:line="220" w:lineRule="atLeast"/>
              <w:jc w:val="center"/>
              <w:rPr>
                <w:sz w:val="18"/>
                <w:szCs w:val="18"/>
              </w:rPr>
            </w:pPr>
            <w:proofErr w:type="spellStart"/>
            <w:r w:rsidRPr="00526DF7">
              <w:rPr>
                <w:sz w:val="18"/>
                <w:szCs w:val="18"/>
              </w:rPr>
              <w:t>X</w:t>
            </w:r>
            <w:r w:rsidRPr="00526DF7">
              <w:rPr>
                <w:sz w:val="18"/>
                <w:szCs w:val="18"/>
                <w:vertAlign w:val="superscript"/>
              </w:rPr>
              <w:t>i</w:t>
            </w:r>
            <w:proofErr w:type="spellEnd"/>
          </w:p>
        </w:tc>
        <w:tc>
          <w:tcPr>
            <w:tcW w:w="505" w:type="dxa"/>
            <w:tcMar>
              <w:top w:w="0" w:type="dxa"/>
              <w:left w:w="28" w:type="dxa"/>
              <w:bottom w:w="0" w:type="dxa"/>
              <w:right w:w="28" w:type="dxa"/>
            </w:tcMar>
          </w:tcPr>
          <w:p w14:paraId="3F0746A6"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3272" w:type="dxa"/>
            <w:tcMar>
              <w:top w:w="0" w:type="dxa"/>
              <w:left w:w="28" w:type="dxa"/>
              <w:bottom w:w="0" w:type="dxa"/>
              <w:right w:w="28" w:type="dxa"/>
            </w:tcMar>
          </w:tcPr>
          <w:p w14:paraId="152E1DE2" w14:textId="77777777" w:rsidR="001427C4" w:rsidRPr="00526DF7" w:rsidRDefault="001427C4" w:rsidP="00526DF7">
            <w:pPr>
              <w:spacing w:before="60" w:after="60" w:line="220" w:lineRule="atLeast"/>
              <w:rPr>
                <w:sz w:val="18"/>
                <w:szCs w:val="18"/>
              </w:rPr>
            </w:pPr>
            <w:r w:rsidRPr="00526DF7">
              <w:rPr>
                <w:sz w:val="18"/>
                <w:szCs w:val="18"/>
                <w:vertAlign w:val="superscript"/>
              </w:rPr>
              <w:t xml:space="preserve">i </w:t>
            </w:r>
            <w:r w:rsidRPr="00526DF7">
              <w:rPr>
                <w:sz w:val="18"/>
                <w:szCs w:val="18"/>
              </w:rPr>
              <w:t>Применимо к автомобилям, впервые зарегистрированным после 31 декабря 2026 года.</w:t>
            </w:r>
          </w:p>
        </w:tc>
      </w:tr>
      <w:tr w:rsidR="001427C4" w:rsidRPr="00526DF7" w14:paraId="0403E49F" w14:textId="77777777" w:rsidTr="00526DF7">
        <w:tc>
          <w:tcPr>
            <w:tcW w:w="1125" w:type="dxa"/>
            <w:tcMar>
              <w:top w:w="0" w:type="dxa"/>
              <w:left w:w="28" w:type="dxa"/>
              <w:bottom w:w="0" w:type="dxa"/>
              <w:right w:w="28" w:type="dxa"/>
            </w:tcMar>
          </w:tcPr>
          <w:p w14:paraId="33A1B7E8" w14:textId="77777777" w:rsidR="001427C4" w:rsidRPr="00526DF7" w:rsidRDefault="001427C4" w:rsidP="00526DF7">
            <w:pPr>
              <w:spacing w:before="60" w:after="60" w:line="220" w:lineRule="atLeast"/>
              <w:rPr>
                <w:sz w:val="18"/>
                <w:szCs w:val="18"/>
              </w:rPr>
            </w:pPr>
            <w:r w:rsidRPr="00526DF7">
              <w:rPr>
                <w:sz w:val="18"/>
                <w:szCs w:val="18"/>
              </w:rPr>
              <w:t>9.2.4.3.2</w:t>
            </w:r>
          </w:p>
        </w:tc>
        <w:tc>
          <w:tcPr>
            <w:tcW w:w="2189" w:type="dxa"/>
            <w:tcMar>
              <w:top w:w="0" w:type="dxa"/>
              <w:left w:w="28" w:type="dxa"/>
              <w:bottom w:w="0" w:type="dxa"/>
              <w:right w:w="28" w:type="dxa"/>
            </w:tcMar>
          </w:tcPr>
          <w:p w14:paraId="5E19008B" w14:textId="77777777" w:rsidR="001427C4" w:rsidRPr="00526DF7" w:rsidRDefault="001427C4" w:rsidP="00526DF7">
            <w:pPr>
              <w:spacing w:before="60" w:after="60" w:line="220" w:lineRule="atLeast"/>
              <w:rPr>
                <w:sz w:val="18"/>
                <w:szCs w:val="18"/>
              </w:rPr>
            </w:pPr>
            <w:r w:rsidRPr="00526DF7">
              <w:rPr>
                <w:sz w:val="18"/>
                <w:szCs w:val="18"/>
              </w:rPr>
              <w:t>Система выпуска отработавших газов</w:t>
            </w:r>
          </w:p>
        </w:tc>
        <w:tc>
          <w:tcPr>
            <w:tcW w:w="469" w:type="dxa"/>
            <w:tcMar>
              <w:top w:w="0" w:type="dxa"/>
              <w:left w:w="28" w:type="dxa"/>
              <w:bottom w:w="0" w:type="dxa"/>
              <w:right w:w="28" w:type="dxa"/>
            </w:tcMar>
          </w:tcPr>
          <w:p w14:paraId="0036B65B"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469" w:type="dxa"/>
            <w:tcMar>
              <w:top w:w="0" w:type="dxa"/>
              <w:left w:w="28" w:type="dxa"/>
              <w:bottom w:w="0" w:type="dxa"/>
              <w:right w:w="28" w:type="dxa"/>
            </w:tcMar>
          </w:tcPr>
          <w:p w14:paraId="4DFE7D13"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475" w:type="dxa"/>
            <w:tcMar>
              <w:top w:w="0" w:type="dxa"/>
              <w:left w:w="28" w:type="dxa"/>
              <w:bottom w:w="0" w:type="dxa"/>
              <w:right w:w="28" w:type="dxa"/>
            </w:tcMar>
          </w:tcPr>
          <w:p w14:paraId="37112EB3" w14:textId="77777777" w:rsidR="001427C4" w:rsidRPr="00526DF7" w:rsidRDefault="001427C4" w:rsidP="00526DF7">
            <w:pPr>
              <w:spacing w:before="60" w:after="60" w:line="220" w:lineRule="atLeast"/>
              <w:jc w:val="center"/>
              <w:rPr>
                <w:sz w:val="18"/>
                <w:szCs w:val="18"/>
              </w:rPr>
            </w:pPr>
          </w:p>
        </w:tc>
        <w:tc>
          <w:tcPr>
            <w:tcW w:w="505" w:type="dxa"/>
            <w:tcMar>
              <w:top w:w="0" w:type="dxa"/>
              <w:left w:w="28" w:type="dxa"/>
              <w:bottom w:w="0" w:type="dxa"/>
              <w:right w:w="28" w:type="dxa"/>
            </w:tcMar>
          </w:tcPr>
          <w:p w14:paraId="2939675D"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3272" w:type="dxa"/>
            <w:tcMar>
              <w:top w:w="0" w:type="dxa"/>
              <w:left w:w="28" w:type="dxa"/>
              <w:bottom w:w="0" w:type="dxa"/>
              <w:right w:w="28" w:type="dxa"/>
            </w:tcMar>
          </w:tcPr>
          <w:p w14:paraId="1A3F2890" w14:textId="77777777" w:rsidR="001427C4" w:rsidRPr="00526DF7" w:rsidRDefault="001427C4" w:rsidP="00526DF7">
            <w:pPr>
              <w:spacing w:before="60" w:after="60" w:line="220" w:lineRule="atLeast"/>
              <w:rPr>
                <w:sz w:val="18"/>
                <w:szCs w:val="18"/>
              </w:rPr>
            </w:pPr>
          </w:p>
        </w:tc>
      </w:tr>
      <w:tr w:rsidR="001427C4" w:rsidRPr="00526DF7" w14:paraId="53DE6E42" w14:textId="77777777" w:rsidTr="00526DF7">
        <w:tc>
          <w:tcPr>
            <w:tcW w:w="1125" w:type="dxa"/>
            <w:tcMar>
              <w:top w:w="0" w:type="dxa"/>
              <w:left w:w="28" w:type="dxa"/>
              <w:bottom w:w="0" w:type="dxa"/>
              <w:right w:w="28" w:type="dxa"/>
            </w:tcMar>
          </w:tcPr>
          <w:p w14:paraId="2466661B" w14:textId="77777777" w:rsidR="001427C4" w:rsidRPr="00526DF7" w:rsidRDefault="001427C4" w:rsidP="00526DF7">
            <w:pPr>
              <w:spacing w:before="60" w:after="60" w:line="220" w:lineRule="atLeast"/>
              <w:rPr>
                <w:sz w:val="18"/>
                <w:szCs w:val="18"/>
              </w:rPr>
            </w:pPr>
            <w:r w:rsidRPr="00526DF7">
              <w:rPr>
                <w:sz w:val="18"/>
                <w:szCs w:val="18"/>
              </w:rPr>
              <w:lastRenderedPageBreak/>
              <w:t>9.2.4.4</w:t>
            </w:r>
          </w:p>
        </w:tc>
        <w:tc>
          <w:tcPr>
            <w:tcW w:w="2189" w:type="dxa"/>
            <w:tcMar>
              <w:top w:w="0" w:type="dxa"/>
              <w:left w:w="28" w:type="dxa"/>
              <w:bottom w:w="0" w:type="dxa"/>
              <w:right w:w="28" w:type="dxa"/>
            </w:tcMar>
          </w:tcPr>
          <w:p w14:paraId="0767D215" w14:textId="77777777" w:rsidR="001427C4" w:rsidRPr="00526DF7" w:rsidRDefault="001427C4" w:rsidP="00526DF7">
            <w:pPr>
              <w:spacing w:before="60" w:after="60" w:line="220" w:lineRule="atLeast"/>
              <w:rPr>
                <w:sz w:val="18"/>
                <w:szCs w:val="18"/>
              </w:rPr>
            </w:pPr>
            <w:r w:rsidRPr="00526DF7">
              <w:rPr>
                <w:sz w:val="18"/>
                <w:szCs w:val="18"/>
              </w:rPr>
              <w:t>Электрический привод</w:t>
            </w:r>
          </w:p>
        </w:tc>
        <w:tc>
          <w:tcPr>
            <w:tcW w:w="469" w:type="dxa"/>
            <w:tcMar>
              <w:top w:w="0" w:type="dxa"/>
              <w:left w:w="28" w:type="dxa"/>
              <w:bottom w:w="0" w:type="dxa"/>
              <w:right w:w="28" w:type="dxa"/>
            </w:tcMar>
          </w:tcPr>
          <w:p w14:paraId="34F332EA" w14:textId="77777777" w:rsidR="001427C4" w:rsidRPr="00526DF7" w:rsidRDefault="001427C4" w:rsidP="00526DF7">
            <w:pPr>
              <w:spacing w:before="60" w:after="60" w:line="220" w:lineRule="atLeast"/>
              <w:jc w:val="center"/>
              <w:rPr>
                <w:sz w:val="18"/>
                <w:szCs w:val="18"/>
              </w:rPr>
            </w:pPr>
          </w:p>
        </w:tc>
        <w:tc>
          <w:tcPr>
            <w:tcW w:w="469" w:type="dxa"/>
            <w:tcMar>
              <w:top w:w="0" w:type="dxa"/>
              <w:left w:w="28" w:type="dxa"/>
              <w:bottom w:w="0" w:type="dxa"/>
              <w:right w:w="28" w:type="dxa"/>
            </w:tcMar>
          </w:tcPr>
          <w:p w14:paraId="70F51931" w14:textId="77777777" w:rsidR="001427C4" w:rsidRPr="00526DF7" w:rsidRDefault="001427C4" w:rsidP="00526DF7">
            <w:pPr>
              <w:spacing w:before="60" w:after="60" w:line="220" w:lineRule="atLeast"/>
              <w:jc w:val="center"/>
              <w:rPr>
                <w:sz w:val="18"/>
                <w:szCs w:val="18"/>
              </w:rPr>
            </w:pPr>
          </w:p>
        </w:tc>
        <w:tc>
          <w:tcPr>
            <w:tcW w:w="475" w:type="dxa"/>
            <w:tcMar>
              <w:top w:w="0" w:type="dxa"/>
              <w:left w:w="28" w:type="dxa"/>
              <w:bottom w:w="0" w:type="dxa"/>
              <w:right w:w="28" w:type="dxa"/>
            </w:tcMar>
          </w:tcPr>
          <w:p w14:paraId="05D45302" w14:textId="77777777" w:rsidR="001427C4" w:rsidRPr="00526DF7" w:rsidRDefault="001427C4" w:rsidP="00526DF7">
            <w:pPr>
              <w:spacing w:before="60" w:after="60" w:line="220" w:lineRule="atLeast"/>
              <w:jc w:val="center"/>
              <w:rPr>
                <w:sz w:val="18"/>
                <w:szCs w:val="18"/>
              </w:rPr>
            </w:pPr>
          </w:p>
        </w:tc>
        <w:tc>
          <w:tcPr>
            <w:tcW w:w="505" w:type="dxa"/>
            <w:tcMar>
              <w:top w:w="0" w:type="dxa"/>
              <w:left w:w="28" w:type="dxa"/>
              <w:bottom w:w="0" w:type="dxa"/>
              <w:right w:w="28" w:type="dxa"/>
            </w:tcMar>
          </w:tcPr>
          <w:p w14:paraId="3D811DE9" w14:textId="77777777" w:rsidR="001427C4" w:rsidRPr="00526DF7" w:rsidRDefault="001427C4" w:rsidP="00526DF7">
            <w:pPr>
              <w:spacing w:before="60" w:after="60" w:line="220" w:lineRule="atLeast"/>
              <w:jc w:val="center"/>
              <w:rPr>
                <w:sz w:val="18"/>
                <w:szCs w:val="18"/>
              </w:rPr>
            </w:pPr>
          </w:p>
        </w:tc>
        <w:tc>
          <w:tcPr>
            <w:tcW w:w="3272" w:type="dxa"/>
            <w:tcMar>
              <w:top w:w="0" w:type="dxa"/>
              <w:left w:w="28" w:type="dxa"/>
              <w:bottom w:w="0" w:type="dxa"/>
              <w:right w:w="28" w:type="dxa"/>
            </w:tcMar>
          </w:tcPr>
          <w:p w14:paraId="1D65579A" w14:textId="77777777" w:rsidR="001427C4" w:rsidRPr="00526DF7" w:rsidRDefault="001427C4" w:rsidP="00526DF7">
            <w:pPr>
              <w:spacing w:before="60" w:after="60" w:line="220" w:lineRule="atLeast"/>
              <w:rPr>
                <w:sz w:val="18"/>
                <w:szCs w:val="18"/>
              </w:rPr>
            </w:pPr>
          </w:p>
        </w:tc>
      </w:tr>
      <w:tr w:rsidR="001427C4" w:rsidRPr="00526DF7" w14:paraId="35619D58" w14:textId="77777777" w:rsidTr="00526DF7">
        <w:tc>
          <w:tcPr>
            <w:tcW w:w="1125" w:type="dxa"/>
            <w:tcMar>
              <w:top w:w="0" w:type="dxa"/>
              <w:left w:w="28" w:type="dxa"/>
              <w:bottom w:w="0" w:type="dxa"/>
              <w:right w:w="28" w:type="dxa"/>
            </w:tcMar>
          </w:tcPr>
          <w:p w14:paraId="1738C67A" w14:textId="77777777" w:rsidR="001427C4" w:rsidRPr="00526DF7" w:rsidRDefault="001427C4" w:rsidP="00526DF7">
            <w:pPr>
              <w:spacing w:before="60" w:after="60" w:line="220" w:lineRule="atLeast"/>
              <w:rPr>
                <w:sz w:val="18"/>
                <w:szCs w:val="18"/>
              </w:rPr>
            </w:pPr>
            <w:r w:rsidRPr="00526DF7">
              <w:rPr>
                <w:sz w:val="18"/>
                <w:szCs w:val="18"/>
              </w:rPr>
              <w:t>9.2.4.4.1</w:t>
            </w:r>
          </w:p>
        </w:tc>
        <w:tc>
          <w:tcPr>
            <w:tcW w:w="2189" w:type="dxa"/>
            <w:tcMar>
              <w:top w:w="0" w:type="dxa"/>
              <w:left w:w="28" w:type="dxa"/>
              <w:bottom w:w="0" w:type="dxa"/>
              <w:right w:w="28" w:type="dxa"/>
            </w:tcMar>
          </w:tcPr>
          <w:p w14:paraId="7822EA64" w14:textId="77777777" w:rsidR="001427C4" w:rsidRPr="00526DF7" w:rsidRDefault="001427C4" w:rsidP="00526DF7">
            <w:pPr>
              <w:spacing w:before="60" w:after="60" w:line="220" w:lineRule="atLeast"/>
              <w:rPr>
                <w:sz w:val="18"/>
                <w:szCs w:val="18"/>
              </w:rPr>
            </w:pPr>
            <w:r w:rsidRPr="00526DF7">
              <w:rPr>
                <w:sz w:val="18"/>
                <w:szCs w:val="18"/>
              </w:rPr>
              <w:t>Общие положения</w:t>
            </w:r>
          </w:p>
        </w:tc>
        <w:tc>
          <w:tcPr>
            <w:tcW w:w="469" w:type="dxa"/>
            <w:tcMar>
              <w:top w:w="0" w:type="dxa"/>
              <w:left w:w="28" w:type="dxa"/>
              <w:bottom w:w="0" w:type="dxa"/>
              <w:right w:w="28" w:type="dxa"/>
            </w:tcMar>
          </w:tcPr>
          <w:p w14:paraId="6E8707BE" w14:textId="77777777" w:rsidR="001427C4" w:rsidRPr="00526DF7" w:rsidRDefault="001427C4" w:rsidP="00526DF7">
            <w:pPr>
              <w:spacing w:before="60" w:after="60" w:line="220" w:lineRule="atLeast"/>
              <w:jc w:val="center"/>
              <w:rPr>
                <w:sz w:val="18"/>
                <w:szCs w:val="18"/>
              </w:rPr>
            </w:pPr>
          </w:p>
        </w:tc>
        <w:tc>
          <w:tcPr>
            <w:tcW w:w="469" w:type="dxa"/>
            <w:tcMar>
              <w:top w:w="0" w:type="dxa"/>
              <w:left w:w="28" w:type="dxa"/>
              <w:bottom w:w="0" w:type="dxa"/>
              <w:right w:w="28" w:type="dxa"/>
            </w:tcMar>
          </w:tcPr>
          <w:p w14:paraId="4D410952" w14:textId="77777777" w:rsidR="001427C4" w:rsidRPr="00526DF7" w:rsidRDefault="001427C4" w:rsidP="00526DF7">
            <w:pPr>
              <w:spacing w:before="60" w:after="60" w:line="220" w:lineRule="atLeast"/>
              <w:jc w:val="center"/>
              <w:rPr>
                <w:sz w:val="18"/>
                <w:szCs w:val="18"/>
              </w:rPr>
            </w:pPr>
          </w:p>
        </w:tc>
        <w:tc>
          <w:tcPr>
            <w:tcW w:w="475" w:type="dxa"/>
            <w:tcMar>
              <w:top w:w="0" w:type="dxa"/>
              <w:left w:w="28" w:type="dxa"/>
              <w:bottom w:w="0" w:type="dxa"/>
              <w:right w:w="28" w:type="dxa"/>
            </w:tcMar>
          </w:tcPr>
          <w:p w14:paraId="530F6E06"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505" w:type="dxa"/>
            <w:tcMar>
              <w:top w:w="0" w:type="dxa"/>
              <w:left w:w="28" w:type="dxa"/>
              <w:bottom w:w="0" w:type="dxa"/>
              <w:right w:w="28" w:type="dxa"/>
            </w:tcMar>
          </w:tcPr>
          <w:p w14:paraId="11FCB0DA"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3272" w:type="dxa"/>
            <w:tcMar>
              <w:top w:w="0" w:type="dxa"/>
              <w:left w:w="28" w:type="dxa"/>
              <w:bottom w:w="0" w:type="dxa"/>
              <w:right w:w="28" w:type="dxa"/>
            </w:tcMar>
          </w:tcPr>
          <w:p w14:paraId="2619586A" w14:textId="77777777" w:rsidR="001427C4" w:rsidRPr="00526DF7" w:rsidRDefault="001427C4" w:rsidP="00526DF7">
            <w:pPr>
              <w:spacing w:before="60" w:after="60" w:line="220" w:lineRule="atLeast"/>
              <w:rPr>
                <w:sz w:val="18"/>
                <w:szCs w:val="18"/>
              </w:rPr>
            </w:pPr>
          </w:p>
        </w:tc>
      </w:tr>
      <w:tr w:rsidR="001427C4" w:rsidRPr="00526DF7" w14:paraId="4A9F11A5" w14:textId="77777777" w:rsidTr="00526DF7">
        <w:tc>
          <w:tcPr>
            <w:tcW w:w="1125" w:type="dxa"/>
            <w:tcMar>
              <w:top w:w="0" w:type="dxa"/>
              <w:left w:w="28" w:type="dxa"/>
              <w:bottom w:w="0" w:type="dxa"/>
              <w:right w:w="28" w:type="dxa"/>
            </w:tcMar>
          </w:tcPr>
          <w:p w14:paraId="7CDE13B4" w14:textId="77777777" w:rsidR="001427C4" w:rsidRPr="00526DF7" w:rsidRDefault="001427C4" w:rsidP="00526DF7">
            <w:pPr>
              <w:spacing w:before="60" w:after="60" w:line="220" w:lineRule="atLeast"/>
              <w:rPr>
                <w:sz w:val="18"/>
                <w:szCs w:val="18"/>
              </w:rPr>
            </w:pPr>
            <w:r w:rsidRPr="00526DF7">
              <w:rPr>
                <w:sz w:val="18"/>
                <w:szCs w:val="18"/>
              </w:rPr>
              <w:t>9.2.4.4.2</w:t>
            </w:r>
          </w:p>
        </w:tc>
        <w:tc>
          <w:tcPr>
            <w:tcW w:w="2189" w:type="dxa"/>
            <w:tcMar>
              <w:top w:w="0" w:type="dxa"/>
              <w:left w:w="28" w:type="dxa"/>
              <w:bottom w:w="0" w:type="dxa"/>
              <w:right w:w="28" w:type="dxa"/>
            </w:tcMar>
          </w:tcPr>
          <w:p w14:paraId="6EA6DF51" w14:textId="77777777" w:rsidR="001427C4" w:rsidRPr="00526DF7" w:rsidRDefault="001427C4" w:rsidP="00526DF7">
            <w:pPr>
              <w:spacing w:before="60" w:after="60" w:line="220" w:lineRule="atLeast"/>
              <w:rPr>
                <w:sz w:val="18"/>
                <w:szCs w:val="18"/>
              </w:rPr>
            </w:pPr>
            <w:r w:rsidRPr="00526DF7">
              <w:rPr>
                <w:sz w:val="18"/>
                <w:szCs w:val="18"/>
              </w:rPr>
              <w:t>Перезаряжаемая система аккумулирования электрической энергии</w:t>
            </w:r>
          </w:p>
        </w:tc>
        <w:tc>
          <w:tcPr>
            <w:tcW w:w="469" w:type="dxa"/>
            <w:tcMar>
              <w:top w:w="0" w:type="dxa"/>
              <w:left w:w="28" w:type="dxa"/>
              <w:bottom w:w="0" w:type="dxa"/>
              <w:right w:w="28" w:type="dxa"/>
            </w:tcMar>
          </w:tcPr>
          <w:p w14:paraId="12D21B3E" w14:textId="77777777" w:rsidR="001427C4" w:rsidRPr="00526DF7" w:rsidRDefault="001427C4" w:rsidP="00526DF7">
            <w:pPr>
              <w:spacing w:before="60" w:after="60" w:line="220" w:lineRule="atLeast"/>
              <w:jc w:val="center"/>
              <w:rPr>
                <w:sz w:val="18"/>
                <w:szCs w:val="18"/>
              </w:rPr>
            </w:pPr>
          </w:p>
        </w:tc>
        <w:tc>
          <w:tcPr>
            <w:tcW w:w="469" w:type="dxa"/>
            <w:tcMar>
              <w:top w:w="0" w:type="dxa"/>
              <w:left w:w="28" w:type="dxa"/>
              <w:bottom w:w="0" w:type="dxa"/>
              <w:right w:w="28" w:type="dxa"/>
            </w:tcMar>
          </w:tcPr>
          <w:p w14:paraId="216BD3E5" w14:textId="77777777" w:rsidR="001427C4" w:rsidRPr="00526DF7" w:rsidRDefault="001427C4" w:rsidP="00526DF7">
            <w:pPr>
              <w:spacing w:before="60" w:after="60" w:line="220" w:lineRule="atLeast"/>
              <w:jc w:val="center"/>
              <w:rPr>
                <w:sz w:val="18"/>
                <w:szCs w:val="18"/>
              </w:rPr>
            </w:pPr>
          </w:p>
        </w:tc>
        <w:tc>
          <w:tcPr>
            <w:tcW w:w="475" w:type="dxa"/>
            <w:tcMar>
              <w:top w:w="0" w:type="dxa"/>
              <w:left w:w="28" w:type="dxa"/>
              <w:bottom w:w="0" w:type="dxa"/>
              <w:right w:w="28" w:type="dxa"/>
            </w:tcMar>
          </w:tcPr>
          <w:p w14:paraId="40ACBEC6" w14:textId="77777777" w:rsidR="001427C4" w:rsidRPr="00526DF7" w:rsidRDefault="001427C4" w:rsidP="00526DF7">
            <w:pPr>
              <w:spacing w:before="60" w:after="60" w:line="220" w:lineRule="atLeast"/>
              <w:jc w:val="center"/>
              <w:rPr>
                <w:sz w:val="18"/>
                <w:szCs w:val="18"/>
                <w:vertAlign w:val="superscript"/>
              </w:rPr>
            </w:pPr>
            <w:proofErr w:type="spellStart"/>
            <w:r w:rsidRPr="00526DF7">
              <w:rPr>
                <w:sz w:val="18"/>
                <w:szCs w:val="18"/>
              </w:rPr>
              <w:t>X</w:t>
            </w:r>
            <w:r w:rsidRPr="00526DF7">
              <w:rPr>
                <w:sz w:val="18"/>
                <w:szCs w:val="18"/>
                <w:vertAlign w:val="superscript"/>
              </w:rPr>
              <w:t>i</w:t>
            </w:r>
            <w:proofErr w:type="spellEnd"/>
          </w:p>
        </w:tc>
        <w:tc>
          <w:tcPr>
            <w:tcW w:w="505" w:type="dxa"/>
            <w:tcMar>
              <w:top w:w="0" w:type="dxa"/>
              <w:left w:w="28" w:type="dxa"/>
              <w:bottom w:w="0" w:type="dxa"/>
              <w:right w:w="28" w:type="dxa"/>
            </w:tcMar>
          </w:tcPr>
          <w:p w14:paraId="3E1F8FD1"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3272" w:type="dxa"/>
            <w:tcMar>
              <w:top w:w="0" w:type="dxa"/>
              <w:left w:w="28" w:type="dxa"/>
              <w:bottom w:w="0" w:type="dxa"/>
              <w:right w:w="28" w:type="dxa"/>
            </w:tcMar>
          </w:tcPr>
          <w:p w14:paraId="5BDD0F41" w14:textId="77777777" w:rsidR="001427C4" w:rsidRPr="00526DF7" w:rsidRDefault="001427C4" w:rsidP="00526DF7">
            <w:pPr>
              <w:spacing w:before="60" w:after="60" w:line="220" w:lineRule="atLeast"/>
              <w:rPr>
                <w:sz w:val="18"/>
                <w:szCs w:val="18"/>
              </w:rPr>
            </w:pPr>
            <w:r w:rsidRPr="00526DF7">
              <w:rPr>
                <w:sz w:val="18"/>
                <w:szCs w:val="18"/>
                <w:vertAlign w:val="superscript"/>
              </w:rPr>
              <w:t xml:space="preserve">i </w:t>
            </w:r>
            <w:r w:rsidRPr="00526DF7">
              <w:rPr>
                <w:sz w:val="18"/>
                <w:szCs w:val="18"/>
              </w:rPr>
              <w:t>Применимо к автомобилям, впервые зарегистрированным после 31 декабря 2026 года.</w:t>
            </w:r>
          </w:p>
        </w:tc>
      </w:tr>
      <w:tr w:rsidR="001427C4" w:rsidRPr="00526DF7" w14:paraId="3A9C179F" w14:textId="77777777" w:rsidTr="00526DF7">
        <w:tc>
          <w:tcPr>
            <w:tcW w:w="1125" w:type="dxa"/>
            <w:tcMar>
              <w:top w:w="0" w:type="dxa"/>
              <w:left w:w="28" w:type="dxa"/>
              <w:bottom w:w="0" w:type="dxa"/>
              <w:right w:w="28" w:type="dxa"/>
            </w:tcMar>
          </w:tcPr>
          <w:p w14:paraId="5374C965" w14:textId="77777777" w:rsidR="001427C4" w:rsidRPr="00526DF7" w:rsidRDefault="001427C4" w:rsidP="00526DF7">
            <w:pPr>
              <w:spacing w:before="60" w:after="60" w:line="220" w:lineRule="atLeast"/>
              <w:rPr>
                <w:sz w:val="18"/>
                <w:szCs w:val="18"/>
              </w:rPr>
            </w:pPr>
            <w:r w:rsidRPr="00526DF7">
              <w:rPr>
                <w:sz w:val="18"/>
                <w:szCs w:val="18"/>
              </w:rPr>
              <w:t>9.2.4.4.3</w:t>
            </w:r>
          </w:p>
        </w:tc>
        <w:tc>
          <w:tcPr>
            <w:tcW w:w="2189" w:type="dxa"/>
            <w:tcMar>
              <w:top w:w="0" w:type="dxa"/>
              <w:left w:w="28" w:type="dxa"/>
              <w:bottom w:w="0" w:type="dxa"/>
              <w:right w:w="28" w:type="dxa"/>
            </w:tcMar>
          </w:tcPr>
          <w:p w14:paraId="425F1B75" w14:textId="77777777" w:rsidR="001427C4" w:rsidRPr="00526DF7" w:rsidRDefault="001427C4" w:rsidP="00526DF7">
            <w:pPr>
              <w:spacing w:before="60" w:after="60" w:line="220" w:lineRule="atLeast"/>
              <w:rPr>
                <w:sz w:val="18"/>
                <w:szCs w:val="18"/>
              </w:rPr>
            </w:pPr>
            <w:r w:rsidRPr="00526DF7">
              <w:rPr>
                <w:sz w:val="18"/>
                <w:szCs w:val="18"/>
              </w:rPr>
              <w:t>Меры защиты от теплового распространения</w:t>
            </w:r>
          </w:p>
        </w:tc>
        <w:tc>
          <w:tcPr>
            <w:tcW w:w="469" w:type="dxa"/>
            <w:tcMar>
              <w:top w:w="0" w:type="dxa"/>
              <w:left w:w="28" w:type="dxa"/>
              <w:bottom w:w="0" w:type="dxa"/>
              <w:right w:w="28" w:type="dxa"/>
            </w:tcMar>
          </w:tcPr>
          <w:p w14:paraId="55AD2355" w14:textId="77777777" w:rsidR="001427C4" w:rsidRPr="00526DF7" w:rsidRDefault="001427C4" w:rsidP="00526DF7">
            <w:pPr>
              <w:spacing w:before="60" w:after="60" w:line="220" w:lineRule="atLeast"/>
              <w:jc w:val="center"/>
              <w:rPr>
                <w:sz w:val="18"/>
                <w:szCs w:val="18"/>
              </w:rPr>
            </w:pPr>
          </w:p>
        </w:tc>
        <w:tc>
          <w:tcPr>
            <w:tcW w:w="469" w:type="dxa"/>
            <w:tcMar>
              <w:top w:w="0" w:type="dxa"/>
              <w:left w:w="28" w:type="dxa"/>
              <w:bottom w:w="0" w:type="dxa"/>
              <w:right w:w="28" w:type="dxa"/>
            </w:tcMar>
          </w:tcPr>
          <w:p w14:paraId="6E3146D2" w14:textId="77777777" w:rsidR="001427C4" w:rsidRPr="00526DF7" w:rsidRDefault="001427C4" w:rsidP="00526DF7">
            <w:pPr>
              <w:spacing w:before="60" w:after="60" w:line="220" w:lineRule="atLeast"/>
              <w:jc w:val="center"/>
              <w:rPr>
                <w:sz w:val="18"/>
                <w:szCs w:val="18"/>
              </w:rPr>
            </w:pPr>
          </w:p>
        </w:tc>
        <w:tc>
          <w:tcPr>
            <w:tcW w:w="475" w:type="dxa"/>
            <w:tcMar>
              <w:top w:w="0" w:type="dxa"/>
              <w:left w:w="28" w:type="dxa"/>
              <w:bottom w:w="0" w:type="dxa"/>
              <w:right w:w="28" w:type="dxa"/>
            </w:tcMar>
          </w:tcPr>
          <w:p w14:paraId="7376E969" w14:textId="77777777" w:rsidR="001427C4" w:rsidRPr="00526DF7" w:rsidRDefault="001427C4" w:rsidP="00526DF7">
            <w:pPr>
              <w:spacing w:before="60" w:after="60" w:line="220" w:lineRule="atLeast"/>
              <w:jc w:val="center"/>
              <w:rPr>
                <w:sz w:val="18"/>
                <w:szCs w:val="18"/>
              </w:rPr>
            </w:pPr>
          </w:p>
        </w:tc>
        <w:tc>
          <w:tcPr>
            <w:tcW w:w="505" w:type="dxa"/>
            <w:tcMar>
              <w:top w:w="0" w:type="dxa"/>
              <w:left w:w="28" w:type="dxa"/>
              <w:bottom w:w="0" w:type="dxa"/>
              <w:right w:w="28" w:type="dxa"/>
            </w:tcMar>
          </w:tcPr>
          <w:p w14:paraId="33E55C8D"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3272" w:type="dxa"/>
            <w:tcMar>
              <w:top w:w="0" w:type="dxa"/>
              <w:left w:w="28" w:type="dxa"/>
              <w:bottom w:w="0" w:type="dxa"/>
              <w:right w:w="28" w:type="dxa"/>
            </w:tcMar>
          </w:tcPr>
          <w:p w14:paraId="011C6D5C" w14:textId="77777777" w:rsidR="001427C4" w:rsidRPr="00526DF7" w:rsidRDefault="001427C4" w:rsidP="00526DF7">
            <w:pPr>
              <w:spacing w:before="60" w:after="60" w:line="220" w:lineRule="atLeast"/>
              <w:rPr>
                <w:sz w:val="18"/>
                <w:szCs w:val="18"/>
              </w:rPr>
            </w:pPr>
          </w:p>
        </w:tc>
      </w:tr>
      <w:tr w:rsidR="001427C4" w:rsidRPr="00526DF7" w14:paraId="33642E0F" w14:textId="77777777" w:rsidTr="00526DF7">
        <w:tc>
          <w:tcPr>
            <w:tcW w:w="1125" w:type="dxa"/>
            <w:tcMar>
              <w:top w:w="0" w:type="dxa"/>
              <w:left w:w="28" w:type="dxa"/>
              <w:bottom w:w="0" w:type="dxa"/>
              <w:right w:w="28" w:type="dxa"/>
            </w:tcMar>
          </w:tcPr>
          <w:p w14:paraId="11430742" w14:textId="77777777" w:rsidR="001427C4" w:rsidRPr="00526DF7" w:rsidRDefault="001427C4" w:rsidP="00526DF7">
            <w:pPr>
              <w:spacing w:before="60" w:after="60" w:line="220" w:lineRule="atLeast"/>
              <w:rPr>
                <w:sz w:val="18"/>
                <w:szCs w:val="18"/>
              </w:rPr>
            </w:pPr>
            <w:r w:rsidRPr="00526DF7">
              <w:rPr>
                <w:sz w:val="18"/>
                <w:szCs w:val="18"/>
              </w:rPr>
              <w:t>9.2.4.4.4</w:t>
            </w:r>
          </w:p>
        </w:tc>
        <w:tc>
          <w:tcPr>
            <w:tcW w:w="2189" w:type="dxa"/>
            <w:tcMar>
              <w:top w:w="0" w:type="dxa"/>
              <w:left w:w="28" w:type="dxa"/>
              <w:bottom w:w="0" w:type="dxa"/>
              <w:right w:w="28" w:type="dxa"/>
            </w:tcMar>
          </w:tcPr>
          <w:p w14:paraId="537A1B68" w14:textId="77777777" w:rsidR="001427C4" w:rsidRPr="00526DF7" w:rsidRDefault="001427C4" w:rsidP="00526DF7">
            <w:pPr>
              <w:spacing w:before="60" w:after="60" w:line="220" w:lineRule="atLeast"/>
              <w:rPr>
                <w:sz w:val="18"/>
                <w:szCs w:val="18"/>
              </w:rPr>
            </w:pPr>
            <w:r w:rsidRPr="00526DF7">
              <w:rPr>
                <w:sz w:val="18"/>
                <w:szCs w:val="18"/>
              </w:rPr>
              <w:t>Входной разъем для зарядки транспортного средства</w:t>
            </w:r>
          </w:p>
        </w:tc>
        <w:tc>
          <w:tcPr>
            <w:tcW w:w="469" w:type="dxa"/>
            <w:tcMar>
              <w:top w:w="0" w:type="dxa"/>
              <w:left w:w="28" w:type="dxa"/>
              <w:bottom w:w="0" w:type="dxa"/>
              <w:right w:w="28" w:type="dxa"/>
            </w:tcMar>
          </w:tcPr>
          <w:p w14:paraId="0E7A59F9" w14:textId="77777777" w:rsidR="001427C4" w:rsidRPr="00526DF7" w:rsidRDefault="001427C4" w:rsidP="00526DF7">
            <w:pPr>
              <w:spacing w:before="60" w:after="60" w:line="220" w:lineRule="atLeast"/>
              <w:jc w:val="center"/>
              <w:rPr>
                <w:sz w:val="18"/>
                <w:szCs w:val="18"/>
              </w:rPr>
            </w:pPr>
          </w:p>
        </w:tc>
        <w:tc>
          <w:tcPr>
            <w:tcW w:w="469" w:type="dxa"/>
            <w:tcMar>
              <w:top w:w="0" w:type="dxa"/>
              <w:left w:w="28" w:type="dxa"/>
              <w:bottom w:w="0" w:type="dxa"/>
              <w:right w:w="28" w:type="dxa"/>
            </w:tcMar>
          </w:tcPr>
          <w:p w14:paraId="06DA5C3C" w14:textId="77777777" w:rsidR="001427C4" w:rsidRPr="00526DF7" w:rsidRDefault="001427C4" w:rsidP="00526DF7">
            <w:pPr>
              <w:spacing w:before="60" w:after="60" w:line="220" w:lineRule="atLeast"/>
              <w:jc w:val="center"/>
              <w:rPr>
                <w:sz w:val="18"/>
                <w:szCs w:val="18"/>
              </w:rPr>
            </w:pPr>
          </w:p>
        </w:tc>
        <w:tc>
          <w:tcPr>
            <w:tcW w:w="475" w:type="dxa"/>
            <w:tcMar>
              <w:top w:w="0" w:type="dxa"/>
              <w:left w:w="28" w:type="dxa"/>
              <w:bottom w:w="0" w:type="dxa"/>
              <w:right w:w="28" w:type="dxa"/>
            </w:tcMar>
          </w:tcPr>
          <w:p w14:paraId="021114CF" w14:textId="77777777" w:rsidR="001427C4" w:rsidRPr="00526DF7" w:rsidRDefault="001427C4" w:rsidP="00526DF7">
            <w:pPr>
              <w:spacing w:before="60" w:after="60" w:line="220" w:lineRule="atLeast"/>
              <w:jc w:val="center"/>
              <w:rPr>
                <w:sz w:val="18"/>
                <w:szCs w:val="18"/>
              </w:rPr>
            </w:pPr>
          </w:p>
        </w:tc>
        <w:tc>
          <w:tcPr>
            <w:tcW w:w="505" w:type="dxa"/>
            <w:tcMar>
              <w:top w:w="0" w:type="dxa"/>
              <w:left w:w="28" w:type="dxa"/>
              <w:bottom w:w="0" w:type="dxa"/>
              <w:right w:w="28" w:type="dxa"/>
            </w:tcMar>
          </w:tcPr>
          <w:p w14:paraId="645806B7"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3272" w:type="dxa"/>
            <w:tcMar>
              <w:top w:w="0" w:type="dxa"/>
              <w:left w:w="28" w:type="dxa"/>
              <w:bottom w:w="0" w:type="dxa"/>
              <w:right w:w="28" w:type="dxa"/>
            </w:tcMar>
          </w:tcPr>
          <w:p w14:paraId="20067932" w14:textId="77777777" w:rsidR="001427C4" w:rsidRPr="00526DF7" w:rsidRDefault="001427C4" w:rsidP="00526DF7">
            <w:pPr>
              <w:spacing w:before="60" w:after="60" w:line="220" w:lineRule="atLeast"/>
              <w:rPr>
                <w:sz w:val="18"/>
                <w:szCs w:val="18"/>
              </w:rPr>
            </w:pPr>
          </w:p>
        </w:tc>
      </w:tr>
      <w:tr w:rsidR="001427C4" w:rsidRPr="00526DF7" w14:paraId="65D8B970" w14:textId="77777777" w:rsidTr="00526DF7">
        <w:tc>
          <w:tcPr>
            <w:tcW w:w="1125" w:type="dxa"/>
            <w:tcMar>
              <w:top w:w="0" w:type="dxa"/>
              <w:left w:w="28" w:type="dxa"/>
              <w:bottom w:w="0" w:type="dxa"/>
              <w:right w:w="28" w:type="dxa"/>
            </w:tcMar>
          </w:tcPr>
          <w:p w14:paraId="2547C673" w14:textId="77777777" w:rsidR="001427C4" w:rsidRPr="00526DF7" w:rsidRDefault="001427C4" w:rsidP="00526DF7">
            <w:pPr>
              <w:spacing w:before="60" w:after="60" w:line="220" w:lineRule="atLeast"/>
              <w:rPr>
                <w:sz w:val="18"/>
                <w:szCs w:val="18"/>
              </w:rPr>
            </w:pPr>
            <w:r w:rsidRPr="00526DF7">
              <w:rPr>
                <w:sz w:val="18"/>
                <w:szCs w:val="18"/>
              </w:rPr>
              <w:t>9.2.4.5</w:t>
            </w:r>
          </w:p>
        </w:tc>
        <w:tc>
          <w:tcPr>
            <w:tcW w:w="2189" w:type="dxa"/>
            <w:tcMar>
              <w:top w:w="0" w:type="dxa"/>
              <w:left w:w="28" w:type="dxa"/>
              <w:bottom w:w="0" w:type="dxa"/>
              <w:right w:w="28" w:type="dxa"/>
            </w:tcMar>
          </w:tcPr>
          <w:p w14:paraId="4D94EAD1" w14:textId="77777777" w:rsidR="001427C4" w:rsidRPr="00526DF7" w:rsidRDefault="001427C4" w:rsidP="00526DF7">
            <w:pPr>
              <w:spacing w:before="60" w:after="60" w:line="220" w:lineRule="atLeast"/>
              <w:rPr>
                <w:sz w:val="18"/>
                <w:szCs w:val="18"/>
              </w:rPr>
            </w:pPr>
            <w:r w:rsidRPr="00526DF7">
              <w:rPr>
                <w:sz w:val="18"/>
                <w:szCs w:val="18"/>
              </w:rPr>
              <w:t>Водородный топливный элемент</w:t>
            </w:r>
          </w:p>
        </w:tc>
        <w:tc>
          <w:tcPr>
            <w:tcW w:w="469" w:type="dxa"/>
            <w:tcMar>
              <w:top w:w="0" w:type="dxa"/>
              <w:left w:w="28" w:type="dxa"/>
              <w:bottom w:w="0" w:type="dxa"/>
              <w:right w:w="28" w:type="dxa"/>
            </w:tcMar>
          </w:tcPr>
          <w:p w14:paraId="650120E0" w14:textId="77777777" w:rsidR="001427C4" w:rsidRPr="00526DF7" w:rsidRDefault="001427C4" w:rsidP="00526DF7">
            <w:pPr>
              <w:spacing w:before="60" w:after="60" w:line="220" w:lineRule="atLeast"/>
              <w:jc w:val="center"/>
              <w:rPr>
                <w:sz w:val="18"/>
                <w:szCs w:val="18"/>
              </w:rPr>
            </w:pPr>
          </w:p>
        </w:tc>
        <w:tc>
          <w:tcPr>
            <w:tcW w:w="469" w:type="dxa"/>
            <w:tcMar>
              <w:top w:w="0" w:type="dxa"/>
              <w:left w:w="28" w:type="dxa"/>
              <w:bottom w:w="0" w:type="dxa"/>
              <w:right w:w="28" w:type="dxa"/>
            </w:tcMar>
          </w:tcPr>
          <w:p w14:paraId="7757201E" w14:textId="77777777" w:rsidR="001427C4" w:rsidRPr="00526DF7" w:rsidRDefault="001427C4" w:rsidP="00526DF7">
            <w:pPr>
              <w:spacing w:before="60" w:after="60" w:line="220" w:lineRule="atLeast"/>
              <w:jc w:val="center"/>
              <w:rPr>
                <w:sz w:val="18"/>
                <w:szCs w:val="18"/>
              </w:rPr>
            </w:pPr>
          </w:p>
        </w:tc>
        <w:tc>
          <w:tcPr>
            <w:tcW w:w="475" w:type="dxa"/>
            <w:tcMar>
              <w:top w:w="0" w:type="dxa"/>
              <w:left w:w="28" w:type="dxa"/>
              <w:bottom w:w="0" w:type="dxa"/>
              <w:right w:w="28" w:type="dxa"/>
            </w:tcMar>
          </w:tcPr>
          <w:p w14:paraId="64780A92"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505" w:type="dxa"/>
            <w:tcMar>
              <w:top w:w="0" w:type="dxa"/>
              <w:left w:w="28" w:type="dxa"/>
              <w:bottom w:w="0" w:type="dxa"/>
              <w:right w:w="28" w:type="dxa"/>
            </w:tcMar>
          </w:tcPr>
          <w:p w14:paraId="6C3A5DA0" w14:textId="77777777" w:rsidR="001427C4" w:rsidRPr="00526DF7" w:rsidRDefault="001427C4" w:rsidP="00526DF7">
            <w:pPr>
              <w:spacing w:before="60" w:after="60" w:line="220" w:lineRule="atLeast"/>
              <w:jc w:val="center"/>
              <w:rPr>
                <w:sz w:val="18"/>
                <w:szCs w:val="18"/>
              </w:rPr>
            </w:pPr>
            <w:r w:rsidRPr="00526DF7">
              <w:rPr>
                <w:sz w:val="18"/>
                <w:szCs w:val="18"/>
              </w:rPr>
              <w:t>X</w:t>
            </w:r>
          </w:p>
        </w:tc>
        <w:tc>
          <w:tcPr>
            <w:tcW w:w="3272" w:type="dxa"/>
            <w:tcMar>
              <w:top w:w="0" w:type="dxa"/>
              <w:left w:w="28" w:type="dxa"/>
              <w:bottom w:w="0" w:type="dxa"/>
              <w:right w:w="28" w:type="dxa"/>
            </w:tcMar>
          </w:tcPr>
          <w:p w14:paraId="1626B41F" w14:textId="77777777" w:rsidR="001427C4" w:rsidRPr="00526DF7" w:rsidRDefault="001427C4" w:rsidP="00526DF7">
            <w:pPr>
              <w:spacing w:before="60" w:after="60" w:line="220" w:lineRule="atLeast"/>
              <w:rPr>
                <w:sz w:val="18"/>
                <w:szCs w:val="18"/>
              </w:rPr>
            </w:pPr>
          </w:p>
        </w:tc>
      </w:tr>
    </w:tbl>
    <w:p w14:paraId="464EF606" w14:textId="77777777" w:rsidR="001427C4" w:rsidRPr="00FD5B12" w:rsidRDefault="001427C4" w:rsidP="001427C4">
      <w:pPr>
        <w:pStyle w:val="Bullet1G"/>
        <w:numPr>
          <w:ilvl w:val="0"/>
          <w:numId w:val="22"/>
        </w:numPr>
        <w:suppressAutoHyphens w:val="0"/>
        <w:spacing w:before="120"/>
      </w:pPr>
      <w:r w:rsidRPr="00FD5B12">
        <w:t xml:space="preserve">Изменить нумерацию пунктов 9.2.4.8–9.2.4.8.6 на 9.2.5–9.2.5.6. Перенумеровать замечание </w:t>
      </w:r>
      <w:r w:rsidRPr="00FD5B12">
        <w:rPr>
          <w:vertAlign w:val="superscript"/>
        </w:rPr>
        <w:t>h</w:t>
      </w:r>
      <w:r w:rsidRPr="00FD5B12">
        <w:t xml:space="preserve"> в </w:t>
      </w:r>
      <w:r w:rsidRPr="00FD5B12">
        <w:rPr>
          <w:vertAlign w:val="superscript"/>
        </w:rPr>
        <w:t>j</w:t>
      </w:r>
      <w:r w:rsidRPr="00FD5B12">
        <w:t>.</w:t>
      </w:r>
    </w:p>
    <w:p w14:paraId="5E411314" w14:textId="7F845FFF" w:rsidR="001427C4" w:rsidRPr="00FD5B12" w:rsidRDefault="001427C4" w:rsidP="001427C4">
      <w:pPr>
        <w:pStyle w:val="Bullet1G"/>
        <w:numPr>
          <w:ilvl w:val="0"/>
          <w:numId w:val="22"/>
        </w:numPr>
        <w:suppressAutoHyphens w:val="0"/>
      </w:pPr>
      <w:r w:rsidRPr="00FD5B12">
        <w:t xml:space="preserve">Изменить нумерацию пунктов 9.2.5–9.2.7 на 9.2.6–9.2.8. Перенумеровать замечания </w:t>
      </w:r>
      <w:r w:rsidRPr="00FD5B12">
        <w:rPr>
          <w:vertAlign w:val="superscript"/>
        </w:rPr>
        <w:t>i</w:t>
      </w:r>
      <w:r w:rsidRPr="00FD5B12">
        <w:t xml:space="preserve"> и </w:t>
      </w:r>
      <w:r w:rsidRPr="00FD5B12">
        <w:rPr>
          <w:vertAlign w:val="superscript"/>
        </w:rPr>
        <w:t xml:space="preserve">j </w:t>
      </w:r>
      <w:r w:rsidRPr="00FD5B12">
        <w:t xml:space="preserve">в </w:t>
      </w:r>
      <w:r w:rsidRPr="00FD5B12">
        <w:rPr>
          <w:vertAlign w:val="superscript"/>
        </w:rPr>
        <w:t>k</w:t>
      </w:r>
      <w:r w:rsidRPr="00FD5B12">
        <w:t xml:space="preserve"> и </w:t>
      </w:r>
      <w:r w:rsidRPr="00FD5B12">
        <w:rPr>
          <w:vertAlign w:val="superscript"/>
        </w:rPr>
        <w:t>l</w:t>
      </w:r>
      <w:r w:rsidRPr="00FD5B12">
        <w:t>.</w:t>
      </w:r>
    </w:p>
    <w:p w14:paraId="0185CA60" w14:textId="73C959F4" w:rsidR="001427C4" w:rsidRPr="00FD5B12" w:rsidRDefault="001427C4" w:rsidP="001427C4">
      <w:pPr>
        <w:pStyle w:val="SingleTxtG"/>
        <w:tabs>
          <w:tab w:val="clear" w:pos="1701"/>
        </w:tabs>
        <w:ind w:left="2268" w:hanging="1134"/>
      </w:pPr>
      <w:r w:rsidRPr="00FD5B12">
        <w:t>9.2.2.1</w:t>
      </w:r>
      <w:r w:rsidRPr="00FD5B12">
        <w:tab/>
        <w:t xml:space="preserve">Во втором абзаце исключить </w:t>
      </w:r>
      <w:r>
        <w:t>«</w:t>
      </w:r>
      <w:r w:rsidRPr="00FD5B12">
        <w:t xml:space="preserve">, за исключением электрического привода, соответствующего техническим положениям Правил </w:t>
      </w:r>
      <w:r w:rsidR="0040379B">
        <w:t>№ </w:t>
      </w:r>
      <w:r w:rsidRPr="00FD5B12">
        <w:t>100 ООН</w:t>
      </w:r>
      <w:r w:rsidRPr="00FD5B12">
        <w:rPr>
          <w:vertAlign w:val="superscript"/>
        </w:rPr>
        <w:t>1</w:t>
      </w:r>
      <w:r w:rsidRPr="00FD5B12">
        <w:t xml:space="preserve"> с поправками по крайней мере серии 03,</w:t>
      </w:r>
      <w:r>
        <w:t>»</w:t>
      </w:r>
      <w:r w:rsidRPr="00FD5B12">
        <w:t>.</w:t>
      </w:r>
    </w:p>
    <w:p w14:paraId="04B16BC4" w14:textId="4EC4BC5B" w:rsidR="001427C4" w:rsidRPr="00FD5B12" w:rsidRDefault="001427C4" w:rsidP="001427C4">
      <w:pPr>
        <w:pStyle w:val="SingleTxtG"/>
        <w:tabs>
          <w:tab w:val="clear" w:pos="1701"/>
        </w:tabs>
        <w:ind w:left="2268" w:hanging="1134"/>
      </w:pPr>
      <w:r w:rsidRPr="00FD5B12">
        <w:tab/>
        <w:t xml:space="preserve">Добавить новый третий абзац следующего содержания: </w:t>
      </w:r>
      <w:r>
        <w:t>«</w:t>
      </w:r>
      <w:r w:rsidRPr="00FD5B12">
        <w:t>Электрический привод и гальванически соединенные с ним высоковольтные компоненты, соответствующие техническим положениям Правил</w:t>
      </w:r>
      <w:r w:rsidR="00526DF7">
        <w:t xml:space="preserve"> </w:t>
      </w:r>
      <w:r w:rsidR="0040379B">
        <w:t>№ </w:t>
      </w:r>
      <w:r w:rsidRPr="00FD5B12">
        <w:t>100</w:t>
      </w:r>
      <w:r w:rsidRPr="0006745D">
        <w:rPr>
          <w:vertAlign w:val="superscript"/>
        </w:rPr>
        <w:t xml:space="preserve">1 </w:t>
      </w:r>
      <w:r w:rsidRPr="00FD5B12">
        <w:t>ООН с поправками не ниже серии 03, не обязательно должны соответствовать</w:t>
      </w:r>
      <w:r>
        <w:t xml:space="preserve"> также</w:t>
      </w:r>
      <w:r w:rsidRPr="00FD5B12">
        <w:t xml:space="preserve"> положениям пунктов 9.2.2.2–9.2.2.7</w:t>
      </w:r>
      <w:r>
        <w:t>»</w:t>
      </w:r>
      <w:r w:rsidRPr="00FD5B12">
        <w:t xml:space="preserve">. </w:t>
      </w:r>
    </w:p>
    <w:p w14:paraId="257FFC19" w14:textId="5A343BB6" w:rsidR="001427C4" w:rsidRPr="00FD5B12" w:rsidRDefault="001427C4" w:rsidP="00526DF7">
      <w:pPr>
        <w:pStyle w:val="SingleTxtG"/>
        <w:tabs>
          <w:tab w:val="clear" w:pos="1701"/>
        </w:tabs>
        <w:ind w:left="2268" w:hanging="1134"/>
      </w:pPr>
      <w:r w:rsidRPr="00FD5B12">
        <w:t>9.2.2.3</w:t>
      </w:r>
      <w:r>
        <w:tab/>
      </w:r>
      <w:r w:rsidRPr="00FD5B12">
        <w:t xml:space="preserve">В конце перечня заменить точку на точку с запятой и добавить новый </w:t>
      </w:r>
      <w:r>
        <w:t>отступ с тире</w:t>
      </w:r>
      <w:r w:rsidRPr="00FD5B12">
        <w:t xml:space="preserve"> следующего содержания: </w:t>
      </w:r>
      <w:r>
        <w:t>«</w:t>
      </w:r>
      <w:r w:rsidR="00526DF7">
        <w:t>—</w:t>
      </w:r>
      <w:r w:rsidRPr="00FD5B12">
        <w:t xml:space="preserve"> от аккумуляторной батареи до электрического оборудования рулевого управления</w:t>
      </w:r>
      <w:r>
        <w:t>»</w:t>
      </w:r>
      <w:r w:rsidRPr="00FD5B12">
        <w:t xml:space="preserve">. </w:t>
      </w:r>
    </w:p>
    <w:p w14:paraId="39F70B67" w14:textId="30D30BEB" w:rsidR="001427C4" w:rsidRPr="00FD5B12" w:rsidRDefault="001427C4" w:rsidP="001427C4">
      <w:pPr>
        <w:pStyle w:val="SingleTxtG"/>
        <w:ind w:left="2268" w:hanging="1134"/>
      </w:pPr>
      <w:r w:rsidRPr="00FD5B12">
        <w:t>9.2.3.1.1</w:t>
      </w:r>
      <w:r w:rsidRPr="00FD5B12">
        <w:tab/>
        <w:t xml:space="preserve">Добавить новый второй абзац следующего содержания: </w:t>
      </w:r>
      <w:r>
        <w:t>«</w:t>
      </w:r>
      <w:r w:rsidRPr="00FD5B12">
        <w:t>Прицепы с рекуперативным торможением или электрическим приводом не допускаются</w:t>
      </w:r>
      <w:r>
        <w:t>»</w:t>
      </w:r>
      <w:r w:rsidRPr="00FD5B12">
        <w:t xml:space="preserve">. </w:t>
      </w:r>
      <w:bookmarkStart w:id="0" w:name="_Hlk144484245"/>
      <w:bookmarkEnd w:id="0"/>
    </w:p>
    <w:p w14:paraId="557D516F" w14:textId="77777777" w:rsidR="001427C4" w:rsidRPr="00FD5B12" w:rsidRDefault="001427C4" w:rsidP="001427C4">
      <w:pPr>
        <w:pStyle w:val="SingleTxtG"/>
        <w:tabs>
          <w:tab w:val="clear" w:pos="1701"/>
        </w:tabs>
        <w:ind w:left="2268" w:hanging="1134"/>
      </w:pPr>
      <w:r w:rsidRPr="00FD5B12">
        <w:t>9.2.3</w:t>
      </w:r>
      <w:r w:rsidRPr="00FD5B12">
        <w:tab/>
        <w:t>Перенести текст существующего пункта 9.2.4.7 в новый пункт 9.2.3.3.</w:t>
      </w:r>
    </w:p>
    <w:p w14:paraId="43A9FDC5" w14:textId="003BD846" w:rsidR="001427C4" w:rsidRPr="00FD5B12" w:rsidRDefault="001427C4" w:rsidP="001427C4">
      <w:pPr>
        <w:pStyle w:val="SingleTxtG"/>
        <w:tabs>
          <w:tab w:val="clear" w:pos="1701"/>
        </w:tabs>
        <w:ind w:left="2268" w:hanging="1134"/>
      </w:pPr>
      <w:r w:rsidRPr="00FD5B12">
        <w:t>9.2.4</w:t>
      </w:r>
      <w:r w:rsidRPr="00FD5B12">
        <w:tab/>
        <w:t xml:space="preserve">Изменить заголовок следующим образом: </w:t>
      </w:r>
      <w:r>
        <w:t>«</w:t>
      </w:r>
      <w:r w:rsidRPr="00430A56">
        <w:rPr>
          <w:b/>
          <w:bCs/>
        </w:rPr>
        <w:t>Силовая установка транспортного средства</w:t>
      </w:r>
      <w:r>
        <w:t>»</w:t>
      </w:r>
      <w:r w:rsidRPr="00FD5B12">
        <w:t>.</w:t>
      </w:r>
    </w:p>
    <w:p w14:paraId="6B793E5D" w14:textId="77777777" w:rsidR="001427C4" w:rsidRPr="00FD5B12" w:rsidRDefault="001427C4" w:rsidP="001427C4">
      <w:pPr>
        <w:pStyle w:val="SingleTxtG"/>
        <w:tabs>
          <w:tab w:val="clear" w:pos="1701"/>
        </w:tabs>
        <w:ind w:left="2268" w:hanging="1134"/>
      </w:pPr>
      <w:r w:rsidRPr="00FD5B12">
        <w:t>9.2.4.1</w:t>
      </w:r>
      <w:r w:rsidRPr="00FD5B12">
        <w:tab/>
        <w:t xml:space="preserve">Добавить новый второй абзац следующего содержания: </w:t>
      </w:r>
    </w:p>
    <w:p w14:paraId="255A60C9" w14:textId="56714D58" w:rsidR="001427C4" w:rsidRPr="00FD5B12" w:rsidRDefault="001427C4" w:rsidP="001427C4">
      <w:pPr>
        <w:pStyle w:val="SingleTxtG"/>
        <w:tabs>
          <w:tab w:val="clear" w:pos="1701"/>
          <w:tab w:val="clear" w:pos="2268"/>
        </w:tabs>
      </w:pPr>
      <w:r>
        <w:t>«</w:t>
      </w:r>
      <w:r w:rsidRPr="00FD5B12">
        <w:t>Гибридные транспортные средства, оснащенные двигателем внутреннего сгорания и электрическим приводом, должны отвечать соответствующим положениям пунктов</w:t>
      </w:r>
      <w:r w:rsidR="00526DF7">
        <w:t> </w:t>
      </w:r>
      <w:r w:rsidRPr="00FD5B12">
        <w:t>9.2.4.2–9.2.4.5</w:t>
      </w:r>
      <w:r>
        <w:t>»</w:t>
      </w:r>
      <w:r w:rsidRPr="00FD5B12">
        <w:t xml:space="preserve">. </w:t>
      </w:r>
    </w:p>
    <w:p w14:paraId="173FC12F" w14:textId="77777777" w:rsidR="001427C4" w:rsidRPr="00FD5B12" w:rsidRDefault="001427C4" w:rsidP="001427C4">
      <w:pPr>
        <w:pStyle w:val="SingleTxtG"/>
        <w:tabs>
          <w:tab w:val="clear" w:pos="1701"/>
        </w:tabs>
        <w:ind w:left="2268" w:hanging="1134"/>
      </w:pPr>
      <w:r w:rsidRPr="00FD5B12">
        <w:t>9.2.4.2</w:t>
      </w:r>
      <w:r w:rsidRPr="00FD5B12">
        <w:tab/>
        <w:t>Исключить.</w:t>
      </w:r>
    </w:p>
    <w:p w14:paraId="03E2EA77" w14:textId="77777777" w:rsidR="001427C4" w:rsidRPr="00FD5B12" w:rsidRDefault="001427C4" w:rsidP="001427C4">
      <w:pPr>
        <w:pStyle w:val="SingleTxtG"/>
        <w:tabs>
          <w:tab w:val="clear" w:pos="1701"/>
        </w:tabs>
        <w:ind w:left="2268" w:hanging="1134"/>
      </w:pPr>
      <w:r w:rsidRPr="00FD5B12">
        <w:t>9.2.4.3</w:t>
      </w:r>
      <w:r w:rsidRPr="00FD5B12">
        <w:tab/>
        <w:t>Перенумеровать в 9.2.4.2 и изменить следующим образом:</w:t>
      </w:r>
    </w:p>
    <w:p w14:paraId="33498829" w14:textId="77777777" w:rsidR="001427C4" w:rsidRPr="00FD5B12" w:rsidRDefault="001427C4" w:rsidP="001427C4">
      <w:pPr>
        <w:pStyle w:val="Bullet1G"/>
        <w:numPr>
          <w:ilvl w:val="0"/>
          <w:numId w:val="22"/>
        </w:numPr>
        <w:suppressAutoHyphens w:val="0"/>
      </w:pPr>
      <w:r w:rsidRPr="00FD5B12">
        <w:t>Исключить примечание.</w:t>
      </w:r>
    </w:p>
    <w:p w14:paraId="26F957D3" w14:textId="1317E7FE" w:rsidR="001427C4" w:rsidRPr="00FD5B12" w:rsidRDefault="001427C4" w:rsidP="001427C4">
      <w:pPr>
        <w:pStyle w:val="Bullet1G"/>
        <w:numPr>
          <w:ilvl w:val="0"/>
          <w:numId w:val="22"/>
        </w:numPr>
        <w:suppressAutoHyphens w:val="0"/>
      </w:pPr>
      <w:r w:rsidRPr="00FD5B12">
        <w:t xml:space="preserve">В первом абзаце после </w:t>
      </w:r>
      <w:r>
        <w:t>«</w:t>
      </w:r>
      <w:r w:rsidRPr="00FD5B12">
        <w:t>двигатель</w:t>
      </w:r>
      <w:r>
        <w:t>»</w:t>
      </w:r>
      <w:r w:rsidRPr="00FD5B12">
        <w:t xml:space="preserve"> добавить </w:t>
      </w:r>
      <w:r>
        <w:t>«</w:t>
      </w:r>
      <w:r w:rsidRPr="00FD5B12">
        <w:t>либо топливный элемент</w:t>
      </w:r>
      <w:r>
        <w:t>»</w:t>
      </w:r>
      <w:r w:rsidRPr="00FD5B12">
        <w:t>.</w:t>
      </w:r>
    </w:p>
    <w:p w14:paraId="46AB05B4" w14:textId="77777777" w:rsidR="001427C4" w:rsidRPr="00FD5B12" w:rsidRDefault="001427C4" w:rsidP="001427C4">
      <w:pPr>
        <w:pStyle w:val="Bullet1G"/>
        <w:numPr>
          <w:ilvl w:val="0"/>
          <w:numId w:val="22"/>
        </w:numPr>
        <w:suppressAutoHyphens w:val="0"/>
      </w:pPr>
      <w:r w:rsidRPr="00FD5B12">
        <w:t>Перенести последние два предложения подпункта b) в новые подпункты c) и d). После этих подпунктов добавить новый подпункт e) следующего содержания:</w:t>
      </w:r>
    </w:p>
    <w:p w14:paraId="2A06B23E" w14:textId="5631E962" w:rsidR="001427C4" w:rsidRPr="00FD5B12" w:rsidRDefault="001427C4" w:rsidP="00526DF7">
      <w:pPr>
        <w:pStyle w:val="SingleTxtG"/>
        <w:tabs>
          <w:tab w:val="clear" w:pos="1701"/>
        </w:tabs>
      </w:pPr>
      <w:r>
        <w:t>«</w:t>
      </w:r>
      <w:r w:rsidRPr="00FD5B12">
        <w:t>e)</w:t>
      </w:r>
      <w:r w:rsidRPr="00FD5B12">
        <w:tab/>
        <w:t xml:space="preserve">Топливные баки и баллоны для </w:t>
      </w:r>
      <w:r w:rsidRPr="00526DF7">
        <w:t>водорода</w:t>
      </w:r>
      <w:r w:rsidRPr="00FD5B12">
        <w:t xml:space="preserve"> должны отвечать соответствующим требованиям Правил </w:t>
      </w:r>
      <w:r w:rsidR="0040379B">
        <w:t>№ </w:t>
      </w:r>
      <w:r w:rsidRPr="00FD5B12">
        <w:t>134</w:t>
      </w:r>
      <w:r w:rsidRPr="00FD5B12">
        <w:rPr>
          <w:vertAlign w:val="superscript"/>
        </w:rPr>
        <w:t>9</w:t>
      </w:r>
      <w:r w:rsidRPr="00FD5B12">
        <w:t xml:space="preserve"> ООН с поправками не ниже серии 02, а резервуары для жидкого водорода — техническим положениям Глобальных технических правил </w:t>
      </w:r>
      <w:r w:rsidR="0040379B">
        <w:t>№ </w:t>
      </w:r>
      <w:r w:rsidRPr="00FD5B12">
        <w:t>13</w:t>
      </w:r>
      <w:r w:rsidRPr="00FD5B12">
        <w:rPr>
          <w:vertAlign w:val="superscript"/>
        </w:rPr>
        <w:t>10</w:t>
      </w:r>
      <w:r w:rsidRPr="00FD5B12">
        <w:t xml:space="preserve"> ООН, поправка 1, часть 7</w:t>
      </w:r>
      <w:r>
        <w:t>»</w:t>
      </w:r>
      <w:r w:rsidRPr="00FD5B12">
        <w:t xml:space="preserve">. </w:t>
      </w:r>
    </w:p>
    <w:p w14:paraId="5DF0C4EC" w14:textId="66FCFE7B" w:rsidR="001427C4" w:rsidRPr="00FD5B12" w:rsidRDefault="001427C4" w:rsidP="001427C4">
      <w:pPr>
        <w:pStyle w:val="Bullet1G"/>
        <w:numPr>
          <w:ilvl w:val="0"/>
          <w:numId w:val="22"/>
        </w:numPr>
        <w:suppressAutoHyphens w:val="0"/>
      </w:pPr>
      <w:r w:rsidRPr="00FD5B12">
        <w:lastRenderedPageBreak/>
        <w:t xml:space="preserve">Добавить новую сноску </w:t>
      </w:r>
      <w:r w:rsidRPr="00FD5B12">
        <w:rPr>
          <w:vertAlign w:val="superscript"/>
        </w:rPr>
        <w:t>9</w:t>
      </w:r>
      <w:r w:rsidRPr="00FD5B12">
        <w:t xml:space="preserve"> следующего содержания: </w:t>
      </w:r>
      <w:r>
        <w:t>«</w:t>
      </w:r>
      <w:r w:rsidRPr="00FD5B12">
        <w:rPr>
          <w:vertAlign w:val="superscript"/>
        </w:rPr>
        <w:t>9</w:t>
      </w:r>
      <w:r w:rsidRPr="00FD5B12">
        <w:t xml:space="preserve"> </w:t>
      </w:r>
      <w:r w:rsidRPr="00201532">
        <w:rPr>
          <w:i/>
          <w:iCs/>
        </w:rPr>
        <w:t xml:space="preserve">Правила </w:t>
      </w:r>
      <w:r w:rsidR="0040379B">
        <w:rPr>
          <w:i/>
          <w:iCs/>
        </w:rPr>
        <w:t>№ </w:t>
      </w:r>
      <w:r w:rsidRPr="00201532">
        <w:rPr>
          <w:i/>
          <w:iCs/>
        </w:rPr>
        <w:t>134 ООН (Единообразные предписания, касающиеся официального утверждения автотранспортных средств и их элементов оборудования в отношении связанных с обеспечением безопасности эксплуатационных характеристик транспортных средств, работающих на водороде)</w:t>
      </w:r>
      <w:r>
        <w:t>»</w:t>
      </w:r>
      <w:r w:rsidRPr="00FD5B12">
        <w:t>.</w:t>
      </w:r>
    </w:p>
    <w:p w14:paraId="78BF67C0" w14:textId="42D59FA4" w:rsidR="001427C4" w:rsidRPr="00FD5B12" w:rsidRDefault="001427C4" w:rsidP="001427C4">
      <w:pPr>
        <w:pStyle w:val="Bullet1G"/>
        <w:numPr>
          <w:ilvl w:val="0"/>
          <w:numId w:val="22"/>
        </w:numPr>
        <w:suppressAutoHyphens w:val="0"/>
      </w:pPr>
      <w:r w:rsidRPr="00FD5B12">
        <w:t xml:space="preserve">Добавить новую сноску </w:t>
      </w:r>
      <w:r w:rsidRPr="00FD5B12">
        <w:rPr>
          <w:vertAlign w:val="superscript"/>
        </w:rPr>
        <w:t xml:space="preserve">10 </w:t>
      </w:r>
      <w:r w:rsidRPr="00FD5B12">
        <w:t xml:space="preserve">следующего содержания: </w:t>
      </w:r>
      <w:r>
        <w:t>«</w:t>
      </w:r>
      <w:r w:rsidRPr="00FD5B12">
        <w:rPr>
          <w:vertAlign w:val="superscript"/>
        </w:rPr>
        <w:t xml:space="preserve">10 </w:t>
      </w:r>
      <w:r w:rsidRPr="00201532">
        <w:rPr>
          <w:i/>
          <w:iCs/>
        </w:rPr>
        <w:t xml:space="preserve">Глобальные технические правила </w:t>
      </w:r>
      <w:r w:rsidR="0040379B">
        <w:rPr>
          <w:i/>
          <w:iCs/>
        </w:rPr>
        <w:t>№ </w:t>
      </w:r>
      <w:r w:rsidRPr="00201532">
        <w:rPr>
          <w:i/>
          <w:iCs/>
        </w:rPr>
        <w:t>13 ООН, касающиеся транспортных средств, работающих на водороде и топливных элементах</w:t>
      </w:r>
      <w:r>
        <w:t>»</w:t>
      </w:r>
      <w:r w:rsidRPr="00FD5B12">
        <w:t>.</w:t>
      </w:r>
    </w:p>
    <w:p w14:paraId="61FC1EAB" w14:textId="374422CA" w:rsidR="001427C4" w:rsidRPr="00FD5B12" w:rsidRDefault="001427C4" w:rsidP="001427C4">
      <w:pPr>
        <w:pStyle w:val="Bullet1G"/>
        <w:numPr>
          <w:ilvl w:val="0"/>
          <w:numId w:val="22"/>
        </w:numPr>
        <w:suppressAutoHyphens w:val="0"/>
      </w:pPr>
      <w:r w:rsidRPr="00FD5B12">
        <w:t xml:space="preserve">Перенумеровать подпункт c) в подпункт f) и в первом предложении после </w:t>
      </w:r>
      <w:r>
        <w:t>«</w:t>
      </w:r>
      <w:r w:rsidRPr="00FD5B12">
        <w:t>воздухозаборники двигателя</w:t>
      </w:r>
      <w:r>
        <w:t>»</w:t>
      </w:r>
      <w:r w:rsidRPr="00FD5B12">
        <w:t xml:space="preserve"> добавить </w:t>
      </w:r>
      <w:r>
        <w:t>«</w:t>
      </w:r>
      <w:r w:rsidRPr="00FD5B12">
        <w:t>, системы аккумулирования электрической энергии</w:t>
      </w:r>
      <w:r>
        <w:t xml:space="preserve"> или</w:t>
      </w:r>
      <w:r>
        <w:t>»</w:t>
      </w:r>
      <w:r w:rsidRPr="00FD5B12">
        <w:t>.</w:t>
      </w:r>
    </w:p>
    <w:p w14:paraId="203171F2" w14:textId="77777777" w:rsidR="001427C4" w:rsidRPr="00FD5B12" w:rsidRDefault="001427C4" w:rsidP="001427C4">
      <w:pPr>
        <w:pStyle w:val="SingleTxtG"/>
        <w:tabs>
          <w:tab w:val="clear" w:pos="1701"/>
        </w:tabs>
        <w:ind w:left="2268" w:hanging="1134"/>
      </w:pPr>
      <w:r w:rsidRPr="00FD5B12">
        <w:t>9.2.4.4</w:t>
      </w:r>
      <w:r w:rsidRPr="00FD5B12">
        <w:tab/>
        <w:t>Перенумеровать в 9.2.4.3 и изменить следующим образом:</w:t>
      </w:r>
    </w:p>
    <w:p w14:paraId="23ED1301" w14:textId="6E8821AC" w:rsidR="001427C4" w:rsidRPr="00383C02" w:rsidRDefault="001427C4" w:rsidP="00526DF7">
      <w:pPr>
        <w:pStyle w:val="SingleTxtG"/>
        <w:tabs>
          <w:tab w:val="clear" w:pos="1701"/>
        </w:tabs>
        <w:ind w:left="2268" w:hanging="1134"/>
        <w:rPr>
          <w:b/>
          <w:bCs/>
          <w:i/>
          <w:iCs/>
        </w:rPr>
      </w:pPr>
      <w:r>
        <w:t>«</w:t>
      </w:r>
      <w:r w:rsidRPr="00383C02">
        <w:rPr>
          <w:b/>
          <w:bCs/>
        </w:rPr>
        <w:t>9.2.4.3</w:t>
      </w:r>
      <w:r w:rsidRPr="00383C02">
        <w:rPr>
          <w:b/>
          <w:bCs/>
        </w:rPr>
        <w:tab/>
      </w:r>
      <w:r w:rsidRPr="00383C02">
        <w:rPr>
          <w:b/>
          <w:bCs/>
          <w:i/>
          <w:iCs/>
        </w:rPr>
        <w:t>Двигатель внутреннего сгорания</w:t>
      </w:r>
    </w:p>
    <w:p w14:paraId="58FEC8C8" w14:textId="77777777" w:rsidR="001427C4" w:rsidRPr="00FD5B12" w:rsidRDefault="001427C4" w:rsidP="00526DF7">
      <w:pPr>
        <w:pStyle w:val="SingleTxtG"/>
        <w:tabs>
          <w:tab w:val="clear" w:pos="1701"/>
        </w:tabs>
        <w:ind w:left="2268" w:hanging="1134"/>
        <w:rPr>
          <w:i/>
          <w:iCs/>
        </w:rPr>
      </w:pPr>
      <w:r w:rsidRPr="00FD5B12">
        <w:t>9.2.4.3.1</w:t>
      </w:r>
      <w:r w:rsidRPr="00FD5B12">
        <w:tab/>
      </w:r>
      <w:r w:rsidRPr="00383C02">
        <w:rPr>
          <w:i/>
          <w:iCs/>
        </w:rPr>
        <w:t>Двигатель</w:t>
      </w:r>
    </w:p>
    <w:p w14:paraId="41697C12" w14:textId="21528C27" w:rsidR="001427C4" w:rsidRPr="00FD5B12" w:rsidRDefault="001427C4" w:rsidP="00526DF7">
      <w:pPr>
        <w:pStyle w:val="SingleTxtG"/>
        <w:tabs>
          <w:tab w:val="clear" w:pos="1701"/>
        </w:tabs>
        <w:ind w:left="2268" w:hanging="1134"/>
      </w:pPr>
      <w:r>
        <w:tab/>
      </w:r>
      <w:r w:rsidRPr="00FD5B12">
        <w:t xml:space="preserve">Тяговый двигатель транспортного средства должен быть оборудован и расположен таким образом, чтобы исключалась любая опасность </w:t>
      </w:r>
      <w:r w:rsidRPr="006435EB">
        <w:t>для груза в результате нагрева или воспламенения</w:t>
      </w:r>
      <w:r w:rsidRPr="00FD5B12">
        <w:t>. Использование топлива допускается только в том случае, если соответствующие компоненты одобрены, а установка соответствует положениям раздела 9.2.2 и техническим требованиям:</w:t>
      </w:r>
    </w:p>
    <w:p w14:paraId="06C98919" w14:textId="57CF413B" w:rsidR="001427C4" w:rsidRPr="00FD5B12" w:rsidRDefault="00526DF7" w:rsidP="00526DF7">
      <w:pPr>
        <w:pStyle w:val="SingleTxtG"/>
        <w:tabs>
          <w:tab w:val="clear" w:pos="1701"/>
        </w:tabs>
        <w:ind w:left="2835" w:hanging="1701"/>
      </w:pPr>
      <w:r>
        <w:tab/>
      </w:r>
      <w:r w:rsidR="001427C4" w:rsidRPr="00FD5B12">
        <w:t>a)</w:t>
      </w:r>
      <w:r w:rsidR="001427C4" w:rsidRPr="00FD5B12">
        <w:tab/>
        <w:t xml:space="preserve">Правил </w:t>
      </w:r>
      <w:r w:rsidR="0040379B">
        <w:t>№ </w:t>
      </w:r>
      <w:r w:rsidR="001427C4" w:rsidRPr="00FD5B12">
        <w:t>110</w:t>
      </w:r>
      <w:r w:rsidR="001427C4" w:rsidRPr="00FD5B12">
        <w:rPr>
          <w:vertAlign w:val="superscript"/>
        </w:rPr>
        <w:t>7</w:t>
      </w:r>
      <w:r w:rsidR="001427C4" w:rsidRPr="00FD5B12">
        <w:t xml:space="preserve"> ООН для КПГ или СПГ,</w:t>
      </w:r>
    </w:p>
    <w:p w14:paraId="7C9D2D4A" w14:textId="1F6B544B" w:rsidR="001427C4" w:rsidRPr="00FD5B12" w:rsidRDefault="00526DF7" w:rsidP="00526DF7">
      <w:pPr>
        <w:pStyle w:val="SingleTxtG"/>
        <w:tabs>
          <w:tab w:val="clear" w:pos="1701"/>
        </w:tabs>
        <w:ind w:left="2835" w:hanging="1701"/>
      </w:pPr>
      <w:r>
        <w:tab/>
      </w:r>
      <w:r w:rsidR="001427C4" w:rsidRPr="00FD5B12">
        <w:t>b)</w:t>
      </w:r>
      <w:r w:rsidR="001427C4" w:rsidRPr="00FD5B12">
        <w:tab/>
        <w:t xml:space="preserve">Правил </w:t>
      </w:r>
      <w:r w:rsidR="0040379B">
        <w:t>№ </w:t>
      </w:r>
      <w:r w:rsidR="001427C4" w:rsidRPr="00FD5B12">
        <w:t>67</w:t>
      </w:r>
      <w:r w:rsidR="001427C4" w:rsidRPr="00FD5B12">
        <w:rPr>
          <w:vertAlign w:val="superscript"/>
        </w:rPr>
        <w:t>8</w:t>
      </w:r>
      <w:r w:rsidR="001427C4" w:rsidRPr="00FD5B12">
        <w:t xml:space="preserve"> ООН для СНГ,</w:t>
      </w:r>
    </w:p>
    <w:p w14:paraId="34DF6C57" w14:textId="23358D64" w:rsidR="001427C4" w:rsidRPr="00FD5B12" w:rsidRDefault="00526DF7" w:rsidP="00526DF7">
      <w:pPr>
        <w:pStyle w:val="SingleTxtG"/>
        <w:tabs>
          <w:tab w:val="clear" w:pos="1701"/>
        </w:tabs>
        <w:ind w:left="2835" w:hanging="1701"/>
      </w:pPr>
      <w:r>
        <w:tab/>
      </w:r>
      <w:r w:rsidR="001427C4" w:rsidRPr="00FD5B12">
        <w:t>c)</w:t>
      </w:r>
      <w:r w:rsidR="001427C4" w:rsidRPr="00FD5B12">
        <w:tab/>
        <w:t xml:space="preserve">Правил </w:t>
      </w:r>
      <w:r w:rsidR="0040379B">
        <w:t>№ </w:t>
      </w:r>
      <w:r w:rsidR="001427C4" w:rsidRPr="00FD5B12">
        <w:t>134</w:t>
      </w:r>
      <w:r w:rsidR="001427C4" w:rsidRPr="00FD5B12">
        <w:rPr>
          <w:vertAlign w:val="superscript"/>
        </w:rPr>
        <w:t>9</w:t>
      </w:r>
      <w:r w:rsidR="001427C4" w:rsidRPr="00FD5B12">
        <w:t xml:space="preserve"> ООН для сжатого водорода и Глобальных технических правил </w:t>
      </w:r>
      <w:r w:rsidR="0040379B">
        <w:t>№ </w:t>
      </w:r>
      <w:r w:rsidR="001427C4" w:rsidRPr="00FD5B12">
        <w:t>13</w:t>
      </w:r>
      <w:r w:rsidR="001427C4" w:rsidRPr="00FD5B12">
        <w:rPr>
          <w:vertAlign w:val="superscript"/>
        </w:rPr>
        <w:t>10</w:t>
      </w:r>
      <w:r w:rsidR="001427C4" w:rsidRPr="00FD5B12">
        <w:t>, поправка 1, для жидкого водорода в случае применимости.</w:t>
      </w:r>
    </w:p>
    <w:p w14:paraId="7A4C1434" w14:textId="4B959F1C" w:rsidR="001427C4" w:rsidRPr="00FD5B12" w:rsidRDefault="001427C4" w:rsidP="001427C4">
      <w:pPr>
        <w:pStyle w:val="SingleTxtG"/>
        <w:tabs>
          <w:tab w:val="clear" w:pos="1701"/>
        </w:tabs>
        <w:ind w:left="2268" w:hanging="1134"/>
      </w:pPr>
      <w:r w:rsidRPr="00FD5B12">
        <w:tab/>
        <w:t>В случае транспортных средств EX/II и EX/III в качестве двигателя должен использоваться двигатель с воспламенением от сжатия, работающий только на жидком топливе с температурой вспышки выше 55</w:t>
      </w:r>
      <w:r w:rsidR="00526DF7">
        <w:t> </w:t>
      </w:r>
      <w:r w:rsidRPr="00FD5B12">
        <w:t>°C. Использование газов не допускается</w:t>
      </w:r>
      <w:r>
        <w:t>»</w:t>
      </w:r>
      <w:r w:rsidRPr="00FD5B12">
        <w:t xml:space="preserve">. </w:t>
      </w:r>
    </w:p>
    <w:p w14:paraId="53AFFD7C" w14:textId="77777777" w:rsidR="001427C4" w:rsidRPr="00FD5B12" w:rsidRDefault="001427C4" w:rsidP="001427C4">
      <w:pPr>
        <w:pStyle w:val="SingleTxtG"/>
        <w:tabs>
          <w:tab w:val="clear" w:pos="1701"/>
        </w:tabs>
        <w:ind w:left="2268" w:hanging="1134"/>
      </w:pPr>
      <w:r w:rsidRPr="00FD5B12">
        <w:t>9.2.4.5</w:t>
      </w:r>
      <w:r w:rsidRPr="00FD5B12">
        <w:tab/>
        <w:t>Изменить нумерацию на 9.2.4.3.2 и соответствующим образом переформатировать заголовок.</w:t>
      </w:r>
    </w:p>
    <w:p w14:paraId="219C5BC9" w14:textId="77777777" w:rsidR="001427C4" w:rsidRPr="00FD5B12" w:rsidRDefault="001427C4" w:rsidP="001427C4">
      <w:pPr>
        <w:pStyle w:val="SingleTxtG"/>
        <w:tabs>
          <w:tab w:val="clear" w:pos="1701"/>
        </w:tabs>
        <w:ind w:left="2268" w:hanging="1134"/>
      </w:pPr>
      <w:r w:rsidRPr="00FD5B12">
        <w:t>9.2.4.6</w:t>
      </w:r>
      <w:r w:rsidRPr="00FD5B12">
        <w:tab/>
        <w:t>Перенумеровать в 9.2.4.4 и изменить следующим образом:</w:t>
      </w:r>
    </w:p>
    <w:p w14:paraId="0679EA6A" w14:textId="182F6654" w:rsidR="001427C4" w:rsidRPr="00B33B9B" w:rsidRDefault="001427C4" w:rsidP="00526DF7">
      <w:pPr>
        <w:pStyle w:val="SingleTxtG"/>
        <w:tabs>
          <w:tab w:val="clear" w:pos="1701"/>
        </w:tabs>
        <w:ind w:left="2268" w:hanging="1134"/>
        <w:rPr>
          <w:b/>
          <w:bCs/>
          <w:i/>
          <w:iCs/>
        </w:rPr>
      </w:pPr>
      <w:r>
        <w:t>«</w:t>
      </w:r>
      <w:r w:rsidRPr="00B33B9B">
        <w:rPr>
          <w:b/>
          <w:bCs/>
        </w:rPr>
        <w:t>9.2.4.4</w:t>
      </w:r>
      <w:r w:rsidRPr="00B33B9B">
        <w:rPr>
          <w:b/>
          <w:bCs/>
        </w:rPr>
        <w:tab/>
      </w:r>
      <w:r w:rsidRPr="00B33B9B">
        <w:rPr>
          <w:b/>
          <w:bCs/>
          <w:i/>
          <w:iCs/>
        </w:rPr>
        <w:t>Электрический привод</w:t>
      </w:r>
    </w:p>
    <w:p w14:paraId="0E22A76C" w14:textId="77777777" w:rsidR="001427C4" w:rsidRPr="00FD5B12" w:rsidRDefault="001427C4" w:rsidP="001427C4">
      <w:pPr>
        <w:pStyle w:val="SingleTxtG"/>
        <w:tabs>
          <w:tab w:val="clear" w:pos="1701"/>
        </w:tabs>
        <w:ind w:left="2268" w:hanging="1134"/>
      </w:pPr>
      <w:r w:rsidRPr="00FD5B12">
        <w:tab/>
        <w:t>Электрические приводы не должны использоваться на транспортных средствах EX. Прицепы с рекуперативным торможением или электрическим приводом не допускаются.</w:t>
      </w:r>
    </w:p>
    <w:p w14:paraId="627D9593" w14:textId="77777777" w:rsidR="001427C4" w:rsidRPr="00B33B9B" w:rsidRDefault="001427C4" w:rsidP="00526DF7">
      <w:pPr>
        <w:pStyle w:val="SingleTxtG"/>
        <w:tabs>
          <w:tab w:val="clear" w:pos="1701"/>
        </w:tabs>
        <w:ind w:left="2268" w:hanging="1134"/>
        <w:rPr>
          <w:i/>
          <w:iCs/>
        </w:rPr>
      </w:pPr>
      <w:r w:rsidRPr="00FD5B12">
        <w:t>9.2.4.4.1</w:t>
      </w:r>
      <w:r w:rsidRPr="00FD5B12">
        <w:tab/>
      </w:r>
      <w:r w:rsidRPr="00B33B9B">
        <w:rPr>
          <w:i/>
          <w:iCs/>
        </w:rPr>
        <w:t xml:space="preserve">Общие положения </w:t>
      </w:r>
    </w:p>
    <w:p w14:paraId="06E02337" w14:textId="732AA38E" w:rsidR="001427C4" w:rsidRPr="00FD5B12" w:rsidRDefault="001427C4" w:rsidP="001427C4">
      <w:pPr>
        <w:pStyle w:val="SingleTxtG"/>
        <w:tabs>
          <w:tab w:val="clear" w:pos="1701"/>
        </w:tabs>
        <w:ind w:left="2268" w:hanging="1134"/>
      </w:pPr>
      <w:r w:rsidRPr="00FD5B12">
        <w:tab/>
        <w:t xml:space="preserve">Электрический привод должен отвечать требованиям Правил </w:t>
      </w:r>
      <w:r w:rsidR="0040379B">
        <w:t>№ </w:t>
      </w:r>
      <w:r w:rsidRPr="00FD5B12">
        <w:t>100</w:t>
      </w:r>
      <w:r w:rsidRPr="00FD5B12">
        <w:rPr>
          <w:vertAlign w:val="superscript"/>
        </w:rPr>
        <w:t xml:space="preserve">1 </w:t>
      </w:r>
      <w:r w:rsidRPr="00FD5B12">
        <w:t>ООН с поправками не ниже серии 03.</w:t>
      </w:r>
    </w:p>
    <w:p w14:paraId="5FB39D4A" w14:textId="77777777" w:rsidR="001427C4" w:rsidRPr="00FD5B12" w:rsidRDefault="001427C4" w:rsidP="001427C4">
      <w:pPr>
        <w:pStyle w:val="SingleTxtG"/>
        <w:tabs>
          <w:tab w:val="clear" w:pos="1701"/>
        </w:tabs>
        <w:ind w:left="2268" w:hanging="1134"/>
      </w:pPr>
      <w:r w:rsidRPr="00FD5B12">
        <w:tab/>
        <w:t>Транспортные средства с электрическим приводом должны быть оборудованы системой контроля за сопротивлением изоляции.</w:t>
      </w:r>
    </w:p>
    <w:p w14:paraId="08A61573" w14:textId="0E98788D" w:rsidR="001427C4" w:rsidRPr="00FD5B12" w:rsidRDefault="001427C4" w:rsidP="001427C4">
      <w:pPr>
        <w:pStyle w:val="SingleTxtG"/>
        <w:tabs>
          <w:tab w:val="clear" w:pos="1701"/>
        </w:tabs>
        <w:ind w:left="2268" w:hanging="1134"/>
      </w:pPr>
      <w:r w:rsidRPr="00FD5B12">
        <w:tab/>
        <w:t xml:space="preserve">В неподвижном состоянии транспортное средство должно подавать внешние сигналы в дополнение к предупреждающему сигналу, который подается водителю в кабине в соответствии с требованиями пункта 6.15.1 Правил </w:t>
      </w:r>
      <w:r w:rsidR="0040379B">
        <w:t>№ </w:t>
      </w:r>
      <w:r w:rsidRPr="00FD5B12">
        <w:t>100</w:t>
      </w:r>
      <w:r w:rsidRPr="00FD5B12">
        <w:rPr>
          <w:vertAlign w:val="superscript"/>
        </w:rPr>
        <w:t>1</w:t>
      </w:r>
      <w:r w:rsidRPr="00FD5B12">
        <w:t xml:space="preserve"> ООН с поправками не ниже серии 03.</w:t>
      </w:r>
    </w:p>
    <w:p w14:paraId="66919007" w14:textId="77777777" w:rsidR="001427C4" w:rsidRPr="00FD5B12" w:rsidRDefault="001427C4" w:rsidP="00526DF7">
      <w:pPr>
        <w:pStyle w:val="SingleTxtG"/>
        <w:keepNext/>
        <w:tabs>
          <w:tab w:val="clear" w:pos="1701"/>
        </w:tabs>
        <w:ind w:left="2268" w:hanging="1134"/>
        <w:rPr>
          <w:i/>
          <w:iCs/>
        </w:rPr>
      </w:pPr>
      <w:r w:rsidRPr="00FD5B12">
        <w:lastRenderedPageBreak/>
        <w:t>9.2.4.4.2</w:t>
      </w:r>
      <w:r w:rsidRPr="00FD5B12">
        <w:tab/>
      </w:r>
      <w:r w:rsidRPr="00FD5B12">
        <w:rPr>
          <w:i/>
          <w:iCs/>
        </w:rPr>
        <w:t>Перезаряжаемая система аккумулирования электрической энергии (ПСАЭЭ)</w:t>
      </w:r>
      <w:bookmarkStart w:id="1" w:name="_Hlk142650461"/>
      <w:bookmarkEnd w:id="1"/>
    </w:p>
    <w:p w14:paraId="794F3FAC" w14:textId="77777777" w:rsidR="001427C4" w:rsidRPr="00FD5B12" w:rsidRDefault="001427C4" w:rsidP="001427C4">
      <w:pPr>
        <w:pStyle w:val="SingleTxtG"/>
        <w:ind w:left="2268"/>
        <w:rPr>
          <w:i/>
          <w:iCs/>
        </w:rPr>
      </w:pPr>
      <w:r w:rsidRPr="00DB1F4A">
        <w:rPr>
          <w:b/>
          <w:bCs/>
          <w:i/>
          <w:iCs/>
        </w:rPr>
        <w:t>ПРИМЕЧАНИЕ</w:t>
      </w:r>
      <w:r w:rsidRPr="00FD5B12">
        <w:rPr>
          <w:i/>
          <w:iCs/>
        </w:rPr>
        <w:t>: В других документах применительно к аналогичным системам помимо ПСАЭЭ используются иные сокращения (например, ПСАЭ).</w:t>
      </w:r>
    </w:p>
    <w:p w14:paraId="704A8F3C" w14:textId="09E48474" w:rsidR="001427C4" w:rsidRPr="00FD5B12" w:rsidRDefault="001427C4" w:rsidP="001427C4">
      <w:pPr>
        <w:pStyle w:val="SingleTxtG"/>
        <w:ind w:left="2268"/>
      </w:pPr>
      <w:r w:rsidRPr="00FD5B12">
        <w:t>ПСАЭЭ транспортных средств с электрическим приводом должны быть сконструированы и изготовлены с учетом результатов оценки рисков в соответствии со стандартом ISO</w:t>
      </w:r>
      <w:r w:rsidR="00526DF7">
        <w:t> </w:t>
      </w:r>
      <w:r w:rsidRPr="00FD5B12">
        <w:t>6469-1:2019/</w:t>
      </w:r>
      <w:proofErr w:type="spellStart"/>
      <w:r w:rsidRPr="00FD5B12">
        <w:t>Amd</w:t>
      </w:r>
      <w:proofErr w:type="spellEnd"/>
      <w:r w:rsidRPr="00FD5B12">
        <w:t xml:space="preserve"> 1:2022 для подтверждения безопасности в нормальных условиях эксплуатации. Проверка должна проводиться технической службой, например, технической службой, ответственной за официальное утверждение транспортных средств в соответствии с Правилами </w:t>
      </w:r>
      <w:r w:rsidR="0040379B">
        <w:t>№ </w:t>
      </w:r>
      <w:r w:rsidRPr="00FD5B12">
        <w:t>100</w:t>
      </w:r>
      <w:r w:rsidRPr="00FD5B12">
        <w:rPr>
          <w:vertAlign w:val="superscript"/>
        </w:rPr>
        <w:t>1</w:t>
      </w:r>
      <w:r w:rsidRPr="00FD5B12">
        <w:t xml:space="preserve"> ООН с поправками не ниже серии 03.</w:t>
      </w:r>
    </w:p>
    <w:p w14:paraId="7765E468" w14:textId="495BC158" w:rsidR="001427C4" w:rsidRPr="00FD5B12" w:rsidRDefault="001427C4" w:rsidP="001427C4">
      <w:pPr>
        <w:pStyle w:val="SingleTxtG"/>
        <w:ind w:left="2268"/>
      </w:pPr>
      <w:r w:rsidRPr="00DB1F4A">
        <w:rPr>
          <w:b/>
          <w:bCs/>
          <w:i/>
          <w:iCs/>
        </w:rPr>
        <w:t>ПРИМЕЧАНИЕ</w:t>
      </w:r>
      <w:r w:rsidRPr="00FD5B12">
        <w:rPr>
          <w:i/>
          <w:iCs/>
        </w:rPr>
        <w:t>: Нормальные условия эксплуатации включают также возникновение неисправностей и разумно предсказуемые аварийные ситуации</w:t>
      </w:r>
      <w:r>
        <w:rPr>
          <w:i/>
          <w:iCs/>
        </w:rPr>
        <w:t>»</w:t>
      </w:r>
      <w:r w:rsidRPr="00FD5B12">
        <w:rPr>
          <w:i/>
          <w:iCs/>
        </w:rPr>
        <w:t>.</w:t>
      </w:r>
    </w:p>
    <w:p w14:paraId="1AF8747A" w14:textId="77777777" w:rsidR="001427C4" w:rsidRPr="00FD5B12" w:rsidRDefault="001427C4" w:rsidP="00526DF7">
      <w:pPr>
        <w:pStyle w:val="SingleTxtG"/>
        <w:tabs>
          <w:tab w:val="clear" w:pos="1701"/>
        </w:tabs>
        <w:ind w:left="2268" w:hanging="1134"/>
        <w:rPr>
          <w:i/>
          <w:iCs/>
        </w:rPr>
      </w:pPr>
      <w:r w:rsidRPr="00FD5B12">
        <w:t>9.2.4.4.3</w:t>
      </w:r>
      <w:r w:rsidRPr="00FD5B12">
        <w:tab/>
      </w:r>
      <w:r w:rsidRPr="000F7164">
        <w:rPr>
          <w:i/>
          <w:iCs/>
        </w:rPr>
        <w:t>Меры защиты от теплового распространения</w:t>
      </w:r>
    </w:p>
    <w:p w14:paraId="48992830" w14:textId="77777777" w:rsidR="001427C4" w:rsidRPr="00FD5B12" w:rsidRDefault="001427C4" w:rsidP="00526DF7">
      <w:pPr>
        <w:pStyle w:val="SingleTxtG"/>
        <w:tabs>
          <w:tab w:val="clear" w:pos="1701"/>
        </w:tabs>
        <w:ind w:left="2268" w:hanging="1134"/>
      </w:pPr>
      <w:r w:rsidRPr="00FD5B12">
        <w:tab/>
        <w:t>В случае ПСАЭЭ, содержащих элементы, для которых нельзя гарантировать, что тепловое распространение будет происходить только внутри ПСАЭЭ, надлежит принять меры в целях снижения любой опасности для груза в результате нагрева или воспламенения.</w:t>
      </w:r>
    </w:p>
    <w:p w14:paraId="36A7984C" w14:textId="77777777" w:rsidR="001427C4" w:rsidRPr="000F7164" w:rsidRDefault="001427C4" w:rsidP="00526DF7">
      <w:pPr>
        <w:pStyle w:val="SingleTxtG"/>
        <w:tabs>
          <w:tab w:val="clear" w:pos="1701"/>
        </w:tabs>
        <w:ind w:left="2268" w:hanging="1134"/>
        <w:rPr>
          <w:i/>
          <w:iCs/>
        </w:rPr>
      </w:pPr>
      <w:r w:rsidRPr="00FD5B12">
        <w:t>9.2.4.4.4</w:t>
      </w:r>
      <w:r w:rsidRPr="00FD5B12">
        <w:tab/>
      </w:r>
      <w:r w:rsidRPr="000F7164">
        <w:rPr>
          <w:i/>
          <w:iCs/>
        </w:rPr>
        <w:t>Входной разъем для зарядки транспортного средства</w:t>
      </w:r>
    </w:p>
    <w:p w14:paraId="568A73CD" w14:textId="246DBCAB" w:rsidR="001427C4" w:rsidRPr="00FD5B12" w:rsidRDefault="001427C4" w:rsidP="00526DF7">
      <w:pPr>
        <w:pStyle w:val="SingleTxtG"/>
        <w:tabs>
          <w:tab w:val="clear" w:pos="1701"/>
        </w:tabs>
        <w:ind w:left="2268" w:hanging="1134"/>
      </w:pPr>
      <w:r w:rsidRPr="00FD5B12">
        <w:tab/>
        <w:t xml:space="preserve">Входной разъем для зарядки транспортного средства должен быть оснащен функцией </w:t>
      </w:r>
      <w:proofErr w:type="spellStart"/>
      <w:r w:rsidRPr="00FD5B12">
        <w:t>термочувствительности</w:t>
      </w:r>
      <w:proofErr w:type="spellEnd"/>
      <w:r w:rsidRPr="00FD5B12">
        <w:t>, которая ограничивает или прерывает передачу тока в соответствии со стандартом ISO 17409:2020, когда температура превышает номинальные значения для компонентов или заданные предельные значения в соответствии с применимыми стандартами на продукцию, например стандартом IEC 62196-3-1:2020</w:t>
      </w:r>
      <w:r>
        <w:t>»</w:t>
      </w:r>
      <w:r w:rsidRPr="00FD5B12">
        <w:t xml:space="preserve">. </w:t>
      </w:r>
    </w:p>
    <w:p w14:paraId="1889514C" w14:textId="77777777" w:rsidR="001427C4" w:rsidRPr="00FD5B12" w:rsidRDefault="001427C4" w:rsidP="00526DF7">
      <w:pPr>
        <w:pStyle w:val="SingleTxtG"/>
        <w:tabs>
          <w:tab w:val="clear" w:pos="1701"/>
        </w:tabs>
        <w:ind w:left="2268" w:hanging="1134"/>
      </w:pPr>
      <w:r w:rsidRPr="00FD5B12">
        <w:t>9.2.4</w:t>
      </w:r>
      <w:r w:rsidRPr="00FD5B12">
        <w:tab/>
        <w:t>Добавить новый пункт 9.2.4.5 в следующей редакции:</w:t>
      </w:r>
    </w:p>
    <w:p w14:paraId="67009192" w14:textId="0EAC1056" w:rsidR="001427C4" w:rsidRPr="00FD5B12" w:rsidRDefault="001427C4" w:rsidP="00526DF7">
      <w:pPr>
        <w:pStyle w:val="SingleTxtG"/>
        <w:tabs>
          <w:tab w:val="clear" w:pos="1701"/>
        </w:tabs>
        <w:ind w:left="2268" w:hanging="1134"/>
        <w:rPr>
          <w:b/>
          <w:bCs/>
          <w:i/>
          <w:iCs/>
        </w:rPr>
      </w:pPr>
      <w:r>
        <w:t>«</w:t>
      </w:r>
      <w:r w:rsidRPr="00FD5B12">
        <w:rPr>
          <w:b/>
          <w:bCs/>
        </w:rPr>
        <w:t>9.2.4.5</w:t>
      </w:r>
      <w:r w:rsidRPr="00FD5B12">
        <w:tab/>
      </w:r>
      <w:r w:rsidRPr="00FD5B12">
        <w:rPr>
          <w:b/>
          <w:bCs/>
          <w:i/>
          <w:iCs/>
        </w:rPr>
        <w:t>Транспортные средства на водородных топливных элементах</w:t>
      </w:r>
      <w:r w:rsidRPr="00FD5B12">
        <w:t xml:space="preserve"> </w:t>
      </w:r>
    </w:p>
    <w:p w14:paraId="1BDD7A63" w14:textId="77777777" w:rsidR="001427C4" w:rsidRPr="00FD5B12" w:rsidRDefault="001427C4" w:rsidP="00526DF7">
      <w:pPr>
        <w:pStyle w:val="SingleTxtG"/>
        <w:tabs>
          <w:tab w:val="clear" w:pos="1701"/>
        </w:tabs>
        <w:ind w:left="2268" w:hanging="1134"/>
      </w:pPr>
      <w:r w:rsidRPr="00FD5B12">
        <w:t>9.2.4.5.1</w:t>
      </w:r>
      <w:r w:rsidRPr="00FD5B12">
        <w:tab/>
        <w:t>Транспортные средства на водородных топливных элементах должны соответствовать требованиям для электрического привода, изложенным в пункте 9.2.4.4.</w:t>
      </w:r>
    </w:p>
    <w:p w14:paraId="1AACF478" w14:textId="4B59766F" w:rsidR="001427C4" w:rsidRPr="00FD5B12" w:rsidRDefault="001427C4" w:rsidP="00526DF7">
      <w:pPr>
        <w:pStyle w:val="SingleTxtG"/>
        <w:tabs>
          <w:tab w:val="clear" w:pos="1701"/>
        </w:tabs>
        <w:ind w:left="2268" w:hanging="1134"/>
      </w:pPr>
      <w:r w:rsidRPr="00FD5B12">
        <w:t>9.2.4.5.2</w:t>
      </w:r>
      <w:r w:rsidRPr="00FD5B12">
        <w:tab/>
        <w:t xml:space="preserve">Транспортные средства на водородных топливных элементах должны соответствовать Правилам </w:t>
      </w:r>
      <w:r w:rsidR="0040379B">
        <w:t>№ </w:t>
      </w:r>
      <w:r w:rsidRPr="00FD5B12">
        <w:t>134</w:t>
      </w:r>
      <w:r w:rsidRPr="00FD5B12">
        <w:rPr>
          <w:vertAlign w:val="superscript"/>
        </w:rPr>
        <w:t>9</w:t>
      </w:r>
      <w:r w:rsidRPr="00FD5B12">
        <w:t xml:space="preserve"> ООН с поправками не ниже серии 02. В случае транспортных средств, использующих жидкий водород, применяются технические требования Глобальных технических правил </w:t>
      </w:r>
      <w:r w:rsidR="0040379B">
        <w:t>№ </w:t>
      </w:r>
      <w:r w:rsidRPr="00FD5B12">
        <w:t>13</w:t>
      </w:r>
      <w:r w:rsidRPr="00FD5B12">
        <w:rPr>
          <w:vertAlign w:val="superscript"/>
        </w:rPr>
        <w:t xml:space="preserve">10 </w:t>
      </w:r>
      <w:r w:rsidRPr="00FD5B12">
        <w:t>ООН,</w:t>
      </w:r>
      <w:r w:rsidR="0040379B">
        <w:t xml:space="preserve"> </w:t>
      </w:r>
      <w:r w:rsidRPr="00FD5B12">
        <w:t>поправка 1.</w:t>
      </w:r>
    </w:p>
    <w:p w14:paraId="782B6486" w14:textId="77777777" w:rsidR="001427C4" w:rsidRPr="00FD5B12" w:rsidRDefault="001427C4" w:rsidP="00526DF7">
      <w:pPr>
        <w:pStyle w:val="SingleTxtG"/>
        <w:tabs>
          <w:tab w:val="clear" w:pos="1701"/>
        </w:tabs>
        <w:ind w:left="2268" w:hanging="1134"/>
      </w:pPr>
      <w:r w:rsidRPr="00FD5B12">
        <w:t>9.2.4.5.3</w:t>
      </w:r>
      <w:r w:rsidRPr="00FD5B12">
        <w:tab/>
        <w:t>Запорные устройства резервуаров для водорода должны закрываться автоматически:</w:t>
      </w:r>
    </w:p>
    <w:p w14:paraId="33BC6D14" w14:textId="7BA820C2" w:rsidR="001427C4" w:rsidRPr="00FD5B12" w:rsidRDefault="0040379B" w:rsidP="0040379B">
      <w:pPr>
        <w:pStyle w:val="SingleTxtG"/>
        <w:tabs>
          <w:tab w:val="clear" w:pos="1701"/>
        </w:tabs>
        <w:ind w:left="2835" w:hanging="1701"/>
      </w:pPr>
      <w:r>
        <w:tab/>
      </w:r>
      <w:r w:rsidR="001427C4" w:rsidRPr="00FD5B12">
        <w:t>a)</w:t>
      </w:r>
      <w:r w:rsidR="001427C4" w:rsidRPr="00FD5B12">
        <w:tab/>
        <w:t>если транспортное средство больше не находится в режиме движения;</w:t>
      </w:r>
    </w:p>
    <w:p w14:paraId="5EB1709B" w14:textId="10CA23D6" w:rsidR="001427C4" w:rsidRPr="00FD5B12" w:rsidRDefault="0040379B" w:rsidP="0040379B">
      <w:pPr>
        <w:pStyle w:val="SingleTxtG"/>
        <w:tabs>
          <w:tab w:val="clear" w:pos="1701"/>
        </w:tabs>
        <w:ind w:left="2835" w:hanging="1701"/>
      </w:pPr>
      <w:r>
        <w:tab/>
      </w:r>
      <w:r w:rsidR="001427C4" w:rsidRPr="00FD5B12">
        <w:t>b)</w:t>
      </w:r>
      <w:r w:rsidR="001427C4" w:rsidRPr="00FD5B12">
        <w:tab/>
        <w:t>при замедлении 3,25 </w:t>
      </w:r>
      <w:proofErr w:type="spellStart"/>
      <w:r w:rsidR="001427C4" w:rsidRPr="00FD5B12">
        <w:t>м·с</w:t>
      </w:r>
      <w:proofErr w:type="spellEnd"/>
      <w:r>
        <w:rPr>
          <w:vertAlign w:val="superscript"/>
        </w:rPr>
        <w:t>–</w:t>
      </w:r>
      <w:r w:rsidR="001427C4" w:rsidRPr="0040379B">
        <w:rPr>
          <w:vertAlign w:val="superscript"/>
        </w:rPr>
        <w:t>2</w:t>
      </w:r>
      <w:r w:rsidR="001427C4" w:rsidRPr="00FD5B12">
        <w:t xml:space="preserve"> в течение 0,7 с;</w:t>
      </w:r>
    </w:p>
    <w:p w14:paraId="5839CA11" w14:textId="4F26EA19" w:rsidR="001427C4" w:rsidRPr="00FD5B12" w:rsidRDefault="0040379B" w:rsidP="0040379B">
      <w:pPr>
        <w:pStyle w:val="SingleTxtG"/>
        <w:tabs>
          <w:tab w:val="clear" w:pos="1701"/>
        </w:tabs>
        <w:ind w:left="2835" w:hanging="1701"/>
      </w:pPr>
      <w:r>
        <w:tab/>
      </w:r>
      <w:r w:rsidR="001427C4" w:rsidRPr="00FD5B12">
        <w:t>c)</w:t>
      </w:r>
      <w:r w:rsidR="001427C4" w:rsidRPr="00FD5B12">
        <w:tab/>
        <w:t>в случае опрокидывания на бок под углом более 23°.</w:t>
      </w:r>
    </w:p>
    <w:p w14:paraId="3C09CD43" w14:textId="3FA2CFDB" w:rsidR="001427C4" w:rsidRPr="00FD5B12" w:rsidRDefault="001427C4" w:rsidP="001427C4">
      <w:pPr>
        <w:pStyle w:val="SingleTxtG"/>
        <w:tabs>
          <w:tab w:val="clear" w:pos="1701"/>
        </w:tabs>
        <w:ind w:left="2268" w:hanging="1134"/>
      </w:pPr>
      <w:r w:rsidRPr="00FD5B12">
        <w:tab/>
        <w:t>Запорные устройства могут быть вновь открыты намеренным действием водителя</w:t>
      </w:r>
      <w:r>
        <w:t>»</w:t>
      </w:r>
      <w:r w:rsidRPr="00FD5B12">
        <w:t xml:space="preserve">. </w:t>
      </w:r>
    </w:p>
    <w:p w14:paraId="5F144A12" w14:textId="77777777" w:rsidR="001427C4" w:rsidRPr="00FD5B12" w:rsidRDefault="001427C4" w:rsidP="001427C4">
      <w:pPr>
        <w:pStyle w:val="SingleTxtG"/>
        <w:tabs>
          <w:tab w:val="clear" w:pos="1701"/>
        </w:tabs>
        <w:ind w:left="2268" w:hanging="1134"/>
      </w:pPr>
      <w:r w:rsidRPr="00FD5B12">
        <w:t>9.2.4.8</w:t>
      </w:r>
      <w:r w:rsidRPr="00FD5B12">
        <w:tab/>
        <w:t xml:space="preserve">Изменить нумерацию пунктов 9.2.4.8–9.2.4.8.6 на 9.2.5–9.2.5.6. </w:t>
      </w:r>
    </w:p>
    <w:p w14:paraId="286A805D" w14:textId="0403633F" w:rsidR="001427C4" w:rsidRPr="00FD5B12" w:rsidRDefault="001427C4" w:rsidP="001427C4">
      <w:pPr>
        <w:pStyle w:val="SingleTxtG"/>
        <w:tabs>
          <w:tab w:val="clear" w:pos="1701"/>
        </w:tabs>
        <w:ind w:left="2268" w:hanging="1134"/>
      </w:pPr>
      <w:r w:rsidRPr="00FD5B12">
        <w:tab/>
        <w:t xml:space="preserve">В перенумерованном пункте 9.2.5.1 (прежний 9.2.4.8.1) изменить нумерацию сноски </w:t>
      </w:r>
      <w:r w:rsidRPr="00FD5B12">
        <w:rPr>
          <w:vertAlign w:val="superscript"/>
        </w:rPr>
        <w:t>9</w:t>
      </w:r>
      <w:r w:rsidRPr="00FD5B12">
        <w:t xml:space="preserve"> на </w:t>
      </w:r>
      <w:r w:rsidRPr="00FD5B12">
        <w:rPr>
          <w:vertAlign w:val="superscript"/>
        </w:rPr>
        <w:t>11</w:t>
      </w:r>
      <w:r w:rsidRPr="00FD5B12">
        <w:t xml:space="preserve"> и заменить </w:t>
      </w:r>
      <w:r>
        <w:t>«</w:t>
      </w:r>
      <w:r w:rsidRPr="00FD5B12">
        <w:t>9.2.4.8.2</w:t>
      </w:r>
      <w:r w:rsidR="0040379B">
        <w:t>–</w:t>
      </w:r>
      <w:r w:rsidRPr="00FD5B12">
        <w:t>9.2.4.8.6</w:t>
      </w:r>
      <w:r>
        <w:t>»</w:t>
      </w:r>
      <w:r w:rsidRPr="00FD5B12">
        <w:t xml:space="preserve"> на </w:t>
      </w:r>
      <w:r>
        <w:t>«</w:t>
      </w:r>
      <w:r w:rsidRPr="00FD5B12">
        <w:t>9.2.5.2</w:t>
      </w:r>
      <w:r w:rsidR="0040379B">
        <w:t>–</w:t>
      </w:r>
      <w:r w:rsidRPr="00FD5B12">
        <w:t>9.2.5.6</w:t>
      </w:r>
      <w:r>
        <w:t>»</w:t>
      </w:r>
      <w:r w:rsidRPr="00FD5B12">
        <w:t xml:space="preserve">. </w:t>
      </w:r>
    </w:p>
    <w:p w14:paraId="18CB31E0" w14:textId="1F180D72" w:rsidR="001427C4" w:rsidRPr="00FD5B12" w:rsidRDefault="001427C4" w:rsidP="001427C4">
      <w:pPr>
        <w:pStyle w:val="SingleTxtG"/>
        <w:tabs>
          <w:tab w:val="clear" w:pos="1701"/>
        </w:tabs>
        <w:ind w:left="2268" w:hanging="1134"/>
      </w:pPr>
      <w:r w:rsidRPr="00FD5B12">
        <w:lastRenderedPageBreak/>
        <w:tab/>
        <w:t xml:space="preserve">В перенумерованном пункте 9.2.5.2 (прежний 9.2.4.8.2) заменить </w:t>
      </w:r>
      <w:r>
        <w:t>«</w:t>
      </w:r>
      <w:r w:rsidRPr="00FD5B12">
        <w:t>9.2.4.3 и 9.2.4.5</w:t>
      </w:r>
      <w:r>
        <w:t>»</w:t>
      </w:r>
      <w:r w:rsidRPr="00FD5B12">
        <w:t xml:space="preserve"> на </w:t>
      </w:r>
      <w:r>
        <w:t>«</w:t>
      </w:r>
      <w:r w:rsidRPr="00FD5B12">
        <w:t>9.2.4.2 и 9.2.4.3.2</w:t>
      </w:r>
      <w:r>
        <w:t>»</w:t>
      </w:r>
      <w:r w:rsidRPr="00FD5B12">
        <w:t>.</w:t>
      </w:r>
    </w:p>
    <w:p w14:paraId="464519CB" w14:textId="4C78C880" w:rsidR="001427C4" w:rsidRPr="00FD5B12" w:rsidRDefault="001427C4" w:rsidP="001427C4">
      <w:pPr>
        <w:pStyle w:val="SingleTxtG"/>
        <w:tabs>
          <w:tab w:val="clear" w:pos="1701"/>
        </w:tabs>
        <w:ind w:left="2268" w:hanging="1134"/>
      </w:pPr>
      <w:r w:rsidRPr="00FD5B12">
        <w:tab/>
        <w:t xml:space="preserve">В перенумерованном пункте 9.2.5.4 (прежний 9.2.4.8.4), в первом предложении, заменить </w:t>
      </w:r>
      <w:r>
        <w:t>«</w:t>
      </w:r>
      <w:r w:rsidRPr="00FD5B12">
        <w:t>9.2.4.8.3</w:t>
      </w:r>
      <w:r>
        <w:t>»</w:t>
      </w:r>
      <w:r w:rsidRPr="00FD5B12">
        <w:t xml:space="preserve"> на </w:t>
      </w:r>
      <w:r>
        <w:t>«</w:t>
      </w:r>
      <w:r w:rsidRPr="00FD5B12">
        <w:t>9.2.5.3</w:t>
      </w:r>
      <w:r>
        <w:t>»</w:t>
      </w:r>
      <w:r w:rsidRPr="00FD5B12">
        <w:t>.</w:t>
      </w:r>
    </w:p>
    <w:p w14:paraId="63FB5C28" w14:textId="77777777" w:rsidR="001427C4" w:rsidRPr="00FD5B12" w:rsidRDefault="001427C4" w:rsidP="001427C4">
      <w:pPr>
        <w:pStyle w:val="SingleTxtG"/>
        <w:tabs>
          <w:tab w:val="clear" w:pos="1701"/>
        </w:tabs>
        <w:ind w:left="2268" w:hanging="1134"/>
      </w:pPr>
      <w:r w:rsidRPr="00FD5B12">
        <w:t>9.2.5</w:t>
      </w:r>
      <w:r w:rsidRPr="00FD5B12">
        <w:tab/>
        <w:t xml:space="preserve">Изменить нумерацию на 9.2.6. Изменить номер сноски </w:t>
      </w:r>
      <w:r w:rsidRPr="00FD5B12">
        <w:rPr>
          <w:vertAlign w:val="superscript"/>
        </w:rPr>
        <w:t xml:space="preserve">10 </w:t>
      </w:r>
      <w:r w:rsidRPr="00FD5B12">
        <w:t xml:space="preserve">на </w:t>
      </w:r>
      <w:r w:rsidRPr="00FD5B12">
        <w:rPr>
          <w:vertAlign w:val="superscript"/>
        </w:rPr>
        <w:t>12</w:t>
      </w:r>
      <w:r w:rsidRPr="00FD5B12">
        <w:t>.</w:t>
      </w:r>
    </w:p>
    <w:p w14:paraId="3D0B5B73" w14:textId="77777777" w:rsidR="001427C4" w:rsidRPr="00FD5B12" w:rsidRDefault="001427C4" w:rsidP="001427C4">
      <w:pPr>
        <w:pStyle w:val="SingleTxtG"/>
        <w:tabs>
          <w:tab w:val="clear" w:pos="1701"/>
          <w:tab w:val="clear" w:pos="2268"/>
          <w:tab w:val="clear" w:pos="2835"/>
        </w:tabs>
        <w:ind w:left="2268" w:hanging="1134"/>
      </w:pPr>
      <w:r w:rsidRPr="00FD5B12">
        <w:t>9.2.6</w:t>
      </w:r>
      <w:r w:rsidRPr="00FD5B12">
        <w:tab/>
        <w:t>Изменить нумерацию на 9.2.7.</w:t>
      </w:r>
    </w:p>
    <w:p w14:paraId="77C01A59" w14:textId="1E01063D" w:rsidR="001427C4" w:rsidRPr="00FD5B12" w:rsidRDefault="001427C4" w:rsidP="001427C4">
      <w:pPr>
        <w:pStyle w:val="SingleTxtG"/>
        <w:tabs>
          <w:tab w:val="clear" w:pos="1701"/>
        </w:tabs>
        <w:ind w:left="2268" w:hanging="1134"/>
      </w:pPr>
      <w:r w:rsidRPr="00FD5B12">
        <w:t>9.2.7</w:t>
      </w:r>
      <w:r w:rsidRPr="00FD5B12">
        <w:tab/>
        <w:t xml:space="preserve">Изменить нумерацию пунктов 9.2.7 и 9.2.7.1 на 9.2.8 и 9.2.8.1. После </w:t>
      </w:r>
      <w:r>
        <w:t>«</w:t>
      </w:r>
      <w:r w:rsidRPr="00FD5B12">
        <w:t>СПГ</w:t>
      </w:r>
      <w:r>
        <w:t>»</w:t>
      </w:r>
      <w:r w:rsidRPr="00FD5B12">
        <w:t xml:space="preserve"> добавить </w:t>
      </w:r>
      <w:r>
        <w:t>«</w:t>
      </w:r>
      <w:r w:rsidRPr="00FD5B12">
        <w:t>и жидком водороде</w:t>
      </w:r>
      <w:r>
        <w:t>»</w:t>
      </w:r>
      <w:r w:rsidRPr="00FD5B12">
        <w:t>.</w:t>
      </w:r>
    </w:p>
    <w:p w14:paraId="1FBFC4CA" w14:textId="11032794" w:rsidR="001427C4" w:rsidRPr="00FD5B12" w:rsidRDefault="001427C4" w:rsidP="001427C4">
      <w:pPr>
        <w:pStyle w:val="H1G"/>
      </w:pPr>
      <w:r>
        <w:tab/>
      </w:r>
      <w:r w:rsidR="0040379B">
        <w:tab/>
      </w:r>
      <w:r w:rsidRPr="00FD5B12">
        <w:rPr>
          <w:bCs/>
        </w:rPr>
        <w:t>Глава 9.3</w:t>
      </w:r>
    </w:p>
    <w:p w14:paraId="1AED47FC" w14:textId="382828CA" w:rsidR="001427C4" w:rsidRPr="00FD5B12" w:rsidRDefault="001427C4" w:rsidP="001427C4">
      <w:pPr>
        <w:pStyle w:val="SingleTxtG"/>
        <w:tabs>
          <w:tab w:val="clear" w:pos="1701"/>
          <w:tab w:val="clear" w:pos="2268"/>
          <w:tab w:val="clear" w:pos="2835"/>
        </w:tabs>
        <w:ind w:left="2268" w:hanging="1134"/>
      </w:pPr>
      <w:r w:rsidRPr="00FD5B12">
        <w:t>9.3.2.2</w:t>
      </w:r>
      <w:r w:rsidRPr="00FD5B12">
        <w:tab/>
        <w:t xml:space="preserve">Заменить </w:t>
      </w:r>
      <w:r>
        <w:t>«</w:t>
      </w:r>
      <w:r w:rsidRPr="00FD5B12">
        <w:t>9.2.4.8.1, 9.2.4.8.2, 9.2.4.8.5 и 9.2.4.8.6</w:t>
      </w:r>
      <w:r>
        <w:t>»</w:t>
      </w:r>
      <w:r w:rsidRPr="00FD5B12">
        <w:t xml:space="preserve"> на </w:t>
      </w:r>
      <w:r>
        <w:t>«</w:t>
      </w:r>
      <w:r w:rsidRPr="00FD5B12">
        <w:t>9.2.5.1, 9.2.5.2, 9.2.5.5 и 9.2.5.6</w:t>
      </w:r>
      <w:r>
        <w:t>»</w:t>
      </w:r>
      <w:r w:rsidRPr="00FD5B12">
        <w:t>.</w:t>
      </w:r>
    </w:p>
    <w:p w14:paraId="1BEF56C8" w14:textId="41121B61" w:rsidR="001427C4" w:rsidRPr="00FD5B12" w:rsidRDefault="001427C4" w:rsidP="001427C4">
      <w:pPr>
        <w:pStyle w:val="H1G"/>
      </w:pPr>
      <w:r>
        <w:tab/>
      </w:r>
      <w:r w:rsidR="0040379B">
        <w:tab/>
      </w:r>
      <w:r w:rsidRPr="00FD5B12">
        <w:rPr>
          <w:bCs/>
        </w:rPr>
        <w:t>Глава 9.7</w:t>
      </w:r>
    </w:p>
    <w:p w14:paraId="47E0EE07" w14:textId="1336BE53" w:rsidR="001427C4" w:rsidRPr="00FD5B12" w:rsidRDefault="001427C4" w:rsidP="001427C4">
      <w:pPr>
        <w:pStyle w:val="SingleTxtG"/>
        <w:tabs>
          <w:tab w:val="clear" w:pos="1701"/>
          <w:tab w:val="clear" w:pos="2268"/>
          <w:tab w:val="clear" w:pos="2835"/>
        </w:tabs>
        <w:ind w:left="2268" w:hanging="1134"/>
      </w:pPr>
      <w:r w:rsidRPr="00FD5B12">
        <w:t>9.7.7.1</w:t>
      </w:r>
      <w:r w:rsidRPr="00FD5B12">
        <w:tab/>
        <w:t xml:space="preserve">В первом абзаце заменить </w:t>
      </w:r>
      <w:r>
        <w:t>«</w:t>
      </w:r>
      <w:r w:rsidRPr="00FD5B12">
        <w:t>9.2.4.8.1, 9.2.4.8.2, 9.2.4.8.5</w:t>
      </w:r>
      <w:r>
        <w:t>»</w:t>
      </w:r>
      <w:r w:rsidRPr="00FD5B12">
        <w:t xml:space="preserve"> на</w:t>
      </w:r>
      <w:r w:rsidR="0040379B">
        <w:t xml:space="preserve"> </w:t>
      </w:r>
      <w:r>
        <w:t>«</w:t>
      </w:r>
      <w:r w:rsidRPr="00FD5B12">
        <w:t>9.2.5.1, 9.2.5.2, 9.2.5.5</w:t>
      </w:r>
      <w:r>
        <w:t>»</w:t>
      </w:r>
      <w:r w:rsidRPr="00FD5B12">
        <w:t>.</w:t>
      </w:r>
    </w:p>
    <w:p w14:paraId="1B18654D" w14:textId="34DE0692" w:rsidR="001427C4" w:rsidRPr="00FD5B12" w:rsidRDefault="001427C4" w:rsidP="001427C4">
      <w:pPr>
        <w:pStyle w:val="SingleTxtG"/>
        <w:tabs>
          <w:tab w:val="clear" w:pos="1701"/>
          <w:tab w:val="clear" w:pos="2268"/>
          <w:tab w:val="clear" w:pos="2835"/>
        </w:tabs>
        <w:ind w:left="2268" w:hanging="1134"/>
      </w:pPr>
      <w:r w:rsidRPr="00FD5B12">
        <w:tab/>
        <w:t xml:space="preserve">Во втором абзаце заменить </w:t>
      </w:r>
      <w:r>
        <w:t>«</w:t>
      </w:r>
      <w:r w:rsidRPr="00FD5B12">
        <w:t>9.2.4.8.3 и 9.2.4.8.4</w:t>
      </w:r>
      <w:r>
        <w:t>»</w:t>
      </w:r>
      <w:r w:rsidRPr="00FD5B12">
        <w:t xml:space="preserve"> на </w:t>
      </w:r>
      <w:r>
        <w:t>«</w:t>
      </w:r>
      <w:r w:rsidRPr="00FD5B12">
        <w:t>9.2.5.3 и 9.2.5.4</w:t>
      </w:r>
      <w:r>
        <w:t>»</w:t>
      </w:r>
      <w:r w:rsidRPr="00FD5B12">
        <w:t>.</w:t>
      </w:r>
    </w:p>
    <w:p w14:paraId="11F2FDE3" w14:textId="6F69864A" w:rsidR="001427C4" w:rsidRPr="00FD5B12" w:rsidRDefault="001427C4" w:rsidP="001427C4">
      <w:pPr>
        <w:pStyle w:val="SingleTxtG"/>
        <w:tabs>
          <w:tab w:val="clear" w:pos="1701"/>
          <w:tab w:val="clear" w:pos="2268"/>
          <w:tab w:val="clear" w:pos="2835"/>
        </w:tabs>
        <w:ind w:left="2268" w:hanging="1134"/>
      </w:pPr>
      <w:r w:rsidRPr="00FD5B12">
        <w:t>9.7.8.1</w:t>
      </w:r>
      <w:r w:rsidRPr="00FD5B12">
        <w:tab/>
        <w:t xml:space="preserve">Изменить первое предложение следующим образом: </w:t>
      </w:r>
      <w:r>
        <w:t>«</w:t>
      </w:r>
      <w:r w:rsidRPr="00FD5B12">
        <w:t>Дополнительные элементы электрооборудования транспортных средств или его модификации должны отвечать соответствующим требованиям главы 9.2, если это применимо (см. таблицу 9.2.1.1)</w:t>
      </w:r>
      <w:r>
        <w:t>»</w:t>
      </w:r>
      <w:r w:rsidRPr="00FD5B12">
        <w:t>.</w:t>
      </w:r>
      <w:r w:rsidR="0040379B">
        <w:t xml:space="preserve"> </w:t>
      </w:r>
      <w:r w:rsidRPr="00FD5B12">
        <w:t>Исключить второй абзац.</w:t>
      </w:r>
    </w:p>
    <w:p w14:paraId="3202A8CF" w14:textId="6EB11E12" w:rsidR="001427C4" w:rsidRPr="00FD5B12" w:rsidRDefault="001427C4" w:rsidP="001427C4">
      <w:pPr>
        <w:pStyle w:val="H1G"/>
      </w:pPr>
      <w:r>
        <w:tab/>
      </w:r>
      <w:r w:rsidR="0040379B">
        <w:tab/>
      </w:r>
      <w:r w:rsidRPr="00FD5B12">
        <w:rPr>
          <w:bCs/>
        </w:rPr>
        <w:t>Глава 9.8</w:t>
      </w:r>
    </w:p>
    <w:p w14:paraId="2B12E1A5" w14:textId="0E5C4462" w:rsidR="001427C4" w:rsidRDefault="001427C4" w:rsidP="001427C4">
      <w:pPr>
        <w:pStyle w:val="SingleTxtG"/>
        <w:tabs>
          <w:tab w:val="clear" w:pos="1701"/>
          <w:tab w:val="clear" w:pos="2268"/>
          <w:tab w:val="clear" w:pos="2835"/>
        </w:tabs>
        <w:ind w:left="2268" w:hanging="1134"/>
      </w:pPr>
      <w:r w:rsidRPr="00FD5B12">
        <w:t>9.8.6.1</w:t>
      </w:r>
      <w:r w:rsidRPr="00FD5B12">
        <w:tab/>
        <w:t xml:space="preserve">Заменить </w:t>
      </w:r>
      <w:r>
        <w:t>«</w:t>
      </w:r>
      <w:r w:rsidRPr="00FD5B12">
        <w:t>9.2.4.8.1, 9.2.4.8.2, 9.2.4.8.5, 9.2.4.8.6</w:t>
      </w:r>
      <w:r>
        <w:t>»</w:t>
      </w:r>
      <w:r w:rsidRPr="00FD5B12">
        <w:t xml:space="preserve"> на </w:t>
      </w:r>
      <w:r>
        <w:t>«</w:t>
      </w:r>
      <w:r w:rsidRPr="00FD5B12">
        <w:t>9.2.5.1, 9.2.5.2, 9.2.5.5, 9.2.5.6</w:t>
      </w:r>
      <w:r>
        <w:t>»</w:t>
      </w:r>
      <w:r w:rsidRPr="00FD5B12">
        <w:t>.</w:t>
      </w:r>
    </w:p>
    <w:p w14:paraId="7CD1F2A7" w14:textId="05891641" w:rsidR="0040379B" w:rsidRPr="0040379B" w:rsidRDefault="0040379B" w:rsidP="0040379B">
      <w:pPr>
        <w:pStyle w:val="SingleTxtG"/>
        <w:spacing w:before="240" w:after="0"/>
        <w:jc w:val="center"/>
        <w:rPr>
          <w:u w:val="single"/>
        </w:rPr>
      </w:pPr>
      <w:r>
        <w:rPr>
          <w:u w:val="single"/>
        </w:rPr>
        <w:tab/>
      </w:r>
      <w:r>
        <w:rPr>
          <w:u w:val="single"/>
        </w:rPr>
        <w:tab/>
      </w:r>
      <w:r>
        <w:rPr>
          <w:u w:val="single"/>
        </w:rPr>
        <w:tab/>
      </w:r>
    </w:p>
    <w:sectPr w:rsidR="0040379B" w:rsidRPr="0040379B" w:rsidSect="001427C4">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373E" w14:textId="77777777" w:rsidR="00B95CC8" w:rsidRPr="00A312BC" w:rsidRDefault="00B95CC8" w:rsidP="00A312BC"/>
  </w:endnote>
  <w:endnote w:type="continuationSeparator" w:id="0">
    <w:p w14:paraId="7BCD82E7" w14:textId="77777777" w:rsidR="00B95CC8" w:rsidRPr="00A312BC" w:rsidRDefault="00B95CC8"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2347" w14:textId="75E35026" w:rsidR="001427C4" w:rsidRPr="001427C4" w:rsidRDefault="001427C4">
    <w:pPr>
      <w:pStyle w:val="a8"/>
    </w:pPr>
    <w:r w:rsidRPr="001427C4">
      <w:rPr>
        <w:b/>
        <w:sz w:val="18"/>
      </w:rPr>
      <w:fldChar w:fldCharType="begin"/>
    </w:r>
    <w:r w:rsidRPr="001427C4">
      <w:rPr>
        <w:b/>
        <w:sz w:val="18"/>
      </w:rPr>
      <w:instrText xml:space="preserve"> PAGE  \* MERGEFORMAT </w:instrText>
    </w:r>
    <w:r w:rsidRPr="001427C4">
      <w:rPr>
        <w:b/>
        <w:sz w:val="18"/>
      </w:rPr>
      <w:fldChar w:fldCharType="separate"/>
    </w:r>
    <w:r w:rsidRPr="001427C4">
      <w:rPr>
        <w:b/>
        <w:noProof/>
        <w:sz w:val="18"/>
      </w:rPr>
      <w:t>2</w:t>
    </w:r>
    <w:r w:rsidRPr="001427C4">
      <w:rPr>
        <w:b/>
        <w:sz w:val="18"/>
      </w:rPr>
      <w:fldChar w:fldCharType="end"/>
    </w:r>
    <w:r>
      <w:rPr>
        <w:b/>
        <w:sz w:val="18"/>
      </w:rPr>
      <w:tab/>
    </w:r>
    <w:r>
      <w:t>GE.24-08768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3227" w14:textId="4D5BFF51" w:rsidR="001427C4" w:rsidRPr="001427C4" w:rsidRDefault="001427C4" w:rsidP="001427C4">
    <w:pPr>
      <w:pStyle w:val="a8"/>
      <w:tabs>
        <w:tab w:val="clear" w:pos="9639"/>
        <w:tab w:val="right" w:pos="9638"/>
      </w:tabs>
      <w:rPr>
        <w:b/>
        <w:sz w:val="18"/>
      </w:rPr>
    </w:pPr>
    <w:r>
      <w:t>GE.24-08768</w:t>
    </w:r>
    <w:r>
      <w:tab/>
    </w:r>
    <w:r w:rsidRPr="001427C4">
      <w:rPr>
        <w:b/>
        <w:sz w:val="18"/>
      </w:rPr>
      <w:fldChar w:fldCharType="begin"/>
    </w:r>
    <w:r w:rsidRPr="001427C4">
      <w:rPr>
        <w:b/>
        <w:sz w:val="18"/>
      </w:rPr>
      <w:instrText xml:space="preserve"> PAGE  \* MERGEFORMAT </w:instrText>
    </w:r>
    <w:r w:rsidRPr="001427C4">
      <w:rPr>
        <w:b/>
        <w:sz w:val="18"/>
      </w:rPr>
      <w:fldChar w:fldCharType="separate"/>
    </w:r>
    <w:r w:rsidRPr="001427C4">
      <w:rPr>
        <w:b/>
        <w:noProof/>
        <w:sz w:val="18"/>
      </w:rPr>
      <w:t>3</w:t>
    </w:r>
    <w:r w:rsidRPr="001427C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42EC" w14:textId="190C1D6D" w:rsidR="00042B72" w:rsidRPr="00005499" w:rsidRDefault="001427C4" w:rsidP="001427C4">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2176FA63" wp14:editId="65C97084">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24-08768</w:t>
    </w:r>
    <w:r w:rsidR="0040379B">
      <w:t xml:space="preserve"> </w:t>
    </w:r>
    <w:r w:rsidR="00005499">
      <w:t xml:space="preserve">  </w:t>
    </w:r>
    <w:r>
      <w:t>(R)</w:t>
    </w:r>
    <w:r>
      <w:rPr>
        <w:noProof/>
      </w:rPr>
      <w:drawing>
        <wp:anchor distT="0" distB="0" distL="114300" distR="114300" simplePos="0" relativeHeight="251659264" behindDoc="0" locked="0" layoutInCell="1" allowOverlap="1" wp14:anchorId="01267B97" wp14:editId="4841117C">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5499">
      <w:t xml:space="preserve">   </w:t>
    </w:r>
    <w:r w:rsidR="00005499">
      <w:rPr>
        <w:lang w:val="en-US"/>
      </w:rPr>
      <w:t>240524   270524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4107" w14:textId="77777777" w:rsidR="00B95CC8" w:rsidRPr="001075E9" w:rsidRDefault="00B95CC8" w:rsidP="001075E9">
      <w:pPr>
        <w:tabs>
          <w:tab w:val="right" w:pos="2155"/>
        </w:tabs>
        <w:spacing w:after="80" w:line="240" w:lineRule="auto"/>
        <w:ind w:left="680"/>
        <w:rPr>
          <w:u w:val="single"/>
        </w:rPr>
      </w:pPr>
      <w:r>
        <w:rPr>
          <w:u w:val="single"/>
        </w:rPr>
        <w:tab/>
      </w:r>
    </w:p>
  </w:footnote>
  <w:footnote w:type="continuationSeparator" w:id="0">
    <w:p w14:paraId="201F5BA3" w14:textId="77777777" w:rsidR="00B95CC8" w:rsidRDefault="00B95CC8" w:rsidP="00407B78">
      <w:pPr>
        <w:tabs>
          <w:tab w:val="right" w:pos="2155"/>
        </w:tabs>
        <w:spacing w:after="80"/>
        <w:ind w:left="680"/>
        <w:rPr>
          <w:u w:val="single"/>
        </w:rPr>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D411" w14:textId="2F062B91" w:rsidR="001427C4" w:rsidRPr="001427C4" w:rsidRDefault="001427C4">
    <w:pPr>
      <w:pStyle w:val="a5"/>
    </w:pPr>
    <w:fldSimple w:instr=" TITLE  \* MERGEFORMAT ">
      <w:r w:rsidR="00C44A55">
        <w:t>ECE/TRANS/WP.15/265/Add.1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60B5" w14:textId="227C5776" w:rsidR="001427C4" w:rsidRPr="001427C4" w:rsidRDefault="001427C4" w:rsidP="001427C4">
    <w:pPr>
      <w:pStyle w:val="a5"/>
      <w:jc w:val="right"/>
    </w:pPr>
    <w:fldSimple w:instr=" TITLE  \* MERGEFORMAT ">
      <w:r w:rsidR="00C44A55">
        <w:t>ECE/TRANS/WP.15/265/Add.1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AD07B2"/>
    <w:multiLevelType w:val="hybridMultilevel"/>
    <w:tmpl w:val="D7D47906"/>
    <w:lvl w:ilvl="0" w:tplc="3B64B33E">
      <w:start w:val="1"/>
      <w:numFmt w:val="bullet"/>
      <w:lvlText w:val="•"/>
      <w:lvlJc w:val="left"/>
      <w:pPr>
        <w:tabs>
          <w:tab w:val="num" w:pos="2439"/>
        </w:tabs>
        <w:ind w:left="2439" w:hanging="170"/>
      </w:pPr>
      <w:rPr>
        <w:rFonts w:ascii="Times New Roman" w:hAnsi="Times New Roman" w:cs="Times New Roman" w:hint="default"/>
      </w:rPr>
    </w:lvl>
    <w:lvl w:ilvl="1" w:tplc="040C0003">
      <w:start w:val="1"/>
      <w:numFmt w:val="bullet"/>
      <w:lvlText w:val="o"/>
      <w:lvlJc w:val="left"/>
      <w:pPr>
        <w:tabs>
          <w:tab w:val="num" w:pos="3821"/>
        </w:tabs>
        <w:ind w:left="3821" w:hanging="360"/>
      </w:pPr>
      <w:rPr>
        <w:rFonts w:ascii="Courier New" w:hAnsi="Courier New" w:hint="default"/>
      </w:rPr>
    </w:lvl>
    <w:lvl w:ilvl="2" w:tplc="040C0005" w:tentative="1">
      <w:start w:val="1"/>
      <w:numFmt w:val="bullet"/>
      <w:lvlText w:val=""/>
      <w:lvlJc w:val="left"/>
      <w:pPr>
        <w:tabs>
          <w:tab w:val="num" w:pos="4541"/>
        </w:tabs>
        <w:ind w:left="4541" w:hanging="360"/>
      </w:pPr>
      <w:rPr>
        <w:rFonts w:ascii="Wingdings" w:hAnsi="Wingdings" w:hint="default"/>
      </w:rPr>
    </w:lvl>
    <w:lvl w:ilvl="3" w:tplc="040C0001" w:tentative="1">
      <w:start w:val="1"/>
      <w:numFmt w:val="bullet"/>
      <w:lvlText w:val=""/>
      <w:lvlJc w:val="left"/>
      <w:pPr>
        <w:tabs>
          <w:tab w:val="num" w:pos="5261"/>
        </w:tabs>
        <w:ind w:left="5261" w:hanging="360"/>
      </w:pPr>
      <w:rPr>
        <w:rFonts w:ascii="Symbol" w:hAnsi="Symbol" w:hint="default"/>
      </w:rPr>
    </w:lvl>
    <w:lvl w:ilvl="4" w:tplc="040C0003" w:tentative="1">
      <w:start w:val="1"/>
      <w:numFmt w:val="bullet"/>
      <w:lvlText w:val="o"/>
      <w:lvlJc w:val="left"/>
      <w:pPr>
        <w:tabs>
          <w:tab w:val="num" w:pos="5981"/>
        </w:tabs>
        <w:ind w:left="5981" w:hanging="360"/>
      </w:pPr>
      <w:rPr>
        <w:rFonts w:ascii="Courier New" w:hAnsi="Courier New" w:hint="default"/>
      </w:rPr>
    </w:lvl>
    <w:lvl w:ilvl="5" w:tplc="040C0005" w:tentative="1">
      <w:start w:val="1"/>
      <w:numFmt w:val="bullet"/>
      <w:lvlText w:val=""/>
      <w:lvlJc w:val="left"/>
      <w:pPr>
        <w:tabs>
          <w:tab w:val="num" w:pos="6701"/>
        </w:tabs>
        <w:ind w:left="6701" w:hanging="360"/>
      </w:pPr>
      <w:rPr>
        <w:rFonts w:ascii="Wingdings" w:hAnsi="Wingdings" w:hint="default"/>
      </w:rPr>
    </w:lvl>
    <w:lvl w:ilvl="6" w:tplc="040C0001" w:tentative="1">
      <w:start w:val="1"/>
      <w:numFmt w:val="bullet"/>
      <w:lvlText w:val=""/>
      <w:lvlJc w:val="left"/>
      <w:pPr>
        <w:tabs>
          <w:tab w:val="num" w:pos="7421"/>
        </w:tabs>
        <w:ind w:left="7421" w:hanging="360"/>
      </w:pPr>
      <w:rPr>
        <w:rFonts w:ascii="Symbol" w:hAnsi="Symbol" w:hint="default"/>
      </w:rPr>
    </w:lvl>
    <w:lvl w:ilvl="7" w:tplc="040C0003" w:tentative="1">
      <w:start w:val="1"/>
      <w:numFmt w:val="bullet"/>
      <w:lvlText w:val="o"/>
      <w:lvlJc w:val="left"/>
      <w:pPr>
        <w:tabs>
          <w:tab w:val="num" w:pos="8141"/>
        </w:tabs>
        <w:ind w:left="8141" w:hanging="360"/>
      </w:pPr>
      <w:rPr>
        <w:rFonts w:ascii="Courier New" w:hAnsi="Courier New" w:hint="default"/>
      </w:rPr>
    </w:lvl>
    <w:lvl w:ilvl="8" w:tplc="040C0005" w:tentative="1">
      <w:start w:val="1"/>
      <w:numFmt w:val="bullet"/>
      <w:lvlText w:val=""/>
      <w:lvlJc w:val="left"/>
      <w:pPr>
        <w:tabs>
          <w:tab w:val="num" w:pos="8861"/>
        </w:tabs>
        <w:ind w:left="8861"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7"/>
  </w:num>
  <w:num w:numId="2" w16cid:durableId="966817556">
    <w:abstractNumId w:val="11"/>
  </w:num>
  <w:num w:numId="3" w16cid:durableId="1816291531">
    <w:abstractNumId w:val="10"/>
  </w:num>
  <w:num w:numId="4" w16cid:durableId="1492480875">
    <w:abstractNumId w:val="18"/>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5"/>
  </w:num>
  <w:num w:numId="17" w16cid:durableId="53941411">
    <w:abstractNumId w:val="12"/>
  </w:num>
  <w:num w:numId="18" w16cid:durableId="961153681">
    <w:abstractNumId w:val="14"/>
  </w:num>
  <w:num w:numId="19" w16cid:durableId="1272468768">
    <w:abstractNumId w:val="15"/>
  </w:num>
  <w:num w:numId="20" w16cid:durableId="807743971">
    <w:abstractNumId w:val="12"/>
  </w:num>
  <w:num w:numId="21" w16cid:durableId="1591162185">
    <w:abstractNumId w:val="14"/>
  </w:num>
  <w:num w:numId="22" w16cid:durableId="97159979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C8"/>
    <w:rsid w:val="00005499"/>
    <w:rsid w:val="00033EE1"/>
    <w:rsid w:val="00042B72"/>
    <w:rsid w:val="000558BD"/>
    <w:rsid w:val="000B57E7"/>
    <w:rsid w:val="000B6373"/>
    <w:rsid w:val="000E4E5B"/>
    <w:rsid w:val="000F09DF"/>
    <w:rsid w:val="000F61B2"/>
    <w:rsid w:val="001075E9"/>
    <w:rsid w:val="0014152F"/>
    <w:rsid w:val="001427C4"/>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40379B"/>
    <w:rsid w:val="00407B78"/>
    <w:rsid w:val="00424203"/>
    <w:rsid w:val="00452493"/>
    <w:rsid w:val="00453318"/>
    <w:rsid w:val="00454AF2"/>
    <w:rsid w:val="00454E07"/>
    <w:rsid w:val="00472C5C"/>
    <w:rsid w:val="00473CC1"/>
    <w:rsid w:val="00485F8A"/>
    <w:rsid w:val="004E05B7"/>
    <w:rsid w:val="0050108D"/>
    <w:rsid w:val="00513081"/>
    <w:rsid w:val="00517901"/>
    <w:rsid w:val="00526683"/>
    <w:rsid w:val="00526DB8"/>
    <w:rsid w:val="00526DF7"/>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12CF9"/>
    <w:rsid w:val="00734ACB"/>
    <w:rsid w:val="00757357"/>
    <w:rsid w:val="00792497"/>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95CC8"/>
    <w:rsid w:val="00BC18B2"/>
    <w:rsid w:val="00BD33EE"/>
    <w:rsid w:val="00BE1CC7"/>
    <w:rsid w:val="00C106D6"/>
    <w:rsid w:val="00C119AE"/>
    <w:rsid w:val="00C44A55"/>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73F76"/>
    <w:rsid w:val="00E91A4A"/>
    <w:rsid w:val="00EA2C9F"/>
    <w:rsid w:val="00EA420E"/>
    <w:rsid w:val="00ED0BDA"/>
    <w:rsid w:val="00EE142A"/>
    <w:rsid w:val="00EF1360"/>
    <w:rsid w:val="00EF3220"/>
    <w:rsid w:val="00F2523A"/>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932F3"/>
  <w15:docId w15:val="{A0DEE981-2A6C-46CA-9AA1-1B5C44F5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qFormat/>
    <w:rsid w:val="001427C4"/>
    <w:rPr>
      <w:lang w:val="ru-RU" w:eastAsia="en-US"/>
    </w:rPr>
  </w:style>
  <w:style w:type="character" w:customStyle="1" w:styleId="H1GChar">
    <w:name w:val="_ H_1_G Char"/>
    <w:link w:val="H1G"/>
    <w:qFormat/>
    <w:rsid w:val="001427C4"/>
    <w:rPr>
      <w:b/>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DE674-14EE-458D-A5B8-8B4C5B1319BE}"/>
</file>

<file path=customXml/itemProps2.xml><?xml version="1.0" encoding="utf-8"?>
<ds:datastoreItem xmlns:ds="http://schemas.openxmlformats.org/officeDocument/2006/customXml" ds:itemID="{ECF130F1-0884-4F74-9647-BDDBD499DD9C}"/>
</file>

<file path=docProps/app.xml><?xml version="1.0" encoding="utf-8"?>
<Properties xmlns="http://schemas.openxmlformats.org/officeDocument/2006/extended-properties" xmlns:vt="http://schemas.openxmlformats.org/officeDocument/2006/docPropsVTypes">
  <Template>ECE.dotm</Template>
  <TotalTime>1</TotalTime>
  <Pages>10</Pages>
  <Words>2709</Words>
  <Characters>17733</Characters>
  <Application>Microsoft Office Word</Application>
  <DocSecurity>0</DocSecurity>
  <Lines>501</Lines>
  <Paragraphs>238</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ECE/TRANS/WP.15/265/Add.1</vt:lpstr>
      <vt:lpstr>A/</vt:lpstr>
      <vt:lpstr>A/</vt:lpstr>
    </vt:vector>
  </TitlesOfParts>
  <Company>DCM</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ECE/TRANS/WP.15/265/Add.1</dc:title>
  <dc:subject/>
  <dc:creator>Larisa MAYKOVSKAYA</dc:creator>
  <cp:keywords/>
  <cp:lastModifiedBy>Larisa MAYKOVSKAYA</cp:lastModifiedBy>
  <cp:revision>3</cp:revision>
  <cp:lastPrinted>2024-05-27T10:05:00Z</cp:lastPrinted>
  <dcterms:created xsi:type="dcterms:W3CDTF">2024-05-27T10:05:00Z</dcterms:created>
  <dcterms:modified xsi:type="dcterms:W3CDTF">2024-05-27T10:05:00Z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