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433FD" w:rsidRPr="00677A2B" w14:paraId="692E3CD9" w14:textId="77777777" w:rsidTr="005316B0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0139BB04" w14:textId="77777777" w:rsidR="001433FD" w:rsidRPr="00DB58B5" w:rsidRDefault="001433FD" w:rsidP="0001207F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EC834AA" w14:textId="77777777" w:rsidR="001433FD" w:rsidRPr="00677A2B" w:rsidRDefault="001433FD">
            <w:pPr>
              <w:spacing w:after="80" w:line="300" w:lineRule="exact"/>
              <w:rPr>
                <w:sz w:val="28"/>
              </w:rPr>
            </w:pPr>
            <w:r w:rsidRPr="00677A2B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19917AF" w14:textId="52E8A2D3" w:rsidR="001433FD" w:rsidRPr="00EC28B3" w:rsidRDefault="00EC28B3" w:rsidP="00EC28B3">
            <w:pPr>
              <w:jc w:val="right"/>
            </w:pPr>
            <w:r w:rsidRPr="00EC28B3">
              <w:rPr>
                <w:sz w:val="40"/>
              </w:rPr>
              <w:t>ECE</w:t>
            </w:r>
            <w:r>
              <w:t>/TRANS/WP.15/265/Add.1</w:t>
            </w:r>
          </w:p>
        </w:tc>
      </w:tr>
      <w:tr w:rsidR="001433FD" w:rsidRPr="00677A2B" w14:paraId="3221BBAF" w14:textId="77777777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DE12FBB" w14:textId="77777777" w:rsidR="001433FD" w:rsidRPr="00677A2B" w:rsidRDefault="001433FD">
            <w:pPr>
              <w:spacing w:before="120"/>
              <w:jc w:val="center"/>
            </w:pPr>
            <w:r w:rsidRPr="00677A2B">
              <w:rPr>
                <w:noProof/>
                <w:lang w:eastAsia="fr-CH"/>
              </w:rPr>
              <w:drawing>
                <wp:inline distT="0" distB="0" distL="0" distR="0" wp14:anchorId="0B21CB69" wp14:editId="2A8538D0">
                  <wp:extent cx="714375" cy="590550"/>
                  <wp:effectExtent l="0" t="0" r="9525" b="0"/>
                  <wp:docPr id="3" name="Picture 3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2F0ECEE" w14:textId="77777777" w:rsidR="001433FD" w:rsidRPr="00677A2B" w:rsidRDefault="001433FD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677A2B">
              <w:rPr>
                <w:b/>
                <w:sz w:val="40"/>
                <w:szCs w:val="40"/>
              </w:rPr>
              <w:t>Conseil économique 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FBE31B0" w14:textId="77777777" w:rsidR="0001207F" w:rsidRPr="00677A2B" w:rsidRDefault="007658F9" w:rsidP="007658F9">
            <w:pPr>
              <w:spacing w:before="240" w:line="240" w:lineRule="exact"/>
            </w:pPr>
            <w:proofErr w:type="spellStart"/>
            <w:r w:rsidRPr="00677A2B">
              <w:t>Distr</w:t>
            </w:r>
            <w:proofErr w:type="spellEnd"/>
            <w:r w:rsidRPr="00677A2B">
              <w:t>. générale</w:t>
            </w:r>
          </w:p>
          <w:p w14:paraId="1E8514DE" w14:textId="777055AF" w:rsidR="007658F9" w:rsidRPr="00677A2B" w:rsidRDefault="00247E54" w:rsidP="007658F9">
            <w:pPr>
              <w:spacing w:line="240" w:lineRule="exact"/>
            </w:pPr>
            <w:r w:rsidRPr="00677A2B">
              <w:t>16</w:t>
            </w:r>
            <w:r w:rsidR="007658F9" w:rsidRPr="00677A2B">
              <w:t xml:space="preserve"> mai 2024</w:t>
            </w:r>
          </w:p>
          <w:p w14:paraId="727E39A6" w14:textId="3A707579" w:rsidR="007658F9" w:rsidRPr="00677A2B" w:rsidRDefault="00782F17" w:rsidP="007658F9">
            <w:pPr>
              <w:spacing w:line="240" w:lineRule="exact"/>
            </w:pPr>
            <w:r w:rsidRPr="00677A2B">
              <w:t>Français</w:t>
            </w:r>
          </w:p>
          <w:p w14:paraId="6F768D90" w14:textId="32783733" w:rsidR="007658F9" w:rsidRPr="00677A2B" w:rsidRDefault="007658F9" w:rsidP="007658F9">
            <w:pPr>
              <w:spacing w:line="240" w:lineRule="exact"/>
            </w:pPr>
            <w:r w:rsidRPr="00677A2B">
              <w:t xml:space="preserve">Original : </w:t>
            </w:r>
            <w:r w:rsidR="00782F17" w:rsidRPr="00677A2B">
              <w:t xml:space="preserve">anglais et </w:t>
            </w:r>
            <w:r w:rsidRPr="00677A2B">
              <w:t>français</w:t>
            </w:r>
          </w:p>
        </w:tc>
      </w:tr>
    </w:tbl>
    <w:p w14:paraId="50E44A37" w14:textId="18AEE915" w:rsidR="00595DFB" w:rsidRPr="00677A2B" w:rsidRDefault="00595DFB" w:rsidP="00595DFB">
      <w:pPr>
        <w:spacing w:before="120"/>
        <w:rPr>
          <w:b/>
          <w:sz w:val="28"/>
          <w:szCs w:val="28"/>
          <w:lang w:val="fr-FR"/>
        </w:rPr>
      </w:pPr>
      <w:r w:rsidRPr="00677A2B">
        <w:rPr>
          <w:b/>
          <w:sz w:val="28"/>
          <w:szCs w:val="28"/>
          <w:lang w:val="fr-FR"/>
        </w:rPr>
        <w:t>Commission économique pour l</w:t>
      </w:r>
      <w:r w:rsidR="00281F27">
        <w:rPr>
          <w:b/>
          <w:sz w:val="28"/>
          <w:szCs w:val="28"/>
          <w:lang w:val="fr-FR"/>
        </w:rPr>
        <w:t>’</w:t>
      </w:r>
      <w:r w:rsidRPr="00677A2B">
        <w:rPr>
          <w:b/>
          <w:sz w:val="28"/>
          <w:szCs w:val="28"/>
          <w:lang w:val="fr-FR"/>
        </w:rPr>
        <w:t>Europe</w:t>
      </w:r>
    </w:p>
    <w:p w14:paraId="610013BE" w14:textId="77777777" w:rsidR="00595DFB" w:rsidRPr="00677A2B" w:rsidRDefault="00595DFB" w:rsidP="00595DFB">
      <w:pPr>
        <w:spacing w:before="120"/>
        <w:rPr>
          <w:sz w:val="28"/>
          <w:szCs w:val="28"/>
          <w:lang w:val="fr-FR"/>
        </w:rPr>
      </w:pPr>
      <w:r w:rsidRPr="00677A2B">
        <w:rPr>
          <w:sz w:val="28"/>
          <w:szCs w:val="28"/>
          <w:lang w:val="fr-FR"/>
        </w:rPr>
        <w:t>Comité des transports intérieurs</w:t>
      </w:r>
    </w:p>
    <w:p w14:paraId="5B025236" w14:textId="77777777" w:rsidR="00595DFB" w:rsidRPr="00677A2B" w:rsidRDefault="00595DFB" w:rsidP="00595DFB">
      <w:pPr>
        <w:spacing w:before="120"/>
        <w:rPr>
          <w:b/>
          <w:sz w:val="24"/>
          <w:szCs w:val="24"/>
          <w:lang w:val="fr-FR"/>
        </w:rPr>
      </w:pPr>
      <w:r w:rsidRPr="00677A2B">
        <w:rPr>
          <w:b/>
          <w:sz w:val="24"/>
          <w:szCs w:val="24"/>
          <w:lang w:val="fr-FR"/>
        </w:rPr>
        <w:t xml:space="preserve">Groupe de travail des transports </w:t>
      </w:r>
      <w:r w:rsidRPr="00677A2B">
        <w:rPr>
          <w:b/>
          <w:sz w:val="24"/>
          <w:szCs w:val="24"/>
          <w:lang w:val="fr-FR"/>
        </w:rPr>
        <w:br/>
        <w:t>de marchandises dangereuses</w:t>
      </w:r>
    </w:p>
    <w:p w14:paraId="0318DAEE" w14:textId="77777777" w:rsidR="00595DFB" w:rsidRPr="00677A2B" w:rsidRDefault="00595DFB" w:rsidP="00595DFB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  <w:lang w:val="fr-FR"/>
        </w:rPr>
      </w:pPr>
      <w:r w:rsidRPr="00677A2B">
        <w:rPr>
          <w:b/>
          <w:sz w:val="28"/>
          <w:lang w:val="fr-FR"/>
        </w:rPr>
        <w:tab/>
      </w:r>
      <w:r w:rsidRPr="00677A2B">
        <w:rPr>
          <w:b/>
          <w:sz w:val="28"/>
          <w:lang w:val="fr-FR"/>
        </w:rPr>
        <w:tab/>
        <w:t>Accord relatif au transport international des marchandises dangereuses par route (ADR)</w:t>
      </w:r>
    </w:p>
    <w:p w14:paraId="6B9392DB" w14:textId="47064C94" w:rsidR="00595DFB" w:rsidRPr="00677A2B" w:rsidRDefault="00595DFB" w:rsidP="00595DFB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outlineLvl w:val="0"/>
        <w:rPr>
          <w:b/>
          <w:sz w:val="24"/>
          <w:lang w:val="fr-FR"/>
        </w:rPr>
      </w:pPr>
      <w:r w:rsidRPr="00677A2B">
        <w:rPr>
          <w:b/>
          <w:sz w:val="24"/>
          <w:lang w:val="fr-FR"/>
        </w:rPr>
        <w:tab/>
      </w:r>
      <w:r w:rsidRPr="00677A2B">
        <w:rPr>
          <w:b/>
          <w:sz w:val="24"/>
          <w:lang w:val="fr-FR"/>
        </w:rPr>
        <w:tab/>
        <w:t>Projet d</w:t>
      </w:r>
      <w:r w:rsidR="00281F27">
        <w:rPr>
          <w:b/>
          <w:sz w:val="24"/>
          <w:lang w:val="fr-FR"/>
        </w:rPr>
        <w:t>’</w:t>
      </w:r>
      <w:r w:rsidRPr="00677A2B">
        <w:rPr>
          <w:b/>
          <w:sz w:val="24"/>
          <w:lang w:val="fr-FR"/>
        </w:rPr>
        <w:t>amendements aux annexes A et B de l</w:t>
      </w:r>
      <w:r w:rsidR="00281F27">
        <w:rPr>
          <w:b/>
          <w:sz w:val="24"/>
          <w:lang w:val="fr-FR"/>
        </w:rPr>
        <w:t>’</w:t>
      </w:r>
      <w:r w:rsidRPr="00677A2B">
        <w:rPr>
          <w:b/>
          <w:sz w:val="24"/>
          <w:lang w:val="fr-FR"/>
        </w:rPr>
        <w:t>ADR</w:t>
      </w:r>
    </w:p>
    <w:p w14:paraId="6C50EDF5" w14:textId="77777777" w:rsidR="00DD01E3" w:rsidRPr="00677A2B" w:rsidRDefault="00DD01E3" w:rsidP="00DD01E3">
      <w:pPr>
        <w:keepNext/>
        <w:keepLines/>
        <w:tabs>
          <w:tab w:val="right" w:pos="851"/>
        </w:tabs>
        <w:spacing w:before="240" w:after="120" w:line="240" w:lineRule="exact"/>
        <w:ind w:left="1134" w:right="1134" w:hanging="1134"/>
        <w:rPr>
          <w:b/>
          <w:lang w:val="fr-FR" w:eastAsia="en-US"/>
        </w:rPr>
      </w:pPr>
      <w:r w:rsidRPr="00677A2B">
        <w:rPr>
          <w:b/>
          <w:lang w:val="fr-FR" w:eastAsia="en-US"/>
        </w:rPr>
        <w:tab/>
      </w:r>
      <w:r w:rsidRPr="00677A2B">
        <w:rPr>
          <w:b/>
          <w:lang w:val="fr-FR" w:eastAsia="en-US"/>
        </w:rPr>
        <w:tab/>
        <w:t>Additif</w:t>
      </w:r>
    </w:p>
    <w:p w14:paraId="1775D6D2" w14:textId="77777777" w:rsidR="00595DFB" w:rsidRPr="00677A2B" w:rsidRDefault="00595DFB" w:rsidP="00595DFB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outlineLvl w:val="0"/>
        <w:rPr>
          <w:b/>
          <w:sz w:val="24"/>
          <w:lang w:val="fr-FR"/>
        </w:rPr>
      </w:pPr>
      <w:r w:rsidRPr="00677A2B">
        <w:rPr>
          <w:b/>
          <w:sz w:val="24"/>
          <w:lang w:val="fr-FR"/>
        </w:rPr>
        <w:tab/>
      </w:r>
      <w:r w:rsidRPr="00677A2B">
        <w:rPr>
          <w:b/>
          <w:sz w:val="24"/>
          <w:lang w:val="fr-FR"/>
        </w:rPr>
        <w:tab/>
        <w:t>Note du secrétariat</w:t>
      </w:r>
    </w:p>
    <w:p w14:paraId="250B5677" w14:textId="2B8786BD" w:rsidR="006B5D82" w:rsidRPr="00677A2B" w:rsidRDefault="00595DFB" w:rsidP="006B5D82">
      <w:pPr>
        <w:spacing w:after="120"/>
        <w:ind w:left="1134" w:right="1134"/>
        <w:jc w:val="both"/>
        <w:rPr>
          <w:lang w:val="fr-FR" w:eastAsia="en-US"/>
        </w:rPr>
      </w:pPr>
      <w:r w:rsidRPr="00677A2B">
        <w:rPr>
          <w:lang w:val="fr-FR"/>
        </w:rPr>
        <w:tab/>
      </w:r>
      <w:r w:rsidR="006B5D82" w:rsidRPr="00677A2B">
        <w:rPr>
          <w:lang w:val="fr-FR" w:eastAsia="en-US"/>
        </w:rPr>
        <w:tab/>
        <w:t xml:space="preserve">À sa </w:t>
      </w:r>
      <w:r w:rsidR="00BB73BB" w:rsidRPr="00677A2B">
        <w:rPr>
          <w:lang w:val="fr-FR" w:eastAsia="en-US"/>
        </w:rPr>
        <w:t xml:space="preserve">115e </w:t>
      </w:r>
      <w:r w:rsidR="006B5D82" w:rsidRPr="00677A2B">
        <w:rPr>
          <w:lang w:val="fr-FR" w:eastAsia="en-US"/>
        </w:rPr>
        <w:t>session, le Groupe de travail des transports de marchandises dangereuses a prié le secrétariat de diffuser une liste supplémentaire d</w:t>
      </w:r>
      <w:r w:rsidR="00281F27">
        <w:rPr>
          <w:lang w:val="fr-FR" w:eastAsia="en-US"/>
        </w:rPr>
        <w:t>’</w:t>
      </w:r>
      <w:r w:rsidR="006B5D82" w:rsidRPr="00677A2B">
        <w:rPr>
          <w:lang w:val="fr-FR" w:eastAsia="en-US"/>
        </w:rPr>
        <w:t>amendements dont l</w:t>
      </w:r>
      <w:r w:rsidR="00281F27">
        <w:rPr>
          <w:lang w:val="fr-FR" w:eastAsia="en-US"/>
        </w:rPr>
        <w:t>’</w:t>
      </w:r>
      <w:r w:rsidR="006B5D82" w:rsidRPr="00677A2B">
        <w:rPr>
          <w:lang w:val="fr-FR" w:eastAsia="en-US"/>
        </w:rPr>
        <w:t xml:space="preserve">entrée en vigueur est prévue le 1er janvier </w:t>
      </w:r>
      <w:r w:rsidR="00BB73BB" w:rsidRPr="00677A2B">
        <w:rPr>
          <w:lang w:val="fr-FR" w:eastAsia="en-US"/>
        </w:rPr>
        <w:t>202</w:t>
      </w:r>
      <w:r w:rsidR="0036376B">
        <w:rPr>
          <w:lang w:val="fr-FR" w:eastAsia="en-US"/>
        </w:rPr>
        <w:t>5</w:t>
      </w:r>
      <w:r w:rsidR="00BB73BB" w:rsidRPr="00677A2B">
        <w:rPr>
          <w:lang w:val="fr-FR" w:eastAsia="en-US"/>
        </w:rPr>
        <w:t xml:space="preserve"> </w:t>
      </w:r>
      <w:r w:rsidR="006B5D82" w:rsidRPr="00677A2B">
        <w:rPr>
          <w:lang w:val="fr-FR" w:eastAsia="en-US"/>
        </w:rPr>
        <w:t>sous la forme d</w:t>
      </w:r>
      <w:r w:rsidR="00281F27">
        <w:rPr>
          <w:lang w:val="fr-FR" w:eastAsia="en-US"/>
        </w:rPr>
        <w:t>’</w:t>
      </w:r>
      <w:r w:rsidR="006B5D82" w:rsidRPr="00677A2B">
        <w:rPr>
          <w:lang w:val="fr-FR" w:eastAsia="en-US"/>
        </w:rPr>
        <w:t>un additif au document ECE/TRANS/WP.15/</w:t>
      </w:r>
      <w:r w:rsidR="00196311">
        <w:rPr>
          <w:lang w:val="fr-FR" w:eastAsia="en-US"/>
        </w:rPr>
        <w:t>2</w:t>
      </w:r>
      <w:r w:rsidR="00BB73BB" w:rsidRPr="00677A2B">
        <w:rPr>
          <w:lang w:val="fr-FR" w:eastAsia="en-US"/>
        </w:rPr>
        <w:t>65</w:t>
      </w:r>
      <w:r w:rsidR="006B5D82" w:rsidRPr="00677A2B">
        <w:rPr>
          <w:lang w:val="fr-FR" w:eastAsia="en-US"/>
        </w:rPr>
        <w:t xml:space="preserve">, que </w:t>
      </w:r>
      <w:r w:rsidR="00BB73BB" w:rsidRPr="00677A2B">
        <w:rPr>
          <w:lang w:val="fr-FR" w:eastAsia="en-US"/>
        </w:rPr>
        <w:t xml:space="preserve">la </w:t>
      </w:r>
      <w:r w:rsidR="006B5D82" w:rsidRPr="00677A2B">
        <w:rPr>
          <w:lang w:val="fr-FR" w:eastAsia="en-US"/>
        </w:rPr>
        <w:t>Président</w:t>
      </w:r>
      <w:r w:rsidR="00BB73BB" w:rsidRPr="00677A2B">
        <w:rPr>
          <w:lang w:val="fr-FR" w:eastAsia="en-US"/>
        </w:rPr>
        <w:t>e</w:t>
      </w:r>
      <w:r w:rsidR="006B5D82" w:rsidRPr="00677A2B">
        <w:rPr>
          <w:lang w:val="fr-FR" w:eastAsia="en-US"/>
        </w:rPr>
        <w:t xml:space="preserve"> transmettra aux Parties contractantes par le biais de son gouvernement pour acceptation conformément à la procédure de l</w:t>
      </w:r>
      <w:r w:rsidR="00281F27">
        <w:rPr>
          <w:lang w:val="fr-FR" w:eastAsia="en-US"/>
        </w:rPr>
        <w:t>’</w:t>
      </w:r>
      <w:r w:rsidR="006B5D82" w:rsidRPr="00677A2B">
        <w:rPr>
          <w:lang w:val="fr-FR" w:eastAsia="en-US"/>
        </w:rPr>
        <w:t>article 14 de l</w:t>
      </w:r>
      <w:r w:rsidR="00281F27">
        <w:rPr>
          <w:lang w:val="fr-FR" w:eastAsia="en-US"/>
        </w:rPr>
        <w:t>’</w:t>
      </w:r>
      <w:r w:rsidR="006B5D82" w:rsidRPr="00677A2B">
        <w:rPr>
          <w:lang w:val="fr-FR" w:eastAsia="en-US"/>
        </w:rPr>
        <w:t>ADR (voir ECE/TRANS/WP.15/</w:t>
      </w:r>
      <w:r w:rsidR="00BB73BB" w:rsidRPr="00677A2B">
        <w:rPr>
          <w:lang w:val="fr-FR" w:eastAsia="en-US"/>
        </w:rPr>
        <w:t>26</w:t>
      </w:r>
      <w:r w:rsidR="004B668A" w:rsidRPr="00677A2B">
        <w:rPr>
          <w:lang w:val="fr-FR" w:eastAsia="en-US"/>
        </w:rPr>
        <w:t>7</w:t>
      </w:r>
      <w:r w:rsidR="006B5D82" w:rsidRPr="00677A2B">
        <w:rPr>
          <w:lang w:val="fr-FR" w:eastAsia="en-US"/>
        </w:rPr>
        <w:t xml:space="preserve">, paragraphe </w:t>
      </w:r>
      <w:r w:rsidR="001C4C34" w:rsidRPr="00677A2B">
        <w:rPr>
          <w:lang w:val="fr-FR" w:eastAsia="en-US"/>
        </w:rPr>
        <w:t>72</w:t>
      </w:r>
      <w:r w:rsidR="006B5D82" w:rsidRPr="00677A2B">
        <w:rPr>
          <w:lang w:val="fr-FR" w:eastAsia="en-US"/>
        </w:rPr>
        <w:t>).</w:t>
      </w:r>
    </w:p>
    <w:p w14:paraId="1F653B7F" w14:textId="44ADE1A9" w:rsidR="00595DFB" w:rsidRPr="00677A2B" w:rsidRDefault="006B5D82" w:rsidP="006B5D82">
      <w:pPr>
        <w:spacing w:after="120"/>
        <w:ind w:left="1134" w:right="1134"/>
        <w:jc w:val="both"/>
        <w:rPr>
          <w:lang w:val="fr-FR"/>
        </w:rPr>
      </w:pPr>
      <w:r w:rsidRPr="00677A2B">
        <w:rPr>
          <w:lang w:val="fr-FR" w:eastAsia="en-US"/>
        </w:rPr>
        <w:tab/>
      </w:r>
      <w:r w:rsidRPr="00677A2B">
        <w:rPr>
          <w:lang w:val="fr-FR" w:eastAsia="en-US"/>
        </w:rPr>
        <w:tab/>
      </w:r>
      <w:r w:rsidRPr="00677A2B">
        <w:rPr>
          <w:bCs/>
          <w:lang w:val="fr-FR" w:eastAsia="en-US"/>
        </w:rPr>
        <w:t xml:space="preserve">Le présent document contient la liste supplémentaire requise des amendements adoptés par le Groupe de travail à sa </w:t>
      </w:r>
      <w:r w:rsidR="001C4C34" w:rsidRPr="00677A2B">
        <w:rPr>
          <w:bCs/>
          <w:lang w:val="fr-FR" w:eastAsia="en-US"/>
        </w:rPr>
        <w:t xml:space="preserve">115e </w:t>
      </w:r>
      <w:r w:rsidRPr="00677A2B">
        <w:rPr>
          <w:bCs/>
          <w:lang w:val="fr-FR" w:eastAsia="en-US"/>
        </w:rPr>
        <w:t>session.</w:t>
      </w:r>
    </w:p>
    <w:p w14:paraId="1AD3EADB" w14:textId="54DADDC9" w:rsidR="001C4C34" w:rsidRPr="00677A2B" w:rsidRDefault="001C4C34">
      <w:pPr>
        <w:rPr>
          <w:bCs/>
          <w:lang w:val="fr-FR"/>
        </w:rPr>
      </w:pPr>
      <w:r w:rsidRPr="00677A2B">
        <w:rPr>
          <w:bCs/>
          <w:lang w:val="fr-FR"/>
        </w:rPr>
        <w:br w:type="page"/>
      </w:r>
    </w:p>
    <w:p w14:paraId="69FC85F0" w14:textId="77777777" w:rsidR="00431D5E" w:rsidRPr="00677A2B" w:rsidRDefault="00431D5E" w:rsidP="00431D5E">
      <w:pPr>
        <w:pStyle w:val="H1G"/>
        <w:rPr>
          <w:lang w:val="fr-FR"/>
        </w:rPr>
      </w:pPr>
      <w:r w:rsidRPr="00677A2B">
        <w:rPr>
          <w:lang w:val="fr-FR"/>
        </w:rPr>
        <w:lastRenderedPageBreak/>
        <w:tab/>
      </w:r>
      <w:r w:rsidRPr="00677A2B">
        <w:rPr>
          <w:lang w:val="fr-FR"/>
        </w:rPr>
        <w:tab/>
        <w:t>Chapitre 1.1</w:t>
      </w:r>
    </w:p>
    <w:p w14:paraId="17AB27B9" w14:textId="2E0B7620" w:rsidR="00431D5E" w:rsidRPr="00677A2B" w:rsidRDefault="00431D5E" w:rsidP="00431D5E">
      <w:pPr>
        <w:pStyle w:val="SingleTxtG"/>
        <w:ind w:left="2268" w:hanging="1134"/>
      </w:pPr>
      <w:r w:rsidRPr="00677A2B">
        <w:rPr>
          <w:bCs/>
          <w:lang w:val="fr-FR"/>
        </w:rPr>
        <w:t xml:space="preserve">1.1.3.7 </w:t>
      </w:r>
      <w:r w:rsidRPr="00677A2B">
        <w:tab/>
        <w:t>À l</w:t>
      </w:r>
      <w:r w:rsidR="00281F27">
        <w:t>’</w:t>
      </w:r>
      <w:r w:rsidRPr="00677A2B">
        <w:t>alinéa b)</w:t>
      </w:r>
      <w:r w:rsidR="00F57CA9" w:rsidRPr="00677A2B">
        <w:t>,</w:t>
      </w:r>
      <w:r w:rsidRPr="00677A2B">
        <w:tab/>
        <w:t>remplacer « compartiments de charge » par « compartiments de chargement ».</w:t>
      </w:r>
    </w:p>
    <w:p w14:paraId="1C1FAE63" w14:textId="77777777" w:rsidR="00431D5E" w:rsidRPr="00677A2B" w:rsidRDefault="00431D5E" w:rsidP="00431D5E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1.2</w:t>
      </w:r>
    </w:p>
    <w:p w14:paraId="0671DF10" w14:textId="7DA16EE4" w:rsidR="00431D5E" w:rsidRPr="00677A2B" w:rsidRDefault="00431D5E" w:rsidP="00431D5E">
      <w:pPr>
        <w:pStyle w:val="SingleTxtG"/>
        <w:ind w:left="2268" w:right="566" w:hanging="1134"/>
        <w:rPr>
          <w:bCs/>
          <w:lang w:val="fr-FR"/>
        </w:rPr>
      </w:pPr>
      <w:r w:rsidRPr="00677A2B">
        <w:rPr>
          <w:bCs/>
          <w:lang w:val="fr-FR"/>
        </w:rPr>
        <w:t>1.2.1</w:t>
      </w:r>
      <w:r w:rsidRPr="00677A2B">
        <w:rPr>
          <w:bCs/>
          <w:lang w:val="fr-FR"/>
        </w:rPr>
        <w:tab/>
      </w:r>
      <w:r w:rsidR="00CA5E64" w:rsidRPr="00677A2B">
        <w:rPr>
          <w:bCs/>
          <w:lang w:val="fr-FR"/>
        </w:rPr>
        <w:tab/>
      </w:r>
      <w:r w:rsidRPr="00677A2B">
        <w:rPr>
          <w:bCs/>
          <w:lang w:val="fr-FR"/>
        </w:rPr>
        <w:t xml:space="preserve">Dans la définition de </w:t>
      </w:r>
      <w:r w:rsidRPr="00677A2B">
        <w:rPr>
          <w:bCs/>
          <w:i/>
          <w:lang w:val="fr-FR"/>
        </w:rPr>
        <w:t>« Conteneur pour vrac »</w:t>
      </w:r>
      <w:r w:rsidRPr="00677A2B">
        <w:rPr>
          <w:bCs/>
          <w:lang w:val="fr-FR"/>
        </w:rPr>
        <w:t>, dernier paragraph</w:t>
      </w:r>
      <w:r w:rsidR="00CA5E64" w:rsidRPr="00677A2B">
        <w:rPr>
          <w:bCs/>
          <w:lang w:val="fr-FR"/>
        </w:rPr>
        <w:t>e avant le nota</w:t>
      </w:r>
      <w:r w:rsidRPr="00677A2B">
        <w:rPr>
          <w:bCs/>
          <w:lang w:val="fr-FR"/>
        </w:rPr>
        <w:t>, remplacer « compartiments de charge » par « compartiments de chargement ».</w:t>
      </w:r>
    </w:p>
    <w:p w14:paraId="59872D25" w14:textId="2B0DEFC8" w:rsidR="00431D5E" w:rsidRPr="00677A2B" w:rsidRDefault="00431D5E" w:rsidP="00777DA9">
      <w:pPr>
        <w:pStyle w:val="SingleTxtG"/>
        <w:tabs>
          <w:tab w:val="clear" w:pos="2268"/>
        </w:tabs>
        <w:ind w:left="2268" w:right="566" w:hanging="1134"/>
        <w:rPr>
          <w:bCs/>
          <w:lang w:val="fr-FR"/>
        </w:rPr>
      </w:pPr>
      <w:r w:rsidRPr="00677A2B">
        <w:rPr>
          <w:bCs/>
          <w:lang w:val="fr-FR"/>
        </w:rPr>
        <w:t>1.2.2.1</w:t>
      </w:r>
      <w:r w:rsidRPr="00677A2B">
        <w:rPr>
          <w:bCs/>
          <w:lang w:val="fr-FR"/>
        </w:rPr>
        <w:tab/>
      </w:r>
      <w:r w:rsidRPr="00677A2B">
        <w:rPr>
          <w:bCs/>
          <w:lang w:val="fr-FR"/>
        </w:rPr>
        <w:tab/>
        <w:t>L</w:t>
      </w:r>
      <w:r w:rsidR="00281F27">
        <w:rPr>
          <w:bCs/>
          <w:lang w:val="fr-FR"/>
        </w:rPr>
        <w:t>’</w:t>
      </w:r>
      <w:r w:rsidRPr="00677A2B">
        <w:rPr>
          <w:bCs/>
          <w:lang w:val="fr-FR"/>
        </w:rPr>
        <w:t>amendement dans la version anglaise ne s</w:t>
      </w:r>
      <w:r w:rsidR="00281F27">
        <w:rPr>
          <w:bCs/>
          <w:lang w:val="fr-FR"/>
        </w:rPr>
        <w:t>’</w:t>
      </w:r>
      <w:r w:rsidRPr="00677A2B">
        <w:rPr>
          <w:bCs/>
          <w:lang w:val="fr-FR"/>
        </w:rPr>
        <w:t>applique pas au texte français.</w:t>
      </w:r>
    </w:p>
    <w:p w14:paraId="31DBD775" w14:textId="77777777" w:rsidR="00431D5E" w:rsidRPr="00677A2B" w:rsidRDefault="00431D5E" w:rsidP="00431D5E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1.4</w:t>
      </w:r>
    </w:p>
    <w:p w14:paraId="59E57660" w14:textId="3CDEEF14" w:rsidR="00431D5E" w:rsidRPr="00677A2B" w:rsidRDefault="00431D5E" w:rsidP="00431D5E">
      <w:pPr>
        <w:pStyle w:val="SingleTxtG"/>
        <w:ind w:left="2268" w:hanging="1134"/>
        <w:rPr>
          <w:bCs/>
          <w:lang w:val="fr-FR"/>
        </w:rPr>
      </w:pPr>
      <w:r w:rsidRPr="00677A2B">
        <w:rPr>
          <w:bCs/>
          <w:lang w:val="fr-FR"/>
        </w:rPr>
        <w:t>1.4.2.1.1</w:t>
      </w:r>
      <w:r w:rsidRPr="00677A2B">
        <w:rPr>
          <w:bCs/>
          <w:lang w:val="fr-FR"/>
        </w:rPr>
        <w:tab/>
        <w:t>À la fin de l</w:t>
      </w:r>
      <w:r w:rsidR="00281F27">
        <w:rPr>
          <w:bCs/>
          <w:lang w:val="fr-FR"/>
        </w:rPr>
        <w:t>’</w:t>
      </w:r>
      <w:r w:rsidRPr="00677A2B">
        <w:rPr>
          <w:bCs/>
          <w:lang w:val="fr-FR"/>
        </w:rPr>
        <w:t>alinéa e), remplacer le point par un point-virgule.</w:t>
      </w:r>
    </w:p>
    <w:p w14:paraId="52FB16AB" w14:textId="72AF710E" w:rsidR="00431D5E" w:rsidRPr="00677A2B" w:rsidRDefault="00764704" w:rsidP="00431D5E">
      <w:pPr>
        <w:pStyle w:val="SingleTxtG"/>
        <w:rPr>
          <w:lang w:val="fr-FR"/>
        </w:rPr>
      </w:pPr>
      <w:r w:rsidRPr="00677A2B">
        <w:rPr>
          <w:lang w:val="fr-FR" w:eastAsia="de-DE"/>
        </w:rPr>
        <w:tab/>
      </w:r>
      <w:r w:rsidRPr="00677A2B">
        <w:rPr>
          <w:lang w:val="fr-FR" w:eastAsia="de-DE"/>
        </w:rPr>
        <w:tab/>
      </w:r>
      <w:r w:rsidR="00431D5E" w:rsidRPr="00677A2B">
        <w:rPr>
          <w:lang w:val="fr-FR" w:eastAsia="de-DE"/>
        </w:rPr>
        <w:t>Ajouter le nouvel alinéa f) suivant :</w:t>
      </w:r>
    </w:p>
    <w:p w14:paraId="05A17724" w14:textId="4745BF7A" w:rsidR="00431D5E" w:rsidRPr="00677A2B" w:rsidRDefault="00431D5E" w:rsidP="00823FB3">
      <w:pPr>
        <w:pStyle w:val="SingleTxtG"/>
        <w:ind w:left="2268" w:hanging="1134"/>
        <w:rPr>
          <w:iCs/>
          <w:lang w:val="fr-FR" w:eastAsia="de-DE"/>
        </w:rPr>
      </w:pPr>
      <w:r w:rsidRPr="00677A2B">
        <w:rPr>
          <w:lang w:val="fr-FR"/>
        </w:rPr>
        <w:t>« f)</w:t>
      </w:r>
      <w:r w:rsidRPr="00677A2B">
        <w:rPr>
          <w:lang w:val="fr-FR"/>
        </w:rPr>
        <w:tab/>
      </w:r>
      <w:r w:rsidR="00823FB3" w:rsidRPr="00677A2B">
        <w:rPr>
          <w:lang w:val="fr-FR"/>
        </w:rPr>
        <w:tab/>
      </w:r>
      <w:r w:rsidRPr="00677A2B">
        <w:rPr>
          <w:lang w:val="fr-FR"/>
        </w:rPr>
        <w:t>Dans le cas de conteneurs-citernes et citernes mobiles transportant des gaz liquéfiés réfrigérés, veiller à ce que le temps de retenue réel soit déterminé le cas échéant ou, dans le cas de conteneurs-citernes et citernes mobiles vides non nettoyés, veiller à ce que la pression soit suffisamment réduite. »</w:t>
      </w:r>
    </w:p>
    <w:p w14:paraId="40F6DEB5" w14:textId="77777777" w:rsidR="008934D2" w:rsidRPr="00677A2B" w:rsidRDefault="008934D2" w:rsidP="008934D2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1.6</w:t>
      </w:r>
    </w:p>
    <w:p w14:paraId="59CA8AE9" w14:textId="7E3DACB4" w:rsidR="008934D2" w:rsidRPr="00677A2B" w:rsidRDefault="008934D2" w:rsidP="008934D2">
      <w:pPr>
        <w:pStyle w:val="SingleTxtG"/>
        <w:ind w:left="2268" w:hanging="1134"/>
        <w:rPr>
          <w:lang w:val="fr-FR"/>
        </w:rPr>
      </w:pPr>
      <w:r w:rsidRPr="00677A2B">
        <w:rPr>
          <w:lang w:val="fr-FR"/>
        </w:rPr>
        <w:t>1.6.1.51</w:t>
      </w:r>
      <w:r w:rsidRPr="00677A2B">
        <w:rPr>
          <w:lang w:val="fr-FR"/>
        </w:rPr>
        <w:tab/>
        <w:t>Dans le paragraphe après les trois tirets, remplacer « 30 juin 2025 » par « 30 juin 2027 ».</w:t>
      </w:r>
    </w:p>
    <w:p w14:paraId="4A3FFF96" w14:textId="1F175E11" w:rsidR="008934D2" w:rsidRPr="00677A2B" w:rsidRDefault="008934D2" w:rsidP="006F44CD">
      <w:pPr>
        <w:pStyle w:val="SingleTxtG"/>
        <w:tabs>
          <w:tab w:val="clear" w:pos="1701"/>
        </w:tabs>
        <w:ind w:left="2268" w:hanging="1134"/>
        <w:rPr>
          <w:bCs/>
          <w:iCs/>
          <w:lang w:val="fr-FR"/>
        </w:rPr>
      </w:pPr>
      <w:r w:rsidRPr="00677A2B">
        <w:rPr>
          <w:bCs/>
          <w:iCs/>
          <w:lang w:val="fr-FR"/>
        </w:rPr>
        <w:t>1.6.4</w:t>
      </w:r>
      <w:r w:rsidRPr="00677A2B">
        <w:rPr>
          <w:bCs/>
          <w:iCs/>
          <w:lang w:val="fr-FR"/>
        </w:rPr>
        <w:tab/>
      </w:r>
      <w:r w:rsidR="008D64BE" w:rsidRPr="00677A2B">
        <w:rPr>
          <w:bCs/>
          <w:iCs/>
          <w:lang w:val="fr-FR"/>
        </w:rPr>
        <w:t xml:space="preserve">Ajouter </w:t>
      </w:r>
      <w:r w:rsidRPr="00677A2B">
        <w:rPr>
          <w:bCs/>
          <w:iCs/>
          <w:lang w:val="fr-FR"/>
        </w:rPr>
        <w:t>la nouvelle mesure transitoire suivante :</w:t>
      </w:r>
    </w:p>
    <w:p w14:paraId="143CE966" w14:textId="79D65863" w:rsidR="008934D2" w:rsidRPr="00677A2B" w:rsidRDefault="008934D2" w:rsidP="008934D2">
      <w:pPr>
        <w:pStyle w:val="SingleTxtG"/>
        <w:ind w:left="2268" w:hanging="1134"/>
        <w:rPr>
          <w:lang w:val="fr-FR"/>
        </w:rPr>
      </w:pPr>
      <w:r w:rsidRPr="00677A2B">
        <w:rPr>
          <w:iCs/>
          <w:lang w:val="fr-FR"/>
        </w:rPr>
        <w:t>« </w:t>
      </w:r>
      <w:r w:rsidRPr="00677A2B">
        <w:rPr>
          <w:lang w:val="fr-FR"/>
        </w:rPr>
        <w:t>1.6.4.66</w:t>
      </w:r>
      <w:r w:rsidRPr="00677A2B">
        <w:rPr>
          <w:lang w:val="fr-FR"/>
        </w:rPr>
        <w:tab/>
        <w:t>Les citernes mobiles construites avant le 1</w:t>
      </w:r>
      <w:r w:rsidRPr="00677A2B">
        <w:rPr>
          <w:vertAlign w:val="superscript"/>
          <w:lang w:val="fr-FR"/>
        </w:rPr>
        <w:t>er</w:t>
      </w:r>
      <w:r w:rsidRPr="00677A2B">
        <w:rPr>
          <w:lang w:val="fr-FR"/>
        </w:rPr>
        <w:t> janvier 2027 selon les prescriptions applicables jusqu</w:t>
      </w:r>
      <w:r w:rsidR="00281F27">
        <w:rPr>
          <w:lang w:val="fr-FR"/>
        </w:rPr>
        <w:t>’</w:t>
      </w:r>
      <w:r w:rsidRPr="00677A2B">
        <w:rPr>
          <w:lang w:val="fr-FR"/>
        </w:rPr>
        <w:t>au 31 décembre 2024, mais qui ne sont cependant pas conformes aux prescriptions du 6.7.4.15.1 i) iv) applicables à partir du 1</w:t>
      </w:r>
      <w:r w:rsidRPr="00677A2B">
        <w:rPr>
          <w:vertAlign w:val="superscript"/>
          <w:lang w:val="fr-FR"/>
        </w:rPr>
        <w:t>er</w:t>
      </w:r>
      <w:r w:rsidRPr="00677A2B">
        <w:rPr>
          <w:lang w:val="fr-FR"/>
        </w:rPr>
        <w:t> janvier 2025, peuvent encore être utilisées. »</w:t>
      </w:r>
    </w:p>
    <w:p w14:paraId="513DC04E" w14:textId="7DDB7B24" w:rsidR="00865B3A" w:rsidRPr="00677A2B" w:rsidRDefault="00865B3A" w:rsidP="00865B3A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>1.6.5.4</w:t>
      </w:r>
      <w:r w:rsidRPr="00677A2B">
        <w:rPr>
          <w:lang w:val="fr-FR"/>
        </w:rPr>
        <w:tab/>
        <w:t>Remplacer « </w:t>
      </w:r>
      <w:r w:rsidR="00E42D21" w:rsidRPr="00677A2B">
        <w:rPr>
          <w:i/>
          <w:iCs/>
          <w:lang w:val="fr-FR"/>
        </w:rPr>
        <w:t>(</w:t>
      </w:r>
      <w:r w:rsidRPr="00677A2B">
        <w:rPr>
          <w:i/>
          <w:iCs/>
          <w:lang w:val="fr-FR"/>
        </w:rPr>
        <w:t>Réservé</w:t>
      </w:r>
      <w:r w:rsidR="00E42D21" w:rsidRPr="00677A2B">
        <w:rPr>
          <w:i/>
          <w:iCs/>
          <w:lang w:val="fr-FR"/>
        </w:rPr>
        <w:t>)</w:t>
      </w:r>
      <w:r w:rsidRPr="00677A2B">
        <w:rPr>
          <w:lang w:val="fr-FR"/>
        </w:rPr>
        <w:t> » par « Pour ce qui concerne la construction des véhicules AT, les prescriptions de la partie 9 en vigueur jusqu</w:t>
      </w:r>
      <w:r w:rsidR="00281F27">
        <w:rPr>
          <w:lang w:val="fr-FR"/>
        </w:rPr>
        <w:t>’</w:t>
      </w:r>
      <w:r w:rsidRPr="00677A2B">
        <w:rPr>
          <w:lang w:val="fr-FR"/>
        </w:rPr>
        <w:t>au 31 décembre 2024, pourront être appliquées jusqu</w:t>
      </w:r>
      <w:r w:rsidR="00281F27">
        <w:rPr>
          <w:lang w:val="fr-FR"/>
        </w:rPr>
        <w:t>’</w:t>
      </w:r>
      <w:r w:rsidRPr="00677A2B">
        <w:rPr>
          <w:lang w:val="fr-FR"/>
        </w:rPr>
        <w:t>au 31 décembre 2026. »</w:t>
      </w:r>
    </w:p>
    <w:p w14:paraId="416D4862" w14:textId="77777777" w:rsidR="00D25FD2" w:rsidRPr="00677A2B" w:rsidRDefault="00D25FD2" w:rsidP="00D25FD2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>1.6.5</w:t>
      </w:r>
      <w:r w:rsidRPr="00677A2B">
        <w:rPr>
          <w:lang w:val="fr-FR"/>
        </w:rPr>
        <w:tab/>
        <w:t>Ajouter les dispositions transitoires suivantes :</w:t>
      </w:r>
    </w:p>
    <w:p w14:paraId="187EA77A" w14:textId="716F008B" w:rsidR="00D25FD2" w:rsidRPr="00677A2B" w:rsidRDefault="00D25FD2" w:rsidP="00D25FD2">
      <w:pPr>
        <w:pStyle w:val="SingleTxtG"/>
        <w:ind w:left="2268" w:hanging="1134"/>
        <w:rPr>
          <w:lang w:val="fr-FR"/>
        </w:rPr>
      </w:pPr>
      <w:r w:rsidRPr="00677A2B">
        <w:rPr>
          <w:lang w:val="fr-FR"/>
        </w:rPr>
        <w:t>« 1.6.5.26</w:t>
      </w:r>
      <w:r w:rsidRPr="00677A2B">
        <w:rPr>
          <w:lang w:val="fr-FR"/>
        </w:rPr>
        <w:tab/>
        <w:t>Les véhicules immatriculés pour la première fois (ou mis en circulation, si l</w:t>
      </w:r>
      <w:r w:rsidR="00281F27">
        <w:rPr>
          <w:lang w:val="fr-FR"/>
        </w:rPr>
        <w:t>’</w:t>
      </w:r>
      <w:r w:rsidRPr="00677A2B">
        <w:rPr>
          <w:lang w:val="fr-FR"/>
        </w:rPr>
        <w:t>immatriculation n</w:t>
      </w:r>
      <w:r w:rsidR="00281F27">
        <w:rPr>
          <w:lang w:val="fr-FR"/>
        </w:rPr>
        <w:t>’</w:t>
      </w:r>
      <w:r w:rsidRPr="00677A2B">
        <w:rPr>
          <w:lang w:val="fr-FR"/>
        </w:rPr>
        <w:t>est pas obligatoire) avant le 1</w:t>
      </w:r>
      <w:r w:rsidRPr="00677A2B">
        <w:rPr>
          <w:vertAlign w:val="superscript"/>
          <w:lang w:val="fr-FR"/>
        </w:rPr>
        <w:t>er</w:t>
      </w:r>
      <w:r w:rsidRPr="00677A2B">
        <w:rPr>
          <w:lang w:val="fr-FR"/>
        </w:rPr>
        <w:t xml:space="preserve"> janvier 2027, agréés en tant que véhicules AT, qui ne sont pas conformes aux dispositions du 9.2.4.2 en ce qui concerne les réservoirs de carburant, peuvent encore être utilisés. »</w:t>
      </w:r>
    </w:p>
    <w:p w14:paraId="4DEBBEEC" w14:textId="1764678D" w:rsidR="00D25FD2" w:rsidRPr="00677A2B" w:rsidRDefault="00D25FD2" w:rsidP="00D25FD2">
      <w:pPr>
        <w:pStyle w:val="SingleTxtG"/>
        <w:ind w:left="2268" w:hanging="1134"/>
        <w:rPr>
          <w:lang w:val="fr-FR"/>
        </w:rPr>
      </w:pPr>
      <w:r w:rsidRPr="00677A2B">
        <w:rPr>
          <w:lang w:val="fr-FR"/>
        </w:rPr>
        <w:t>« 1.6.5.27</w:t>
      </w:r>
      <w:r w:rsidRPr="00677A2B">
        <w:rPr>
          <w:lang w:val="fr-FR"/>
        </w:rPr>
        <w:tab/>
        <w:t>Les véhicules immatriculés pour la première fois (ou mis en circulation, si l</w:t>
      </w:r>
      <w:r w:rsidR="00281F27">
        <w:rPr>
          <w:lang w:val="fr-FR"/>
        </w:rPr>
        <w:t>’</w:t>
      </w:r>
      <w:r w:rsidRPr="00677A2B">
        <w:rPr>
          <w:lang w:val="fr-FR"/>
        </w:rPr>
        <w:t>immatriculation n</w:t>
      </w:r>
      <w:r w:rsidR="00281F27">
        <w:rPr>
          <w:lang w:val="fr-FR"/>
        </w:rPr>
        <w:t>’</w:t>
      </w:r>
      <w:r w:rsidRPr="00677A2B">
        <w:rPr>
          <w:lang w:val="fr-FR"/>
        </w:rPr>
        <w:t>est pas obligatoire) avant le 1</w:t>
      </w:r>
      <w:r w:rsidRPr="00677A2B">
        <w:rPr>
          <w:vertAlign w:val="superscript"/>
          <w:lang w:val="fr-FR"/>
        </w:rPr>
        <w:t>er</w:t>
      </w:r>
      <w:r w:rsidRPr="00677A2B">
        <w:rPr>
          <w:lang w:val="fr-FR"/>
        </w:rPr>
        <w:t xml:space="preserve"> janvier 2027, agréés en tant que véhicules AT, qui ne sont pas conformes aux dispositions du 9.2.4.4.2 en ce qui concerne l</w:t>
      </w:r>
      <w:r w:rsidR="00281F27">
        <w:rPr>
          <w:lang w:val="fr-FR"/>
        </w:rPr>
        <w:t>’</w:t>
      </w:r>
      <w:r w:rsidRPr="00677A2B">
        <w:rPr>
          <w:lang w:val="fr-FR"/>
        </w:rPr>
        <w:t xml:space="preserve">évaluation du </w:t>
      </w:r>
      <w:r w:rsidR="009C5502" w:rsidRPr="00677A2B">
        <w:rPr>
          <w:lang w:val="fr-FR"/>
        </w:rPr>
        <w:t>système rechargeable de stockage de l</w:t>
      </w:r>
      <w:r w:rsidR="00281F27">
        <w:rPr>
          <w:lang w:val="fr-FR"/>
        </w:rPr>
        <w:t>’</w:t>
      </w:r>
      <w:r w:rsidR="009C5502" w:rsidRPr="00677A2B">
        <w:rPr>
          <w:lang w:val="fr-FR"/>
        </w:rPr>
        <w:t>énergie électrique</w:t>
      </w:r>
      <w:r w:rsidRPr="00677A2B">
        <w:rPr>
          <w:lang w:val="fr-FR"/>
        </w:rPr>
        <w:t>, peuvent encore être utilisés.</w:t>
      </w:r>
      <w:r w:rsidR="009C5502" w:rsidRPr="00677A2B">
        <w:rPr>
          <w:lang w:val="fr-FR"/>
        </w:rPr>
        <w:t> </w:t>
      </w:r>
      <w:r w:rsidRPr="00677A2B">
        <w:rPr>
          <w:lang w:val="fr-FR"/>
        </w:rPr>
        <w:t>»</w:t>
      </w:r>
    </w:p>
    <w:p w14:paraId="04A8C128" w14:textId="69E53A18" w:rsidR="008C6470" w:rsidRPr="00677A2B" w:rsidRDefault="008C6470" w:rsidP="008C6470">
      <w:pPr>
        <w:pStyle w:val="SingleTxtG"/>
        <w:ind w:left="2268" w:hanging="1134"/>
        <w:rPr>
          <w:lang w:val="fr-FR"/>
        </w:rPr>
      </w:pPr>
      <w:r w:rsidRPr="00677A2B">
        <w:rPr>
          <w:lang w:val="fr-FR"/>
        </w:rPr>
        <w:t>« 1.6.5.28</w:t>
      </w:r>
      <w:r w:rsidRPr="00677A2B">
        <w:rPr>
          <w:lang w:val="fr-FR"/>
        </w:rPr>
        <w:tab/>
        <w:t>Les véhicules immatriculés pour la première fois (ou mis en circulation, si l</w:t>
      </w:r>
      <w:r w:rsidR="00281F27">
        <w:rPr>
          <w:lang w:val="fr-FR"/>
        </w:rPr>
        <w:t>’</w:t>
      </w:r>
      <w:r w:rsidRPr="00677A2B">
        <w:rPr>
          <w:lang w:val="fr-FR"/>
        </w:rPr>
        <w:t>immatriculation n</w:t>
      </w:r>
      <w:r w:rsidR="00281F27">
        <w:rPr>
          <w:lang w:val="fr-FR"/>
        </w:rPr>
        <w:t>’</w:t>
      </w:r>
      <w:r w:rsidRPr="00677A2B">
        <w:rPr>
          <w:lang w:val="fr-FR"/>
        </w:rPr>
        <w:t>est pas obligatoire) avant le 1</w:t>
      </w:r>
      <w:r w:rsidRPr="00677A2B">
        <w:rPr>
          <w:vertAlign w:val="superscript"/>
          <w:lang w:val="fr-FR"/>
        </w:rPr>
        <w:t>er</w:t>
      </w:r>
      <w:r w:rsidRPr="00677A2B">
        <w:rPr>
          <w:lang w:val="fr-FR"/>
        </w:rPr>
        <w:t xml:space="preserve"> janvier 2027, agréés en tant que véhicules AT, qui ne sont pas conformes aux dispositions du 9.2.4.3.1 en ce qui concerne les moteurs, peuvent encore être utilisés. »</w:t>
      </w:r>
    </w:p>
    <w:p w14:paraId="6B19AC87" w14:textId="77777777" w:rsidR="00917A02" w:rsidRPr="00677A2B" w:rsidRDefault="00917A02" w:rsidP="00917A02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1.8</w:t>
      </w:r>
    </w:p>
    <w:p w14:paraId="52FCA842" w14:textId="77777777" w:rsidR="00917A02" w:rsidRPr="00677A2B" w:rsidRDefault="00917A02" w:rsidP="00917A02">
      <w:pPr>
        <w:pStyle w:val="SingleTxtG"/>
        <w:ind w:right="567"/>
        <w:rPr>
          <w:iCs/>
          <w:lang w:val="fr-FR"/>
        </w:rPr>
      </w:pPr>
      <w:r w:rsidRPr="00677A2B">
        <w:rPr>
          <w:iCs/>
          <w:lang w:val="fr-FR"/>
        </w:rPr>
        <w:t>1.8.6.2.1</w:t>
      </w:r>
      <w:r w:rsidRPr="00677A2B">
        <w:rPr>
          <w:iCs/>
          <w:lang w:val="fr-FR"/>
        </w:rPr>
        <w:tab/>
        <w:t>Modifier le dernier paragraphe pour lire comme suit :</w:t>
      </w:r>
    </w:p>
    <w:p w14:paraId="41CFD780" w14:textId="712DB3AD" w:rsidR="00917A02" w:rsidRPr="00677A2B" w:rsidRDefault="00917A02" w:rsidP="00917A02">
      <w:pPr>
        <w:pStyle w:val="SingleTxtG"/>
        <w:rPr>
          <w:lang w:val="fr-FR"/>
        </w:rPr>
      </w:pPr>
      <w:r w:rsidRPr="00677A2B">
        <w:rPr>
          <w:lang w:val="fr-FR"/>
        </w:rPr>
        <w:lastRenderedPageBreak/>
        <w:t>« Lorsque l</w:t>
      </w:r>
      <w:r w:rsidR="00281F27">
        <w:rPr>
          <w:lang w:val="fr-FR"/>
        </w:rPr>
        <w:t>’</w:t>
      </w:r>
      <w:r w:rsidRPr="00677A2B">
        <w:rPr>
          <w:lang w:val="fr-FR"/>
        </w:rPr>
        <w:t>autorité compétente réalise les tâches de l</w:t>
      </w:r>
      <w:r w:rsidR="00281F27">
        <w:rPr>
          <w:lang w:val="fr-FR"/>
        </w:rPr>
        <w:t>’</w:t>
      </w:r>
      <w:r w:rsidRPr="00677A2B">
        <w:rPr>
          <w:lang w:val="fr-FR"/>
        </w:rPr>
        <w:t>organisme de contrôle elle-même, elle doit satisfaire aux dispositions du 1.8.6.3. Cependant, quand une autorité compétente désigne un organisme de contrôle pour agir en tant qu</w:t>
      </w:r>
      <w:r w:rsidR="00281F27">
        <w:rPr>
          <w:lang w:val="fr-FR"/>
        </w:rPr>
        <w:t>’</w:t>
      </w:r>
      <w:r w:rsidRPr="00677A2B">
        <w:rPr>
          <w:lang w:val="fr-FR"/>
        </w:rPr>
        <w:t>autorité compétente, l</w:t>
      </w:r>
      <w:r w:rsidR="00281F27">
        <w:rPr>
          <w:lang w:val="fr-FR"/>
        </w:rPr>
        <w:t>’</w:t>
      </w:r>
      <w:r w:rsidRPr="00677A2B">
        <w:rPr>
          <w:lang w:val="fr-FR"/>
        </w:rPr>
        <w:t>organisme désigné doit être accrédité type A conformément à la norme EN ISO/CEI 17020:2012 (sauf article 8.1.3).</w:t>
      </w:r>
      <w:r w:rsidRPr="00677A2B">
        <w:rPr>
          <w:color w:val="333333"/>
          <w:sz w:val="26"/>
          <w:szCs w:val="26"/>
          <w:lang w:val="fr-FR"/>
        </w:rPr>
        <w:t> </w:t>
      </w:r>
      <w:r w:rsidRPr="00677A2B">
        <w:rPr>
          <w:color w:val="333333"/>
          <w:lang w:val="fr-FR"/>
        </w:rPr>
        <w:t>»</w:t>
      </w:r>
    </w:p>
    <w:p w14:paraId="3BDAC92B" w14:textId="62EB709D" w:rsidR="00917A02" w:rsidRPr="00677A2B" w:rsidRDefault="00917A02" w:rsidP="00917A02">
      <w:pPr>
        <w:pStyle w:val="SingleTxtG"/>
        <w:spacing w:before="120"/>
        <w:ind w:left="2268" w:hanging="1134"/>
        <w:rPr>
          <w:lang w:val="fr-FR"/>
        </w:rPr>
      </w:pPr>
      <w:r w:rsidRPr="00677A2B">
        <w:rPr>
          <w:lang w:val="fr-FR"/>
        </w:rPr>
        <w:t>1.8.6.3.1</w:t>
      </w:r>
      <w:r w:rsidRPr="00677A2B">
        <w:rPr>
          <w:lang w:val="fr-FR"/>
        </w:rPr>
        <w:tab/>
        <w:t>Modifier la dernière phrase pour lire : « Les exigences ci-dessus sont réputées satisfaites en cas d</w:t>
      </w:r>
      <w:r w:rsidR="00281F27">
        <w:rPr>
          <w:lang w:val="fr-FR"/>
        </w:rPr>
        <w:t>’</w:t>
      </w:r>
      <w:r w:rsidRPr="00677A2B">
        <w:rPr>
          <w:lang w:val="fr-FR"/>
        </w:rPr>
        <w:t xml:space="preserve">accréditation </w:t>
      </w:r>
      <w:r w:rsidRPr="00677A2B">
        <w:rPr>
          <w:rFonts w:ascii="TimesNewRomanPSMT" w:hAnsi="TimesNewRomanPSMT" w:cs="TimesNewRomanPSMT"/>
          <w:lang w:val="fr-FR"/>
        </w:rPr>
        <w:t xml:space="preserve">conformément à la norme </w:t>
      </w:r>
      <w:r w:rsidRPr="00677A2B">
        <w:rPr>
          <w:lang w:val="fr-FR"/>
        </w:rPr>
        <w:t>EN ISO/CEI 17020:2012 (sauf article 8.1.3). »</w:t>
      </w:r>
    </w:p>
    <w:p w14:paraId="606FEA58" w14:textId="77777777" w:rsidR="00584E4C" w:rsidRPr="00677A2B" w:rsidRDefault="00584E4C" w:rsidP="00584E4C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4.1</w:t>
      </w:r>
    </w:p>
    <w:p w14:paraId="407E2B81" w14:textId="57EC27A0" w:rsidR="00584E4C" w:rsidRPr="00677A2B" w:rsidRDefault="00584E4C" w:rsidP="00584E4C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>4.1.4.1, P200</w:t>
      </w:r>
      <w:r w:rsidRPr="00677A2B">
        <w:rPr>
          <w:lang w:val="fr-FR"/>
        </w:rPr>
        <w:tab/>
        <w:t>Dans l</w:t>
      </w:r>
      <w:r w:rsidR="00281F27">
        <w:rPr>
          <w:lang w:val="fr-FR"/>
        </w:rPr>
        <w:t>’</w:t>
      </w:r>
      <w:r w:rsidRPr="00677A2B">
        <w:rPr>
          <w:lang w:val="fr-FR"/>
        </w:rPr>
        <w:t>ensemble de l</w:t>
      </w:r>
      <w:r w:rsidR="00281F27">
        <w:rPr>
          <w:lang w:val="fr-FR"/>
        </w:rPr>
        <w:t>’</w:t>
      </w:r>
      <w:r w:rsidRPr="00677A2B">
        <w:rPr>
          <w:lang w:val="fr-FR"/>
        </w:rPr>
        <w:t>instruction d</w:t>
      </w:r>
      <w:r w:rsidR="00281F27">
        <w:rPr>
          <w:lang w:val="fr-FR"/>
        </w:rPr>
        <w:t>’</w:t>
      </w:r>
      <w:r w:rsidRPr="00677A2B">
        <w:rPr>
          <w:lang w:val="fr-FR"/>
        </w:rPr>
        <w:t>emballage, y compris les tableaux 1 à 3, placer les notes de bas de page directement sous l</w:t>
      </w:r>
      <w:r w:rsidR="00281F27">
        <w:rPr>
          <w:lang w:val="fr-FR"/>
        </w:rPr>
        <w:t>’</w:t>
      </w:r>
      <w:r w:rsidRPr="00677A2B">
        <w:rPr>
          <w:lang w:val="fr-FR"/>
        </w:rPr>
        <w:t>instruction d</w:t>
      </w:r>
      <w:r w:rsidR="00281F27">
        <w:rPr>
          <w:lang w:val="fr-FR"/>
        </w:rPr>
        <w:t>’</w:t>
      </w:r>
      <w:r w:rsidRPr="00677A2B">
        <w:rPr>
          <w:lang w:val="fr-FR"/>
        </w:rPr>
        <w:t>emballage, sur les pages où elles apparaissent et les renuméroter de manière séquentielle, comme a) à i).</w:t>
      </w:r>
    </w:p>
    <w:p w14:paraId="4357BF2B" w14:textId="77777777" w:rsidR="00584E4C" w:rsidRPr="00677A2B" w:rsidRDefault="00584E4C" w:rsidP="00584E4C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Au point 5) b), au-dessous de la première et deuxième formules, après « où », ajouter un deux-points et démarrer une nouvelle ligne.</w:t>
      </w:r>
    </w:p>
    <w:p w14:paraId="184D9D28" w14:textId="77777777" w:rsidR="00584E4C" w:rsidRPr="00677A2B" w:rsidRDefault="00584E4C" w:rsidP="00584E4C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Au point 5) c), au-dessous de la formule, après « où », ajouter un deux-points et démarrer une nouvelle ligne.</w:t>
      </w:r>
    </w:p>
    <w:p w14:paraId="7492B469" w14:textId="77777777" w:rsidR="00584E4C" w:rsidRPr="00677A2B" w:rsidRDefault="00584E4C" w:rsidP="00584E4C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Au point 10) z, au-dessous de la première et deuxième formules, après « où », ajouter un deux-points et démarrer une nouvelle ligne.</w:t>
      </w:r>
    </w:p>
    <w:p w14:paraId="3B2018C8" w14:textId="77777777" w:rsidR="00584E4C" w:rsidRPr="00677A2B" w:rsidRDefault="00584E4C" w:rsidP="00584E4C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Au point 10) ab, renuméroter i) à iii) en tant que a) à c).</w:t>
      </w:r>
    </w:p>
    <w:p w14:paraId="59637537" w14:textId="77777777" w:rsidR="00584E4C" w:rsidRPr="00677A2B" w:rsidRDefault="00584E4C" w:rsidP="00584E4C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Au point 10) ad, renuméroter i) et ii) en tant que a) et b) et renuméroter la liste en remplaçant les tirets par les lettres i) et ii).</w:t>
      </w:r>
    </w:p>
    <w:p w14:paraId="7814AB67" w14:textId="414B1E0C" w:rsidR="00FB6307" w:rsidRPr="00677A2B" w:rsidRDefault="00584E4C" w:rsidP="00FB6307">
      <w:pPr>
        <w:pStyle w:val="SingleTxtG"/>
        <w:ind w:left="2268" w:hanging="1134"/>
        <w:rPr>
          <w:bCs/>
          <w:lang w:val="fr-FR"/>
        </w:rPr>
      </w:pPr>
      <w:r w:rsidRPr="00677A2B">
        <w:rPr>
          <w:lang w:val="fr-FR"/>
        </w:rPr>
        <w:tab/>
      </w:r>
      <w:r w:rsidR="00784681" w:rsidRPr="00677A2B">
        <w:rPr>
          <w:lang w:val="fr-FR"/>
        </w:rPr>
        <w:tab/>
      </w:r>
      <w:r w:rsidR="00FB6307" w:rsidRPr="00677A2B">
        <w:rPr>
          <w:bCs/>
          <w:lang w:val="fr-FR"/>
        </w:rPr>
        <w:t>Au point 11), supprimer la dernière ligne du tableau (pour la norme « EN 14794:2005 »).</w:t>
      </w:r>
    </w:p>
    <w:p w14:paraId="5794A089" w14:textId="07F452B5" w:rsidR="00584E4C" w:rsidRPr="00677A2B" w:rsidRDefault="00784681" w:rsidP="00584E4C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ab/>
      </w:r>
      <w:r w:rsidR="00584E4C" w:rsidRPr="00677A2B">
        <w:rPr>
          <w:lang w:val="fr-FR"/>
        </w:rPr>
        <w:t>Au point 13) 2.2, renuméroter la liste en remplaçant les tirets par les lettres a) à e).</w:t>
      </w:r>
    </w:p>
    <w:p w14:paraId="7BDF94A3" w14:textId="77777777" w:rsidR="00584E4C" w:rsidRPr="00677A2B" w:rsidRDefault="00584E4C" w:rsidP="00584E4C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Au point 13) 2.3, renuméroter la liste de premier niveau en remplaçant les tirets par les lettres a) à e) et la liste de deuxième niveau en remplaçant les tirets par les lettres i) et ii).</w:t>
      </w:r>
    </w:p>
    <w:p w14:paraId="4E813483" w14:textId="1D1FD228" w:rsidR="003C473E" w:rsidRPr="00677A2B" w:rsidRDefault="00CA5901" w:rsidP="003C473E">
      <w:pPr>
        <w:pStyle w:val="SingleTxtG"/>
        <w:ind w:left="2268"/>
        <w:rPr>
          <w:lang w:val="fr-FR"/>
        </w:rPr>
      </w:pPr>
      <w:r w:rsidRPr="00677A2B">
        <w:rPr>
          <w:lang w:val="fr-FR"/>
        </w:rPr>
        <w:t>Sous</w:t>
      </w:r>
      <w:r w:rsidR="003C473E" w:rsidRPr="00677A2B">
        <w:rPr>
          <w:lang w:val="fr-FR"/>
        </w:rPr>
        <w:t xml:space="preserve"> le tableau 2, après le diagramme figurant dans la note de bas de page relative au taux de remplissage pour le numéro ONU 1965, </w:t>
      </w:r>
      <w:r w:rsidR="00017120" w:rsidRPr="00677A2B">
        <w:rPr>
          <w:lang w:val="fr-FR"/>
        </w:rPr>
        <w:t xml:space="preserve">tel que </w:t>
      </w:r>
      <w:r w:rsidR="00A52551" w:rsidRPr="00677A2B">
        <w:rPr>
          <w:lang w:val="fr-FR"/>
        </w:rPr>
        <w:t xml:space="preserve">modifié </w:t>
      </w:r>
      <w:r w:rsidR="00A52551" w:rsidRPr="00281F27">
        <w:t>dans ECE/TRANS/265</w:t>
      </w:r>
      <w:r w:rsidR="00097DDC" w:rsidRPr="00281F27">
        <w:t>,</w:t>
      </w:r>
      <w:r w:rsidR="00017120" w:rsidRPr="00281F27">
        <w:t xml:space="preserve"> </w:t>
      </w:r>
      <w:r w:rsidR="003C473E" w:rsidRPr="00677A2B">
        <w:rPr>
          <w:lang w:val="fr-FR"/>
        </w:rPr>
        <w:t>ajouter le nouveau nota suivant :</w:t>
      </w:r>
    </w:p>
    <w:p w14:paraId="4DC87109" w14:textId="77777777" w:rsidR="003C473E" w:rsidRPr="00677A2B" w:rsidRDefault="003C473E" w:rsidP="003C473E">
      <w:pPr>
        <w:pStyle w:val="SingleTxtG"/>
        <w:ind w:left="2268"/>
        <w:rPr>
          <w:i/>
          <w:iCs/>
          <w:lang w:val="fr-FR"/>
        </w:rPr>
      </w:pPr>
      <w:r w:rsidRPr="00677A2B">
        <w:rPr>
          <w:i/>
          <w:iCs/>
          <w:lang w:val="fr-FR"/>
        </w:rPr>
        <w:t>« </w:t>
      </w:r>
      <w:r w:rsidRPr="00677A2B">
        <w:rPr>
          <w:b/>
          <w:i/>
          <w:iCs/>
          <w:lang w:val="fr-FR"/>
        </w:rPr>
        <w:t>NOTA :</w:t>
      </w:r>
      <w:r w:rsidRPr="00677A2B">
        <w:rPr>
          <w:i/>
          <w:iCs/>
          <w:lang w:val="fr-FR"/>
        </w:rPr>
        <w:t xml:space="preserve"> Le diagramme ci-dessus permet de déterminer les taux de remplissage qui conviennent pour les mélanges visés au 2.2.2.3. ».</w:t>
      </w:r>
    </w:p>
    <w:p w14:paraId="02DF2122" w14:textId="6CE2CFD1" w:rsidR="00011685" w:rsidRPr="00677A2B" w:rsidRDefault="00011685" w:rsidP="00011685">
      <w:pPr>
        <w:pStyle w:val="SingleTxtG"/>
        <w:ind w:left="2268" w:hanging="1134"/>
        <w:rPr>
          <w:lang w:val="fr-FR"/>
        </w:rPr>
      </w:pPr>
      <w:r w:rsidRPr="00677A2B">
        <w:rPr>
          <w:lang w:val="fr-FR"/>
        </w:rPr>
        <w:t>4.1.6.15</w:t>
      </w:r>
      <w:r w:rsidRPr="00677A2B">
        <w:rPr>
          <w:lang w:val="fr-FR"/>
        </w:rPr>
        <w:tab/>
        <w:t>Dans le tableau 4.1.6.15.1, à la première ligne pour « 4.1.6.8 Robinets munis d</w:t>
      </w:r>
      <w:r w:rsidR="00281F27">
        <w:rPr>
          <w:lang w:val="fr-FR"/>
        </w:rPr>
        <w:t>’</w:t>
      </w:r>
      <w:r w:rsidRPr="00677A2B">
        <w:rPr>
          <w:lang w:val="fr-FR"/>
        </w:rPr>
        <w:t xml:space="preserve">une protection intégrée », dans la deuxième colonne, après « EN ISO 10297:2014 + A1:2017 », ajouter « ou </w:t>
      </w:r>
      <w:r w:rsidR="002F7CC0" w:rsidRPr="00677A2B">
        <w:rPr>
          <w:lang w:val="fr-FR"/>
        </w:rPr>
        <w:t>A</w:t>
      </w:r>
      <w:r w:rsidRPr="00677A2B">
        <w:rPr>
          <w:lang w:val="fr-FR"/>
        </w:rPr>
        <w:t>rticle 5.4.2 de EN ISO 10297: 2024".</w:t>
      </w:r>
    </w:p>
    <w:p w14:paraId="66074087" w14:textId="77777777" w:rsidR="005641FA" w:rsidRPr="00677A2B" w:rsidRDefault="005641FA" w:rsidP="005641FA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4.2</w:t>
      </w:r>
    </w:p>
    <w:p w14:paraId="3F4369DD" w14:textId="36EA4B13" w:rsidR="005641FA" w:rsidRPr="00677A2B" w:rsidRDefault="005641FA" w:rsidP="005641FA">
      <w:pPr>
        <w:pStyle w:val="SingleTxtG"/>
        <w:rPr>
          <w:i/>
          <w:iCs/>
          <w:lang w:val="fr-FR"/>
        </w:rPr>
      </w:pPr>
      <w:r w:rsidRPr="00677A2B">
        <w:rPr>
          <w:lang w:val="fr-FR"/>
        </w:rPr>
        <w:t>Après le titre du chapitre 4.2, dans le Nota 2, après « dans un État n</w:t>
      </w:r>
      <w:r w:rsidR="00281F27">
        <w:rPr>
          <w:lang w:val="fr-FR"/>
        </w:rPr>
        <w:t>’</w:t>
      </w:r>
      <w:r w:rsidRPr="00677A2B">
        <w:rPr>
          <w:lang w:val="fr-FR"/>
        </w:rPr>
        <w:t>étant pas Partie contractante à l</w:t>
      </w:r>
      <w:r w:rsidR="00281F27">
        <w:rPr>
          <w:lang w:val="fr-FR"/>
        </w:rPr>
        <w:t>’</w:t>
      </w:r>
      <w:r w:rsidRPr="00677A2B">
        <w:rPr>
          <w:lang w:val="fr-FR"/>
        </w:rPr>
        <w:t>ADR », insérer </w:t>
      </w:r>
      <w:r w:rsidRPr="00677A2B">
        <w:rPr>
          <w:i/>
          <w:iCs/>
          <w:lang w:val="fr-FR"/>
        </w:rPr>
        <w:t>« , ou agréés conformément au chapitre 6.7 du Code IMDG ».</w:t>
      </w:r>
    </w:p>
    <w:p w14:paraId="18410F91" w14:textId="32D745D1" w:rsidR="005641FA" w:rsidRPr="00677A2B" w:rsidRDefault="005641FA" w:rsidP="005641FA">
      <w:pPr>
        <w:pStyle w:val="SingleTxtG"/>
        <w:rPr>
          <w:bCs/>
          <w:lang w:val="fr-FR"/>
        </w:rPr>
      </w:pPr>
      <w:r w:rsidRPr="00677A2B">
        <w:rPr>
          <w:bCs/>
          <w:lang w:val="fr-FR"/>
        </w:rPr>
        <w:t>4.2.3.7.1</w:t>
      </w:r>
      <w:r w:rsidRPr="00677A2B">
        <w:rPr>
          <w:bCs/>
          <w:lang w:val="fr-FR"/>
        </w:rPr>
        <w:tab/>
        <w:t>À la fin, après les alinéas, ajouter le nouveau paragraphe suivant :</w:t>
      </w:r>
    </w:p>
    <w:p w14:paraId="12FEDDB5" w14:textId="29205A12" w:rsidR="005641FA" w:rsidRPr="00677A2B" w:rsidRDefault="005641FA" w:rsidP="005641FA">
      <w:pPr>
        <w:pStyle w:val="SingleTxtG"/>
        <w:rPr>
          <w:lang w:val="fr-FR"/>
        </w:rPr>
      </w:pPr>
      <w:r w:rsidRPr="00677A2B">
        <w:rPr>
          <w:lang w:val="fr-FR"/>
        </w:rPr>
        <w:t>« Le calcul du temps de retenue réel n</w:t>
      </w:r>
      <w:r w:rsidR="00281F27">
        <w:rPr>
          <w:lang w:val="fr-FR"/>
        </w:rPr>
        <w:t>’</w:t>
      </w:r>
      <w:r w:rsidRPr="00677A2B">
        <w:rPr>
          <w:lang w:val="fr-FR"/>
        </w:rPr>
        <w:t>est pas exigé lorsque l</w:t>
      </w:r>
      <w:r w:rsidR="00281F27">
        <w:rPr>
          <w:lang w:val="fr-FR"/>
        </w:rPr>
        <w:t>’</w:t>
      </w:r>
      <w:r w:rsidRPr="00677A2B">
        <w:rPr>
          <w:lang w:val="fr-FR"/>
        </w:rPr>
        <w:t>ensemble du trajet s</w:t>
      </w:r>
      <w:r w:rsidR="00281F27">
        <w:rPr>
          <w:lang w:val="fr-FR"/>
        </w:rPr>
        <w:t>’</w:t>
      </w:r>
      <w:r w:rsidRPr="00677A2B">
        <w:rPr>
          <w:lang w:val="fr-FR"/>
        </w:rPr>
        <w:t>effectue uniquement par route, sans transbordement sur un autre véhicule et sans séjour temporaire intermédiaire. Lorsque le calcul du temps de retenue réel n</w:t>
      </w:r>
      <w:r w:rsidR="00281F27">
        <w:rPr>
          <w:lang w:val="fr-FR"/>
        </w:rPr>
        <w:t>’</w:t>
      </w:r>
      <w:r w:rsidRPr="00677A2B">
        <w:rPr>
          <w:lang w:val="fr-FR"/>
        </w:rPr>
        <w:t>est pas exigé, les dispositions des 4.2.3.7.2, 4.2.3.7.3 et 4.2.3.8 e) et f) ne s</w:t>
      </w:r>
      <w:r w:rsidR="00281F27">
        <w:rPr>
          <w:lang w:val="fr-FR"/>
        </w:rPr>
        <w:t>’</w:t>
      </w:r>
      <w:r w:rsidRPr="00677A2B">
        <w:rPr>
          <w:lang w:val="fr-FR"/>
        </w:rPr>
        <w:t>appliquent pas. »</w:t>
      </w:r>
    </w:p>
    <w:p w14:paraId="5FD5FEBF" w14:textId="77777777" w:rsidR="000F37CC" w:rsidRPr="00677A2B" w:rsidRDefault="000F37CC" w:rsidP="000F37CC">
      <w:pPr>
        <w:pStyle w:val="H1G"/>
        <w:rPr>
          <w:lang w:val="fr-FR"/>
        </w:rPr>
      </w:pPr>
      <w:r w:rsidRPr="00677A2B">
        <w:rPr>
          <w:lang w:val="fr-FR"/>
        </w:rPr>
        <w:lastRenderedPageBreak/>
        <w:tab/>
      </w:r>
      <w:r w:rsidRPr="00677A2B">
        <w:rPr>
          <w:lang w:val="fr-FR"/>
        </w:rPr>
        <w:tab/>
        <w:t>Chapitre 4.3</w:t>
      </w:r>
    </w:p>
    <w:p w14:paraId="2F9ADF26" w14:textId="77777777" w:rsidR="000F37CC" w:rsidRPr="00677A2B" w:rsidRDefault="000F37CC" w:rsidP="000F37CC">
      <w:pPr>
        <w:pStyle w:val="SingleTxtG"/>
        <w:ind w:left="2268" w:right="566" w:hanging="1134"/>
        <w:rPr>
          <w:bCs/>
          <w:lang w:val="fr-FR"/>
        </w:rPr>
      </w:pPr>
      <w:r w:rsidRPr="00677A2B">
        <w:rPr>
          <w:bCs/>
          <w:lang w:val="fr-FR"/>
        </w:rPr>
        <w:t>4.3.3.5</w:t>
      </w:r>
      <w:r w:rsidRPr="00677A2B">
        <w:rPr>
          <w:bCs/>
          <w:lang w:val="fr-FR"/>
        </w:rPr>
        <w:tab/>
      </w:r>
      <w:r w:rsidRPr="00677A2B">
        <w:rPr>
          <w:bCs/>
          <w:lang w:val="fr-FR"/>
        </w:rPr>
        <w:tab/>
        <w:t xml:space="preserve">À la fin, en colonne de droite, </w:t>
      </w:r>
      <w:r w:rsidRPr="00677A2B">
        <w:t xml:space="preserve">avant la phrase à ajouter selon le document ECE/TRANS/WP.15/265, </w:t>
      </w:r>
      <w:r w:rsidRPr="00677A2B">
        <w:rPr>
          <w:bCs/>
          <w:lang w:val="fr-FR"/>
        </w:rPr>
        <w:t>ajouter le nouveau paragraphe suivant :</w:t>
      </w:r>
    </w:p>
    <w:p w14:paraId="636F6EA6" w14:textId="3CBBFFAD" w:rsidR="000F37CC" w:rsidRPr="00677A2B" w:rsidRDefault="000F37CC" w:rsidP="000F37CC">
      <w:pPr>
        <w:pStyle w:val="SingleTxtG"/>
        <w:rPr>
          <w:lang w:val="fr-FR"/>
        </w:rPr>
      </w:pPr>
      <w:r w:rsidRPr="00677A2B">
        <w:rPr>
          <w:lang w:val="fr-FR"/>
        </w:rPr>
        <w:t>« Le calcul du temps de retenue réel n</w:t>
      </w:r>
      <w:r w:rsidR="00281F27">
        <w:rPr>
          <w:lang w:val="fr-FR"/>
        </w:rPr>
        <w:t>’</w:t>
      </w:r>
      <w:r w:rsidRPr="00677A2B">
        <w:rPr>
          <w:lang w:val="fr-FR"/>
        </w:rPr>
        <w:t>est pas exigé lorsque l</w:t>
      </w:r>
      <w:r w:rsidR="00281F27">
        <w:rPr>
          <w:lang w:val="fr-FR"/>
        </w:rPr>
        <w:t>’</w:t>
      </w:r>
      <w:r w:rsidRPr="00677A2B">
        <w:rPr>
          <w:lang w:val="fr-FR"/>
        </w:rPr>
        <w:t>ensemble du trajet s</w:t>
      </w:r>
      <w:r w:rsidR="00281F27">
        <w:rPr>
          <w:lang w:val="fr-FR"/>
        </w:rPr>
        <w:t>’</w:t>
      </w:r>
      <w:r w:rsidRPr="00677A2B">
        <w:rPr>
          <w:lang w:val="fr-FR"/>
        </w:rPr>
        <w:t>effectue uniquement par route, sans transbordement sur un autre véhicule et sans séjour temporaire intermédiaire. Lorsque le calcul du temps de retenue réel n</w:t>
      </w:r>
      <w:r w:rsidR="00281F27">
        <w:rPr>
          <w:lang w:val="fr-FR"/>
        </w:rPr>
        <w:t>’</w:t>
      </w:r>
      <w:r w:rsidRPr="00677A2B">
        <w:rPr>
          <w:lang w:val="fr-FR"/>
        </w:rPr>
        <w:t>est pas exigé, les dispositions des 4.3.3.6 e), f) et g) ne s</w:t>
      </w:r>
      <w:r w:rsidR="00281F27">
        <w:rPr>
          <w:lang w:val="fr-FR"/>
        </w:rPr>
        <w:t>’</w:t>
      </w:r>
      <w:r w:rsidRPr="00677A2B">
        <w:rPr>
          <w:lang w:val="fr-FR"/>
        </w:rPr>
        <w:t>appliquent pas. »</w:t>
      </w:r>
    </w:p>
    <w:p w14:paraId="18A9D426" w14:textId="77777777" w:rsidR="003439E0" w:rsidRPr="00677A2B" w:rsidRDefault="003439E0" w:rsidP="003439E0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5.3</w:t>
      </w:r>
    </w:p>
    <w:p w14:paraId="463C787E" w14:textId="55C09250" w:rsidR="003439E0" w:rsidRPr="00677A2B" w:rsidRDefault="003439E0" w:rsidP="003439E0">
      <w:pPr>
        <w:pStyle w:val="SingleTxtG"/>
        <w:ind w:left="2268" w:hanging="1134"/>
        <w:rPr>
          <w:lang w:val="fr-FR"/>
        </w:rPr>
      </w:pPr>
      <w:r w:rsidRPr="00677A2B">
        <w:rPr>
          <w:lang w:val="fr-FR"/>
        </w:rPr>
        <w:t>5.3.2.1.1</w:t>
      </w:r>
      <w:r w:rsidRPr="00677A2B">
        <w:rPr>
          <w:lang w:val="fr-FR"/>
        </w:rPr>
        <w:tab/>
        <w:t>À la fin</w:t>
      </w:r>
      <w:r w:rsidR="003D2AC9" w:rsidRPr="00677A2B">
        <w:rPr>
          <w:lang w:val="fr-FR"/>
        </w:rPr>
        <w:t xml:space="preserve"> du deuxième paragraphe</w:t>
      </w:r>
      <w:r w:rsidRPr="00677A2B">
        <w:rPr>
          <w:lang w:val="fr-FR"/>
        </w:rPr>
        <w:t>, ajouter « ou au No ONU 3475, selon le cas ».</w:t>
      </w:r>
    </w:p>
    <w:p w14:paraId="70B15CD3" w14:textId="77777777" w:rsidR="00471E09" w:rsidRPr="00677A2B" w:rsidRDefault="00471E09" w:rsidP="00471E09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>5.3.2.1.3</w:t>
      </w:r>
      <w:r w:rsidRPr="00677A2B">
        <w:rPr>
          <w:lang w:val="fr-FR"/>
        </w:rPr>
        <w:tab/>
        <w:t>Remplacer « 1203 ou 1223 » par « 1203, 1223 ou 3475 » et modifier la fin du paragraphe pour lire :</w:t>
      </w:r>
    </w:p>
    <w:p w14:paraId="5F42FDAA" w14:textId="77777777" w:rsidR="00471E09" w:rsidRPr="00677A2B" w:rsidRDefault="00471E09" w:rsidP="00471E09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>« … et le numéro ONU prescrits :</w:t>
      </w:r>
    </w:p>
    <w:p w14:paraId="280A5C12" w14:textId="77777777" w:rsidR="00471E09" w:rsidRPr="00677A2B" w:rsidRDefault="00471E09" w:rsidP="00471E09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>a)</w:t>
      </w:r>
      <w:r w:rsidRPr="00677A2B">
        <w:rPr>
          <w:lang w:val="fr-FR"/>
        </w:rPr>
        <w:tab/>
        <w:t>Pour le No ONU 3475 ; ou</w:t>
      </w:r>
    </w:p>
    <w:p w14:paraId="307AD4F0" w14:textId="76FAB6A8" w:rsidR="00471E09" w:rsidRPr="00677A2B" w:rsidRDefault="00471E09" w:rsidP="00471E09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>b)</w:t>
      </w:r>
      <w:r w:rsidRPr="00677A2B">
        <w:rPr>
          <w:lang w:val="fr-FR"/>
        </w:rPr>
        <w:tab/>
        <w:t>Pour la matière la plus dangereuse transportée, c</w:t>
      </w:r>
      <w:r w:rsidR="00281F27">
        <w:rPr>
          <w:lang w:val="fr-FR"/>
        </w:rPr>
        <w:t>’</w:t>
      </w:r>
      <w:r w:rsidRPr="00677A2B">
        <w:rPr>
          <w:lang w:val="fr-FR"/>
        </w:rPr>
        <w:t>est à dire la matière ayant le point d</w:t>
      </w:r>
      <w:r w:rsidR="00281F27">
        <w:rPr>
          <w:lang w:val="fr-FR"/>
        </w:rPr>
        <w:t>’</w:t>
      </w:r>
      <w:r w:rsidRPr="00677A2B">
        <w:rPr>
          <w:lang w:val="fr-FR"/>
        </w:rPr>
        <w:t>éclair le plus bas, en l</w:t>
      </w:r>
      <w:r w:rsidR="00281F27">
        <w:rPr>
          <w:lang w:val="fr-FR"/>
        </w:rPr>
        <w:t>’</w:t>
      </w:r>
      <w:r w:rsidRPr="00677A2B">
        <w:rPr>
          <w:lang w:val="fr-FR"/>
        </w:rPr>
        <w:t>absence de matière du No ONU 3475. »</w:t>
      </w:r>
    </w:p>
    <w:p w14:paraId="5310324B" w14:textId="77777777" w:rsidR="0031185C" w:rsidRPr="00677A2B" w:rsidRDefault="0031185C" w:rsidP="0031185C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5.4</w:t>
      </w:r>
    </w:p>
    <w:p w14:paraId="2F66432F" w14:textId="77777777" w:rsidR="0031185C" w:rsidRPr="00677A2B" w:rsidRDefault="0031185C" w:rsidP="0031185C">
      <w:pPr>
        <w:pStyle w:val="SingleTxtG"/>
        <w:rPr>
          <w:bCs/>
          <w:iCs/>
          <w:lang w:val="fr-FR"/>
        </w:rPr>
      </w:pPr>
      <w:r w:rsidRPr="00677A2B">
        <w:rPr>
          <w:bCs/>
          <w:iCs/>
          <w:lang w:val="fr-FR"/>
        </w:rPr>
        <w:t>5.4.1.1.3.1</w:t>
      </w:r>
      <w:r w:rsidRPr="00677A2B">
        <w:rPr>
          <w:bCs/>
          <w:iCs/>
          <w:lang w:val="fr-FR"/>
        </w:rPr>
        <w:tab/>
        <w:t>Modifier le dernier paragraphe pour lire comme suit :</w:t>
      </w:r>
    </w:p>
    <w:p w14:paraId="012C370C" w14:textId="317DE74C" w:rsidR="0031185C" w:rsidRPr="00677A2B" w:rsidRDefault="0031185C" w:rsidP="0031185C">
      <w:pPr>
        <w:pStyle w:val="SingleTxtG"/>
        <w:rPr>
          <w:lang w:val="fr-FR"/>
        </w:rPr>
      </w:pPr>
      <w:r w:rsidRPr="00677A2B">
        <w:rPr>
          <w:lang w:val="fr-FR"/>
        </w:rPr>
        <w:t>« Si la disposition concernant les déchets énoncée au 2.1.3.5.5 est appliquée, il n</w:t>
      </w:r>
      <w:r w:rsidR="00281F27">
        <w:rPr>
          <w:lang w:val="fr-FR"/>
        </w:rPr>
        <w:t>’</w:t>
      </w:r>
      <w:r w:rsidRPr="00677A2B">
        <w:rPr>
          <w:lang w:val="fr-FR"/>
        </w:rPr>
        <w:t>est pas nécessaire d</w:t>
      </w:r>
      <w:r w:rsidR="00281F27">
        <w:rPr>
          <w:lang w:val="fr-FR"/>
        </w:rPr>
        <w:t>’</w:t>
      </w:r>
      <w:r w:rsidRPr="00677A2B">
        <w:rPr>
          <w:lang w:val="fr-FR"/>
        </w:rPr>
        <w:t>ajouter le nom technique prescrit au chapitre 3.3, disposition spéciale 274. »</w:t>
      </w:r>
    </w:p>
    <w:p w14:paraId="18487A17" w14:textId="312C5A4F" w:rsidR="0031185C" w:rsidRPr="00677A2B" w:rsidRDefault="0031185C" w:rsidP="0031185C">
      <w:pPr>
        <w:pStyle w:val="SingleTxtG"/>
        <w:rPr>
          <w:bCs/>
          <w:iCs/>
          <w:lang w:val="fr-FR"/>
        </w:rPr>
      </w:pPr>
      <w:r w:rsidRPr="00677A2B">
        <w:rPr>
          <w:bCs/>
          <w:iCs/>
          <w:lang w:val="fr-FR"/>
        </w:rPr>
        <w:t>5.4.1.2.2</w:t>
      </w:r>
      <w:r w:rsidRPr="00677A2B">
        <w:rPr>
          <w:bCs/>
          <w:iCs/>
          <w:lang w:val="fr-FR"/>
        </w:rPr>
        <w:tab/>
        <w:t>À l</w:t>
      </w:r>
      <w:r w:rsidR="00281F27">
        <w:rPr>
          <w:bCs/>
          <w:iCs/>
          <w:lang w:val="fr-FR"/>
        </w:rPr>
        <w:t>’</w:t>
      </w:r>
      <w:r w:rsidRPr="00677A2B">
        <w:rPr>
          <w:bCs/>
          <w:iCs/>
          <w:lang w:val="fr-FR"/>
        </w:rPr>
        <w:t xml:space="preserve">alinéa d), à la fin, ajouter </w:t>
      </w:r>
      <w:r w:rsidRPr="00677A2B">
        <w:rPr>
          <w:bCs/>
          <w:lang w:val="fr-FR"/>
        </w:rPr>
        <w:t>le nouveau paragraphe suivant :</w:t>
      </w:r>
    </w:p>
    <w:p w14:paraId="2F8076B6" w14:textId="413A5F22" w:rsidR="0031185C" w:rsidRPr="00677A2B" w:rsidRDefault="0031185C" w:rsidP="0031185C">
      <w:pPr>
        <w:pStyle w:val="SingleTxtG"/>
        <w:rPr>
          <w:lang w:val="fr-FR"/>
        </w:rPr>
      </w:pPr>
      <w:r w:rsidRPr="00677A2B">
        <w:rPr>
          <w:lang w:val="fr-FR"/>
        </w:rPr>
        <w:t>« Lorsque le calcul du temps de retenue réel n</w:t>
      </w:r>
      <w:r w:rsidR="00281F27">
        <w:rPr>
          <w:lang w:val="fr-FR"/>
        </w:rPr>
        <w:t>’</w:t>
      </w:r>
      <w:r w:rsidRPr="00677A2B">
        <w:rPr>
          <w:lang w:val="fr-FR"/>
        </w:rPr>
        <w:t>est pas exigé conformément au 4.2.3.7.1 ou 4.3.3.5, cette disposition ne s</w:t>
      </w:r>
      <w:r w:rsidR="00281F27">
        <w:rPr>
          <w:lang w:val="fr-FR"/>
        </w:rPr>
        <w:t>’</w:t>
      </w:r>
      <w:r w:rsidRPr="00677A2B">
        <w:rPr>
          <w:lang w:val="fr-FR"/>
        </w:rPr>
        <w:t>applique pas ; »</w:t>
      </w:r>
    </w:p>
    <w:p w14:paraId="06FFEBCA" w14:textId="77777777" w:rsidR="00880B47" w:rsidRPr="00677A2B" w:rsidRDefault="00880B47" w:rsidP="00880B47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5.5</w:t>
      </w:r>
    </w:p>
    <w:p w14:paraId="23055B02" w14:textId="77777777" w:rsidR="00880B47" w:rsidRPr="00677A2B" w:rsidRDefault="00880B47" w:rsidP="00880B47">
      <w:pPr>
        <w:pStyle w:val="SingleTxtG"/>
        <w:ind w:left="2268" w:hanging="1134"/>
        <w:rPr>
          <w:bCs/>
          <w:iCs/>
          <w:lang w:val="fr-FR"/>
        </w:rPr>
      </w:pPr>
      <w:r w:rsidRPr="00677A2B">
        <w:rPr>
          <w:bCs/>
          <w:iCs/>
          <w:lang w:val="fr-FR"/>
        </w:rPr>
        <w:t>5.5.4</w:t>
      </w:r>
      <w:r w:rsidRPr="00677A2B">
        <w:rPr>
          <w:bCs/>
          <w:iCs/>
          <w:lang w:val="fr-FR"/>
        </w:rPr>
        <w:tab/>
      </w:r>
      <w:r w:rsidRPr="00677A2B">
        <w:rPr>
          <w:bCs/>
          <w:iCs/>
          <w:lang w:val="fr-FR"/>
        </w:rPr>
        <w:tab/>
        <w:t>Dans le titre, remplacer « compartiments de charge » par « compartiments de chargement ».</w:t>
      </w:r>
    </w:p>
    <w:p w14:paraId="1F811F2A" w14:textId="77777777" w:rsidR="00880B47" w:rsidRPr="00677A2B" w:rsidRDefault="00880B47" w:rsidP="00880B47">
      <w:pPr>
        <w:pStyle w:val="SingleTxtG"/>
        <w:ind w:left="2268" w:hanging="1134"/>
        <w:rPr>
          <w:bCs/>
          <w:iCs/>
          <w:lang w:val="fr-FR"/>
        </w:rPr>
      </w:pPr>
      <w:r w:rsidRPr="00677A2B">
        <w:rPr>
          <w:bCs/>
          <w:iCs/>
          <w:lang w:val="fr-FR"/>
        </w:rPr>
        <w:t>5.5.4.1</w:t>
      </w:r>
      <w:r w:rsidRPr="00677A2B">
        <w:rPr>
          <w:bCs/>
          <w:iCs/>
          <w:lang w:val="fr-FR"/>
        </w:rPr>
        <w:tab/>
      </w:r>
      <w:r w:rsidRPr="00677A2B">
        <w:rPr>
          <w:bCs/>
          <w:iCs/>
          <w:lang w:val="fr-FR"/>
        </w:rPr>
        <w:tab/>
        <w:t>Dans le premier paragraphe, remplacer « compartiments de charge » par « compartiments de chargement ».</w:t>
      </w:r>
    </w:p>
    <w:p w14:paraId="79BFCA4F" w14:textId="77777777" w:rsidR="00115518" w:rsidRPr="00677A2B" w:rsidRDefault="00115518" w:rsidP="00115518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6.2</w:t>
      </w:r>
    </w:p>
    <w:p w14:paraId="4DC14437" w14:textId="77777777" w:rsidR="00115518" w:rsidRPr="00677A2B" w:rsidRDefault="00115518" w:rsidP="00115518">
      <w:pPr>
        <w:pStyle w:val="SingleTxtG"/>
        <w:ind w:left="2268" w:right="566" w:hanging="1134"/>
        <w:rPr>
          <w:bCs/>
          <w:lang w:val="fr-FR"/>
        </w:rPr>
      </w:pPr>
      <w:r w:rsidRPr="00677A2B">
        <w:rPr>
          <w:bCs/>
          <w:lang w:val="fr-FR"/>
        </w:rPr>
        <w:t>6.2.4.1</w:t>
      </w:r>
      <w:r w:rsidRPr="00677A2B">
        <w:rPr>
          <w:bCs/>
          <w:lang w:val="fr-FR"/>
        </w:rPr>
        <w:tab/>
      </w:r>
      <w:r w:rsidRPr="00677A2B">
        <w:rPr>
          <w:bCs/>
          <w:lang w:val="fr-FR"/>
        </w:rPr>
        <w:tab/>
        <w:t>Dans le tableau, sous « </w:t>
      </w:r>
      <w:r w:rsidRPr="00677A2B">
        <w:rPr>
          <w:b/>
          <w:i/>
          <w:lang w:val="fr-FR"/>
        </w:rPr>
        <w:t>Pour la conception et la fabrication des récipients à pression ou des enveloppes de récipients à pression</w:t>
      </w:r>
      <w:r w:rsidRPr="00677A2B">
        <w:rPr>
          <w:bCs/>
          <w:lang w:val="fr-FR"/>
        </w:rPr>
        <w:t> » :</w:t>
      </w:r>
    </w:p>
    <w:p w14:paraId="0A62D437" w14:textId="2DDA9935" w:rsidR="00115518" w:rsidRPr="00677A2B" w:rsidRDefault="00115518" w:rsidP="00D023F3">
      <w:pPr>
        <w:pStyle w:val="Bullet1G"/>
        <w:rPr>
          <w:lang w:val="fr-FR"/>
        </w:rPr>
      </w:pPr>
      <w:r w:rsidRPr="00677A2B">
        <w:rPr>
          <w:lang w:val="fr-FR"/>
        </w:rPr>
        <w:t>Pour la norme EN 1964-3:2000, dans la colonne (4), remplacer « Jusqu</w:t>
      </w:r>
      <w:r w:rsidR="00281F27">
        <w:rPr>
          <w:lang w:val="fr-FR"/>
        </w:rPr>
        <w:t>’</w:t>
      </w:r>
      <w:r w:rsidRPr="00677A2B">
        <w:rPr>
          <w:lang w:val="fr-FR"/>
        </w:rPr>
        <w:t>à nouvel ordre » par « Jusqu</w:t>
      </w:r>
      <w:r w:rsidR="00281F27">
        <w:rPr>
          <w:lang w:val="fr-FR"/>
        </w:rPr>
        <w:t>’</w:t>
      </w:r>
      <w:r w:rsidRPr="00677A2B">
        <w:rPr>
          <w:lang w:val="fr-FR"/>
        </w:rPr>
        <w:t>au 31 décembre 2026 ».</w:t>
      </w:r>
    </w:p>
    <w:p w14:paraId="0C73FA7B" w14:textId="120C8DC2" w:rsidR="00115518" w:rsidRPr="00677A2B" w:rsidRDefault="00115518" w:rsidP="00D023F3">
      <w:pPr>
        <w:pStyle w:val="Bullet1G"/>
        <w:rPr>
          <w:lang w:val="fr-FR"/>
        </w:rPr>
      </w:pPr>
      <w:r w:rsidRPr="00677A2B">
        <w:rPr>
          <w:lang w:val="fr-FR"/>
        </w:rPr>
        <w:t>Pour la norme EN 13322-1:2003 + A1:2006, dans la colonne (4), remplacer « Jusqu</w:t>
      </w:r>
      <w:r w:rsidR="00281F27">
        <w:rPr>
          <w:lang w:val="fr-FR"/>
        </w:rPr>
        <w:t>’</w:t>
      </w:r>
      <w:r w:rsidRPr="00677A2B">
        <w:rPr>
          <w:lang w:val="fr-FR"/>
        </w:rPr>
        <w:t>à nouvel ordre » par « Entre le 1</w:t>
      </w:r>
      <w:r w:rsidRPr="00677A2B">
        <w:rPr>
          <w:vertAlign w:val="superscript"/>
          <w:lang w:val="fr-FR"/>
        </w:rPr>
        <w:t>er</w:t>
      </w:r>
      <w:r w:rsidRPr="00677A2B">
        <w:rPr>
          <w:lang w:val="fr-FR"/>
        </w:rPr>
        <w:t xml:space="preserve"> janvier 2007 et le 31 décembre 2026 ».</w:t>
      </w:r>
    </w:p>
    <w:p w14:paraId="585CF282" w14:textId="20405043" w:rsidR="00115518" w:rsidRPr="00677A2B" w:rsidRDefault="00115518" w:rsidP="00D023F3">
      <w:pPr>
        <w:pStyle w:val="Bullet1G"/>
        <w:rPr>
          <w:lang w:val="fr-FR"/>
        </w:rPr>
      </w:pPr>
      <w:r w:rsidRPr="00677A2B">
        <w:rPr>
          <w:lang w:val="fr-FR"/>
        </w:rPr>
        <w:t>Après la ligne pour la norme EN 13322-1:2003 + A1:2006, insérer la nouvelle ligne suivante :</w:t>
      </w:r>
    </w:p>
    <w:tbl>
      <w:tblPr>
        <w:tblW w:w="822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543"/>
        <w:gridCol w:w="1012"/>
        <w:gridCol w:w="956"/>
        <w:gridCol w:w="725"/>
      </w:tblGrid>
      <w:tr w:rsidR="00115518" w:rsidRPr="00677A2B" w14:paraId="2CE1F620" w14:textId="77777777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05D6A" w14:textId="77777777" w:rsidR="00115518" w:rsidRPr="00677A2B" w:rsidRDefault="00115518" w:rsidP="006B0FA0">
            <w:pPr>
              <w:keepNext/>
              <w:widowControl w:val="0"/>
              <w:ind w:right="284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lastRenderedPageBreak/>
              <w:t>(1)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C6C78" w14:textId="77777777" w:rsidR="00115518" w:rsidRPr="00677A2B" w:rsidRDefault="00115518">
            <w:pPr>
              <w:widowControl w:val="0"/>
              <w:ind w:right="282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(2)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A23F2" w14:textId="77777777" w:rsidR="00115518" w:rsidRPr="00677A2B" w:rsidRDefault="00115518">
            <w:pPr>
              <w:widowControl w:val="0"/>
              <w:ind w:right="282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(3)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1AC85" w14:textId="77777777" w:rsidR="00115518" w:rsidRPr="00677A2B" w:rsidRDefault="00115518">
            <w:pPr>
              <w:widowControl w:val="0"/>
              <w:ind w:right="282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(4)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4273C" w14:textId="77777777" w:rsidR="00115518" w:rsidRPr="00677A2B" w:rsidRDefault="00115518">
            <w:pPr>
              <w:widowControl w:val="0"/>
              <w:ind w:right="282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(5)</w:t>
            </w:r>
          </w:p>
        </w:tc>
      </w:tr>
      <w:tr w:rsidR="00115518" w:rsidRPr="00677A2B" w14:paraId="2ECDC084" w14:textId="77777777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BEE7B" w14:textId="5F7EAE4C" w:rsidR="00115518" w:rsidRPr="00677A2B" w:rsidRDefault="00115518">
            <w:pPr>
              <w:widowControl w:val="0"/>
              <w:rPr>
                <w:rFonts w:cs="Arial"/>
                <w:lang w:val="fr-FR"/>
              </w:rPr>
            </w:pPr>
            <w:r w:rsidRPr="00677A2B">
              <w:rPr>
                <w:szCs w:val="22"/>
                <w:lang w:val="fr-FR"/>
              </w:rPr>
              <w:t>EN 13322-1:2024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8E21E" w14:textId="77777777" w:rsidR="00115518" w:rsidRPr="00677A2B" w:rsidRDefault="00115518">
            <w:pPr>
              <w:widowControl w:val="0"/>
              <w:ind w:right="282"/>
              <w:rPr>
                <w:rFonts w:cs="Arial"/>
                <w:i/>
                <w:lang w:val="fr-FR"/>
              </w:rPr>
            </w:pPr>
            <w:r w:rsidRPr="00677A2B">
              <w:rPr>
                <w:szCs w:val="18"/>
                <w:lang w:val="fr-FR"/>
              </w:rPr>
              <w:t>Bouteilles à gaz transportables − Bouteilles à gaz rechargeables soudées en acier − Conception et construction − Partie 1 : Acier soudé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74F12" w14:textId="77777777" w:rsidR="00115518" w:rsidRPr="00677A2B" w:rsidRDefault="00115518">
            <w:pPr>
              <w:widowControl w:val="0"/>
              <w:ind w:right="282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6.2.3.1 et 6.2.3.4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14BE4" w14:textId="4E4DB6CC" w:rsidR="00115518" w:rsidRPr="00677A2B" w:rsidRDefault="00115518">
            <w:pPr>
              <w:widowControl w:val="0"/>
              <w:ind w:right="282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Jusqu</w:t>
            </w:r>
            <w:r w:rsidR="00281F27">
              <w:rPr>
                <w:rFonts w:cs="Arial"/>
                <w:lang w:val="fr-FR"/>
              </w:rPr>
              <w:t>’</w:t>
            </w:r>
            <w:r w:rsidRPr="00677A2B">
              <w:rPr>
                <w:rFonts w:cs="Arial"/>
                <w:lang w:val="fr-FR"/>
              </w:rPr>
              <w:t>à nouvel ordre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4877" w14:textId="77777777" w:rsidR="00115518" w:rsidRPr="00677A2B" w:rsidRDefault="00115518">
            <w:pPr>
              <w:widowControl w:val="0"/>
              <w:ind w:right="282"/>
              <w:rPr>
                <w:rFonts w:cs="Arial"/>
                <w:lang w:val="fr-FR"/>
              </w:rPr>
            </w:pPr>
          </w:p>
        </w:tc>
      </w:tr>
    </w:tbl>
    <w:p w14:paraId="265F6624" w14:textId="77777777" w:rsidR="00115518" w:rsidRPr="00677A2B" w:rsidRDefault="00115518" w:rsidP="00115518">
      <w:pPr>
        <w:pStyle w:val="SingleTxtG"/>
        <w:spacing w:before="120"/>
        <w:ind w:left="2268"/>
        <w:rPr>
          <w:lang w:val="fr-FR"/>
        </w:rPr>
      </w:pPr>
      <w:r w:rsidRPr="00677A2B">
        <w:rPr>
          <w:lang w:val="fr-FR"/>
        </w:rPr>
        <w:t>Dans le tableau, sous « </w:t>
      </w:r>
      <w:r w:rsidRPr="00677A2B">
        <w:rPr>
          <w:b/>
          <w:bCs/>
          <w:i/>
          <w:iCs/>
          <w:lang w:val="fr-FR"/>
        </w:rPr>
        <w:t>Pour la conception et la fabrication des fermetures</w:t>
      </w:r>
      <w:r w:rsidRPr="00677A2B">
        <w:rPr>
          <w:lang w:val="fr-FR"/>
        </w:rPr>
        <w:t> » :</w:t>
      </w:r>
    </w:p>
    <w:p w14:paraId="34DE32EB" w14:textId="1057BFA9" w:rsidR="00115518" w:rsidRPr="00677A2B" w:rsidRDefault="00115518" w:rsidP="00D023F3">
      <w:pPr>
        <w:pStyle w:val="Bullet1G"/>
        <w:rPr>
          <w:lang w:val="fr-FR"/>
        </w:rPr>
      </w:pPr>
      <w:r w:rsidRPr="00677A2B">
        <w:rPr>
          <w:lang w:val="fr-FR"/>
        </w:rPr>
        <w:t>Pour la norme EN ISO 10297:2014 + A1:2017, dans la colonne (4), remplacer « Jusqu</w:t>
      </w:r>
      <w:r w:rsidR="00281F27">
        <w:rPr>
          <w:lang w:val="fr-FR"/>
        </w:rPr>
        <w:t>’</w:t>
      </w:r>
      <w:r w:rsidRPr="00677A2B">
        <w:rPr>
          <w:lang w:val="fr-FR"/>
        </w:rPr>
        <w:t>à nouvel ordre » par « Entre le 1er janvier 2019 et le 31 décembre 2026 ».</w:t>
      </w:r>
    </w:p>
    <w:p w14:paraId="4B5431EB" w14:textId="59639351" w:rsidR="00115518" w:rsidRPr="00677A2B" w:rsidRDefault="00115518" w:rsidP="00D023F3">
      <w:pPr>
        <w:pStyle w:val="Bullet1G"/>
        <w:rPr>
          <w:lang w:val="fr-FR"/>
        </w:rPr>
      </w:pPr>
      <w:r w:rsidRPr="00677A2B">
        <w:rPr>
          <w:lang w:val="fr-FR"/>
        </w:rPr>
        <w:t>Après la ligne pour la norme EN ISO 10297:2014 + A1:2017, insérer la nouvelle ligne suivante</w:t>
      </w:r>
      <w:r w:rsidR="004D529C" w:rsidRPr="00677A2B">
        <w:rPr>
          <w:lang w:val="fr-FR"/>
        </w:rPr>
        <w:t> :</w:t>
      </w:r>
      <w:r w:rsidRPr="00677A2B">
        <w:rPr>
          <w:lang w:val="fr-FR"/>
        </w:rPr>
        <w:t> </w:t>
      </w:r>
    </w:p>
    <w:tbl>
      <w:tblPr>
        <w:tblW w:w="822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2"/>
        <w:gridCol w:w="1012"/>
        <w:gridCol w:w="956"/>
        <w:gridCol w:w="725"/>
      </w:tblGrid>
      <w:tr w:rsidR="00115518" w:rsidRPr="00677A2B" w14:paraId="15BC5776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BE853" w14:textId="77777777" w:rsidR="00115518" w:rsidRPr="00677A2B" w:rsidRDefault="00115518">
            <w:pPr>
              <w:widowControl w:val="0"/>
              <w:ind w:right="282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(1)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C9DD4" w14:textId="77777777" w:rsidR="00115518" w:rsidRPr="00677A2B" w:rsidRDefault="00115518">
            <w:pPr>
              <w:widowControl w:val="0"/>
              <w:ind w:right="282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(2)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FBA96" w14:textId="77777777" w:rsidR="00115518" w:rsidRPr="00677A2B" w:rsidRDefault="00115518">
            <w:pPr>
              <w:widowControl w:val="0"/>
              <w:ind w:right="282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(3)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5EDF9" w14:textId="77777777" w:rsidR="00115518" w:rsidRPr="00677A2B" w:rsidRDefault="00115518">
            <w:pPr>
              <w:widowControl w:val="0"/>
              <w:ind w:right="282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(4)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74F5C" w14:textId="77777777" w:rsidR="00115518" w:rsidRPr="00677A2B" w:rsidRDefault="00115518">
            <w:pPr>
              <w:widowControl w:val="0"/>
              <w:ind w:right="282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(5)</w:t>
            </w:r>
          </w:p>
        </w:tc>
      </w:tr>
      <w:tr w:rsidR="00115518" w:rsidRPr="00677A2B" w14:paraId="3E27AFC3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417F1" w14:textId="5FE988CF" w:rsidR="00115518" w:rsidRPr="00677A2B" w:rsidRDefault="00115518">
            <w:pPr>
              <w:widowControl w:val="0"/>
              <w:ind w:right="282"/>
              <w:rPr>
                <w:rFonts w:cs="Arial"/>
                <w:lang w:val="fr-FR"/>
              </w:rPr>
            </w:pPr>
            <w:r w:rsidRPr="00677A2B">
              <w:rPr>
                <w:szCs w:val="22"/>
                <w:lang w:val="fr-FR"/>
              </w:rPr>
              <w:t>EN ISO 10297:2024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75CBC" w14:textId="77777777" w:rsidR="00115518" w:rsidRPr="00677A2B" w:rsidRDefault="00115518">
            <w:pPr>
              <w:widowControl w:val="0"/>
              <w:ind w:right="282"/>
              <w:rPr>
                <w:rFonts w:cs="Arial"/>
                <w:i/>
                <w:lang w:val="fr-FR"/>
              </w:rPr>
            </w:pPr>
            <w:r w:rsidRPr="00677A2B">
              <w:rPr>
                <w:lang w:val="fr-FR"/>
              </w:rPr>
              <w:t>Bouteilles à gaz − Robinets de bouteilles − Spécifications et essais de type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D463A" w14:textId="77777777" w:rsidR="00115518" w:rsidRPr="00677A2B" w:rsidRDefault="00115518">
            <w:pPr>
              <w:widowControl w:val="0"/>
              <w:ind w:right="282"/>
              <w:rPr>
                <w:rFonts w:cs="Arial"/>
                <w:lang w:val="fr-FR"/>
              </w:rPr>
            </w:pPr>
            <w:r w:rsidRPr="00677A2B">
              <w:rPr>
                <w:lang w:val="fr-FR"/>
              </w:rPr>
              <w:t xml:space="preserve">6.2.3.1 et 6.2.3.3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C062D" w14:textId="3A4BE760" w:rsidR="00115518" w:rsidRPr="00677A2B" w:rsidRDefault="00115518">
            <w:pPr>
              <w:widowControl w:val="0"/>
              <w:ind w:right="282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Jusqu</w:t>
            </w:r>
            <w:r w:rsidR="00281F27">
              <w:rPr>
                <w:rFonts w:cs="Arial"/>
                <w:lang w:val="fr-FR"/>
              </w:rPr>
              <w:t>’</w:t>
            </w:r>
            <w:r w:rsidRPr="00677A2B">
              <w:rPr>
                <w:rFonts w:cs="Arial"/>
                <w:lang w:val="fr-FR"/>
              </w:rPr>
              <w:t>à nouvel ordre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B46D" w14:textId="77777777" w:rsidR="00115518" w:rsidRPr="00677A2B" w:rsidRDefault="00115518">
            <w:pPr>
              <w:widowControl w:val="0"/>
              <w:ind w:right="282"/>
              <w:rPr>
                <w:rFonts w:cs="Arial"/>
                <w:lang w:val="fr-FR"/>
              </w:rPr>
            </w:pPr>
          </w:p>
        </w:tc>
      </w:tr>
    </w:tbl>
    <w:p w14:paraId="13CFE2E1" w14:textId="77777777" w:rsidR="00950D22" w:rsidRPr="00677A2B" w:rsidRDefault="00950D22" w:rsidP="00950D22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6.8</w:t>
      </w:r>
    </w:p>
    <w:p w14:paraId="293F92A1" w14:textId="2574BC09" w:rsidR="00950D22" w:rsidRPr="00677A2B" w:rsidRDefault="00950D22" w:rsidP="00950D22">
      <w:pPr>
        <w:pStyle w:val="SingleTxtG"/>
        <w:ind w:left="2268" w:right="1133" w:hanging="1134"/>
        <w:rPr>
          <w:bCs/>
          <w:lang w:val="fr-FR"/>
        </w:rPr>
      </w:pPr>
      <w:r w:rsidRPr="00677A2B">
        <w:rPr>
          <w:bCs/>
          <w:lang w:val="fr-FR"/>
        </w:rPr>
        <w:t>6.8.2.3.2</w:t>
      </w:r>
      <w:r w:rsidRPr="00677A2B">
        <w:rPr>
          <w:bCs/>
          <w:lang w:val="fr-FR"/>
        </w:rPr>
        <w:tab/>
        <w:t>Dans le Nota, après « L</w:t>
      </w:r>
      <w:r w:rsidR="00281F27">
        <w:rPr>
          <w:bCs/>
          <w:lang w:val="fr-FR"/>
        </w:rPr>
        <w:t>’</w:t>
      </w:r>
      <w:r w:rsidRPr="00677A2B">
        <w:rPr>
          <w:bCs/>
          <w:lang w:val="fr-FR"/>
        </w:rPr>
        <w:t>annexe B de la norme EN 12972:2018 » ajouter « + A1:2024 ».</w:t>
      </w:r>
    </w:p>
    <w:p w14:paraId="06E8E982" w14:textId="2B4F14D5" w:rsidR="00950D22" w:rsidRPr="00677A2B" w:rsidRDefault="00950D22" w:rsidP="00950D22">
      <w:pPr>
        <w:pStyle w:val="SingleTxtG"/>
        <w:ind w:left="2268" w:right="566" w:hanging="1134"/>
        <w:rPr>
          <w:bCs/>
          <w:lang w:val="fr-FR"/>
        </w:rPr>
      </w:pPr>
      <w:r w:rsidRPr="00677A2B">
        <w:rPr>
          <w:bCs/>
          <w:lang w:val="fr-FR"/>
        </w:rPr>
        <w:t>6.8.2.6.1</w:t>
      </w:r>
      <w:r w:rsidRPr="00677A2B">
        <w:rPr>
          <w:bCs/>
          <w:lang w:val="fr-FR"/>
        </w:rPr>
        <w:tab/>
        <w:t>Dans le tableau, sous « </w:t>
      </w:r>
      <w:r w:rsidRPr="00677A2B">
        <w:rPr>
          <w:b/>
          <w:i/>
          <w:lang w:val="fr-FR"/>
        </w:rPr>
        <w:t>Pour les équipements</w:t>
      </w:r>
      <w:r w:rsidRPr="00677A2B">
        <w:rPr>
          <w:bCs/>
          <w:lang w:val="fr-FR"/>
        </w:rPr>
        <w:t> », pour les normes EN 14432:2014 et EN 14433:2014, dans la colonne (3), remplacer « 6.8.2.3.2 » par « 6.8.2.3.1 ».</w:t>
      </w:r>
    </w:p>
    <w:p w14:paraId="3052CA7D" w14:textId="77777777" w:rsidR="00950D22" w:rsidRPr="00677A2B" w:rsidRDefault="00950D22" w:rsidP="00950D22">
      <w:pPr>
        <w:pStyle w:val="SingleTxtG"/>
        <w:ind w:right="1133"/>
        <w:rPr>
          <w:rFonts w:cs="Arial"/>
          <w:bCs/>
          <w:szCs w:val="22"/>
          <w:lang w:val="fr-FR"/>
        </w:rPr>
      </w:pPr>
      <w:r w:rsidRPr="00677A2B">
        <w:rPr>
          <w:rFonts w:cs="Arial"/>
          <w:bCs/>
          <w:szCs w:val="22"/>
          <w:lang w:val="fr-FR"/>
        </w:rPr>
        <w:t>6.8.2.6.2</w:t>
      </w:r>
      <w:r w:rsidRPr="00677A2B">
        <w:rPr>
          <w:rFonts w:cs="Arial"/>
          <w:bCs/>
          <w:szCs w:val="22"/>
          <w:lang w:val="fr-FR"/>
        </w:rPr>
        <w:tab/>
        <w:t>Modifier le tableau comme suit :</w:t>
      </w:r>
    </w:p>
    <w:p w14:paraId="732EE1F7" w14:textId="4752F515" w:rsidR="00950D22" w:rsidRPr="00677A2B" w:rsidRDefault="00950D22" w:rsidP="00D023F3">
      <w:pPr>
        <w:pStyle w:val="Bullet1G"/>
        <w:rPr>
          <w:lang w:val="fr-FR"/>
        </w:rPr>
      </w:pPr>
      <w:r w:rsidRPr="00677A2B">
        <w:rPr>
          <w:lang w:val="fr-FR"/>
        </w:rPr>
        <w:t>Pour la norme EN 12972:2018, dans la colonne (4), remplacer « Jusqu</w:t>
      </w:r>
      <w:r w:rsidR="00281F27">
        <w:rPr>
          <w:lang w:val="fr-FR"/>
        </w:rPr>
        <w:t>’</w:t>
      </w:r>
      <w:r w:rsidRPr="00677A2B">
        <w:rPr>
          <w:lang w:val="fr-FR"/>
        </w:rPr>
        <w:t>à nouvel ordre » par « Jusqu</w:t>
      </w:r>
      <w:r w:rsidR="00281F27">
        <w:rPr>
          <w:lang w:val="fr-FR"/>
        </w:rPr>
        <w:t>’</w:t>
      </w:r>
      <w:r w:rsidRPr="00677A2B">
        <w:rPr>
          <w:lang w:val="fr-FR"/>
        </w:rPr>
        <w:t>au 31 décembre 2026 ».</w:t>
      </w:r>
    </w:p>
    <w:p w14:paraId="689FC8A6" w14:textId="6489EB46" w:rsidR="00950D22" w:rsidRPr="00677A2B" w:rsidRDefault="00950D22" w:rsidP="00D023F3">
      <w:pPr>
        <w:pStyle w:val="Bullet1G"/>
        <w:rPr>
          <w:lang w:val="fr-FR"/>
        </w:rPr>
      </w:pPr>
      <w:r w:rsidRPr="00677A2B">
        <w:rPr>
          <w:lang w:val="fr-FR"/>
        </w:rPr>
        <w:t>Après la ligne pour la norme EN 12972:2018, ajouter la nouvelle ligne suivante : </w:t>
      </w:r>
    </w:p>
    <w:tbl>
      <w:tblPr>
        <w:tblW w:w="751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403"/>
        <w:gridCol w:w="1134"/>
        <w:gridCol w:w="992"/>
      </w:tblGrid>
      <w:tr w:rsidR="009B4DFD" w:rsidRPr="00677A2B" w14:paraId="767FE54E" w14:textId="77777777" w:rsidTr="00B3730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17553" w14:textId="77777777" w:rsidR="009B4DFD" w:rsidRPr="00677A2B" w:rsidRDefault="009B4DFD">
            <w:pPr>
              <w:keepNext/>
              <w:widowControl w:val="0"/>
              <w:ind w:right="284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(1)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ED601" w14:textId="77777777" w:rsidR="009B4DFD" w:rsidRPr="00677A2B" w:rsidRDefault="009B4DFD">
            <w:pPr>
              <w:keepNext/>
              <w:widowControl w:val="0"/>
              <w:ind w:right="284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4D0F0" w14:textId="77777777" w:rsidR="009B4DFD" w:rsidRPr="00677A2B" w:rsidRDefault="009B4DFD">
            <w:pPr>
              <w:keepNext/>
              <w:widowControl w:val="0"/>
              <w:ind w:right="284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10423C" w14:textId="77777777" w:rsidR="009B4DFD" w:rsidRPr="00677A2B" w:rsidRDefault="009B4DFD">
            <w:pPr>
              <w:keepNext/>
              <w:widowControl w:val="0"/>
              <w:ind w:right="284"/>
              <w:jc w:val="center"/>
              <w:rPr>
                <w:rFonts w:cs="Arial"/>
                <w:lang w:val="fr-FR"/>
              </w:rPr>
            </w:pPr>
            <w:r w:rsidRPr="00677A2B">
              <w:rPr>
                <w:rFonts w:cs="Arial"/>
                <w:lang w:val="fr-FR"/>
              </w:rPr>
              <w:t>(4)</w:t>
            </w:r>
          </w:p>
        </w:tc>
      </w:tr>
      <w:tr w:rsidR="009B4DFD" w:rsidRPr="00677A2B" w14:paraId="3476112B" w14:textId="77777777" w:rsidTr="00B3730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CE30F" w14:textId="18F1318E" w:rsidR="009B4DFD" w:rsidRPr="00677A2B" w:rsidRDefault="009B4DFD">
            <w:pPr>
              <w:widowControl w:val="0"/>
              <w:rPr>
                <w:rFonts w:cs="Arial"/>
                <w:bCs/>
                <w:lang w:val="fr-FR"/>
              </w:rPr>
            </w:pPr>
            <w:r w:rsidRPr="00677A2B">
              <w:rPr>
                <w:bCs/>
                <w:iCs/>
                <w:lang w:val="fr-FR"/>
              </w:rPr>
              <w:t>EN 12972:2018 + A1:2024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F7250" w14:textId="3A97188F" w:rsidR="009B4DFD" w:rsidRPr="00677A2B" w:rsidRDefault="009B4DFD">
            <w:pPr>
              <w:widowControl w:val="0"/>
              <w:ind w:right="-69"/>
              <w:rPr>
                <w:rFonts w:cs="Arial"/>
                <w:bCs/>
                <w:i/>
                <w:lang w:val="fr-FR"/>
              </w:rPr>
            </w:pPr>
            <w:r w:rsidRPr="00677A2B">
              <w:rPr>
                <w:rFonts w:cs="Arial"/>
                <w:bCs/>
                <w:lang w:val="fr-FR"/>
              </w:rPr>
              <w:t>Citernes pour le transport de matières dangereuses − Épreuve, contrôle et marquage des citernes métalliques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16C48" w14:textId="77777777" w:rsidR="009B4DFD" w:rsidRPr="00677A2B" w:rsidRDefault="009B4DFD">
            <w:pPr>
              <w:widowControl w:val="0"/>
              <w:ind w:right="136"/>
              <w:rPr>
                <w:rFonts w:cs="Arial"/>
                <w:bCs/>
                <w:lang w:val="fr-FR"/>
              </w:rPr>
            </w:pPr>
            <w:r w:rsidRPr="00677A2B">
              <w:rPr>
                <w:bCs/>
                <w:lang w:val="fr-FR"/>
              </w:rPr>
              <w:t>6.8.2.1.23, 6.8.2.3, 6.8.2.4 et 6.8.3.4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404DD" w14:textId="5A1C49A5" w:rsidR="009B4DFD" w:rsidRPr="00677A2B" w:rsidRDefault="009B4DFD">
            <w:pPr>
              <w:widowControl w:val="0"/>
              <w:ind w:right="282"/>
              <w:jc w:val="center"/>
              <w:rPr>
                <w:rFonts w:cs="Arial"/>
                <w:bCs/>
                <w:lang w:val="fr-FR"/>
              </w:rPr>
            </w:pPr>
            <w:r w:rsidRPr="00677A2B">
              <w:rPr>
                <w:rFonts w:cs="Arial"/>
                <w:bCs/>
                <w:lang w:val="fr-FR"/>
              </w:rPr>
              <w:t>Jusqu</w:t>
            </w:r>
            <w:r w:rsidR="00281F27">
              <w:rPr>
                <w:rFonts w:cs="Arial"/>
                <w:bCs/>
                <w:lang w:val="fr-FR"/>
              </w:rPr>
              <w:t>’</w:t>
            </w:r>
            <w:r w:rsidRPr="00677A2B">
              <w:rPr>
                <w:rFonts w:cs="Arial"/>
                <w:bCs/>
                <w:lang w:val="fr-FR"/>
              </w:rPr>
              <w:t>à nouvel ordre</w:t>
            </w:r>
          </w:p>
        </w:tc>
      </w:tr>
    </w:tbl>
    <w:p w14:paraId="112461AD" w14:textId="428610CD" w:rsidR="002E382B" w:rsidRPr="00677A2B" w:rsidRDefault="002E382B" w:rsidP="00EA1EE1">
      <w:pPr>
        <w:pStyle w:val="SingleTxtG"/>
        <w:spacing w:before="120"/>
        <w:ind w:left="2268" w:hanging="1134"/>
        <w:rPr>
          <w:lang w:val="fr-FR"/>
        </w:rPr>
      </w:pPr>
      <w:r w:rsidRPr="00677A2B">
        <w:rPr>
          <w:bCs/>
          <w:iCs/>
          <w:lang w:val="fr-FR"/>
        </w:rPr>
        <w:t>6.8.3.2.9.4</w:t>
      </w:r>
      <w:r w:rsidRPr="00677A2B">
        <w:rPr>
          <w:bCs/>
          <w:iCs/>
          <w:lang w:val="fr-FR"/>
        </w:rPr>
        <w:tab/>
      </w:r>
      <w:r w:rsidRPr="00677A2B">
        <w:rPr>
          <w:rFonts w:eastAsia="Noto Serif CJK SC"/>
          <w:bCs/>
          <w:lang w:val="fr-FR" w:bidi="hi-IN"/>
        </w:rPr>
        <w:t>Modifier</w:t>
      </w:r>
      <w:r w:rsidRPr="00677A2B">
        <w:rPr>
          <w:bCs/>
          <w:iCs/>
          <w:lang w:val="fr-FR"/>
        </w:rPr>
        <w:t xml:space="preserve"> la première phrase pour lire </w:t>
      </w:r>
      <w:r w:rsidRPr="00677A2B">
        <w:rPr>
          <w:lang w:val="fr-FR"/>
        </w:rPr>
        <w:t>« Chacune des entrées des soupapes de sécurité doit être placée au sommet du réservoir, aussi près que possible de la génératrice supérieure. »</w:t>
      </w:r>
    </w:p>
    <w:p w14:paraId="3BC3D575" w14:textId="24A0C3A0" w:rsidR="002E382B" w:rsidRPr="00677A2B" w:rsidRDefault="002E382B" w:rsidP="002E382B">
      <w:pPr>
        <w:pStyle w:val="SingleTxtG"/>
        <w:ind w:left="2268" w:hanging="1134"/>
        <w:rPr>
          <w:rFonts w:eastAsia="Noto Serif CJK SC"/>
          <w:lang w:val="fr-FR" w:bidi="hi-IN"/>
        </w:rPr>
      </w:pPr>
      <w:r w:rsidRPr="00677A2B">
        <w:rPr>
          <w:rFonts w:eastAsia="Noto Serif CJK SC"/>
          <w:bCs/>
          <w:lang w:val="fr-FR" w:bidi="hi-IN"/>
        </w:rPr>
        <w:t xml:space="preserve">6.8.4 </w:t>
      </w:r>
      <w:r w:rsidRPr="00677A2B">
        <w:rPr>
          <w:rFonts w:eastAsia="Noto Serif CJK SC"/>
          <w:bCs/>
          <w:lang w:val="fr-FR" w:bidi="hi-IN"/>
        </w:rPr>
        <w:tab/>
      </w:r>
      <w:r w:rsidR="00B049E4" w:rsidRPr="00677A2B">
        <w:rPr>
          <w:rFonts w:eastAsia="Noto Serif CJK SC"/>
          <w:bCs/>
          <w:lang w:val="fr-FR" w:bidi="hi-IN"/>
        </w:rPr>
        <w:tab/>
        <w:t>À l</w:t>
      </w:r>
      <w:r w:rsidR="00281F27">
        <w:rPr>
          <w:rFonts w:eastAsia="Noto Serif CJK SC"/>
          <w:bCs/>
          <w:lang w:val="fr-FR" w:bidi="hi-IN"/>
        </w:rPr>
        <w:t>’</w:t>
      </w:r>
      <w:r w:rsidR="00B049E4" w:rsidRPr="00677A2B">
        <w:rPr>
          <w:rFonts w:eastAsia="Noto Serif CJK SC"/>
          <w:bCs/>
          <w:lang w:val="fr-FR" w:bidi="hi-IN"/>
        </w:rPr>
        <w:t>alinéa d), d</w:t>
      </w:r>
      <w:r w:rsidRPr="00677A2B">
        <w:rPr>
          <w:rFonts w:eastAsia="Noto Serif CJK SC"/>
          <w:bCs/>
          <w:lang w:val="fr-FR" w:bidi="hi-IN"/>
        </w:rPr>
        <w:t>ans la disposition spéciale TT8, m</w:t>
      </w:r>
      <w:r w:rsidRPr="00677A2B">
        <w:rPr>
          <w:rFonts w:eastAsia="Noto Serif CJK SC"/>
          <w:lang w:val="fr-FR" w:bidi="hi-IN"/>
        </w:rPr>
        <w:t>odifier le dernier paragraphe pour lire comme suit :</w:t>
      </w:r>
    </w:p>
    <w:p w14:paraId="62E0B867" w14:textId="4A827095" w:rsidR="002E382B" w:rsidRPr="00677A2B" w:rsidRDefault="002E382B" w:rsidP="002E382B">
      <w:pPr>
        <w:pStyle w:val="SingleTxtG"/>
        <w:rPr>
          <w:rFonts w:eastAsia="Noto Serif CJK SC"/>
          <w:lang w:val="fr-FR" w:bidi="hi-IN"/>
        </w:rPr>
      </w:pPr>
      <w:r w:rsidRPr="00677A2B">
        <w:rPr>
          <w:rFonts w:eastAsia="Noto Serif CJK SC"/>
          <w:lang w:val="fr-FR" w:bidi="hi-IN"/>
        </w:rPr>
        <w:t>« Ces contrôles magnétoscopiques doivent être effectués conformément à la norme EN 12972:2018 + A1:2024. »</w:t>
      </w:r>
    </w:p>
    <w:p w14:paraId="7B0580ED" w14:textId="32B12919" w:rsidR="002E382B" w:rsidRPr="00677A2B" w:rsidRDefault="00B049E4" w:rsidP="009138CA">
      <w:pPr>
        <w:pStyle w:val="SingleTxtG"/>
        <w:ind w:left="2268"/>
        <w:rPr>
          <w:rFonts w:eastAsia="Noto Serif CJK SC"/>
          <w:lang w:val="fr-FR" w:bidi="hi-IN"/>
        </w:rPr>
      </w:pPr>
      <w:r w:rsidRPr="00677A2B">
        <w:rPr>
          <w:rFonts w:eastAsia="Noto Serif CJK SC"/>
          <w:bCs/>
          <w:lang w:val="fr-FR" w:bidi="hi-IN"/>
        </w:rPr>
        <w:t>À l</w:t>
      </w:r>
      <w:r w:rsidR="00281F27">
        <w:rPr>
          <w:rFonts w:eastAsia="Noto Serif CJK SC"/>
          <w:bCs/>
          <w:lang w:val="fr-FR" w:bidi="hi-IN"/>
        </w:rPr>
        <w:t>’</w:t>
      </w:r>
      <w:r w:rsidRPr="00677A2B">
        <w:rPr>
          <w:rFonts w:eastAsia="Noto Serif CJK SC"/>
          <w:bCs/>
          <w:lang w:val="fr-FR" w:bidi="hi-IN"/>
        </w:rPr>
        <w:t>alinéa d),</w:t>
      </w:r>
      <w:r w:rsidR="00C338D0" w:rsidRPr="00677A2B">
        <w:rPr>
          <w:rFonts w:eastAsia="Noto Serif CJK SC"/>
          <w:bCs/>
          <w:lang w:val="fr-FR" w:bidi="hi-IN"/>
        </w:rPr>
        <w:t xml:space="preserve"> d</w:t>
      </w:r>
      <w:r w:rsidR="002E382B" w:rsidRPr="00677A2B">
        <w:rPr>
          <w:rFonts w:eastAsia="Noto Serif CJK SC"/>
        </w:rPr>
        <w:t xml:space="preserve">ans la disposition spéciale </w:t>
      </w:r>
      <w:r w:rsidR="002E382B" w:rsidRPr="00677A2B">
        <w:rPr>
          <w:rFonts w:eastAsia="Noto Serif CJK SC"/>
          <w:lang w:val="fr-FR"/>
        </w:rPr>
        <w:t xml:space="preserve">TT11, </w:t>
      </w:r>
      <w:r w:rsidR="00DF5578" w:rsidRPr="00677A2B">
        <w:rPr>
          <w:rFonts w:eastAsia="Noto Serif CJK SC"/>
          <w:bCs/>
          <w:lang w:val="fr-FR" w:bidi="hi-IN"/>
        </w:rPr>
        <w:t xml:space="preserve">deuxième tiret, </w:t>
      </w:r>
      <w:r w:rsidR="00407163" w:rsidRPr="00677A2B">
        <w:rPr>
          <w:rFonts w:eastAsia="Noto Serif CJK SC"/>
          <w:lang w:val="fr-FR"/>
        </w:rPr>
        <w:t xml:space="preserve">dans </w:t>
      </w:r>
      <w:r w:rsidR="002E382B" w:rsidRPr="00677A2B">
        <w:rPr>
          <w:rFonts w:eastAsia="Noto Serif CJK SC"/>
          <w:lang w:val="fr-FR"/>
        </w:rPr>
        <w:t>la référence à la norme EN ISO 17638:2016</w:t>
      </w:r>
      <w:r w:rsidR="00407163" w:rsidRPr="00677A2B">
        <w:rPr>
          <w:rFonts w:eastAsia="Noto Serif CJK SC"/>
          <w:lang w:val="fr-FR"/>
        </w:rPr>
        <w:t>, après « niveau d</w:t>
      </w:r>
      <w:r w:rsidR="00281F27">
        <w:rPr>
          <w:rFonts w:eastAsia="Noto Serif CJK SC"/>
          <w:lang w:val="fr-FR"/>
        </w:rPr>
        <w:t>’</w:t>
      </w:r>
      <w:r w:rsidR="00407163" w:rsidRPr="00677A2B">
        <w:rPr>
          <w:rFonts w:eastAsia="Noto Serif CJK SC"/>
          <w:lang w:val="fr-FR"/>
        </w:rPr>
        <w:t>acceptation »</w:t>
      </w:r>
      <w:r w:rsidR="00AE3FE5" w:rsidRPr="00677A2B">
        <w:rPr>
          <w:rFonts w:eastAsia="Noto Serif CJK SC"/>
          <w:lang w:val="fr-FR"/>
        </w:rPr>
        <w:t>, ajouter « 2X »</w:t>
      </w:r>
      <w:r w:rsidR="002E382B" w:rsidRPr="00677A2B">
        <w:rPr>
          <w:rFonts w:eastAsia="Noto Serif CJK SC"/>
          <w:lang w:val="fr-FR" w:bidi="hi-IN"/>
        </w:rPr>
        <w:t>.</w:t>
      </w:r>
    </w:p>
    <w:p w14:paraId="1D300EB8" w14:textId="14652C96" w:rsidR="002E382B" w:rsidRPr="00677A2B" w:rsidRDefault="00413632" w:rsidP="002E382B">
      <w:pPr>
        <w:pStyle w:val="SingleTxtG"/>
        <w:ind w:left="2268"/>
        <w:rPr>
          <w:rFonts w:eastAsia="Noto Serif CJK SC"/>
          <w:lang w:val="fr-FR" w:bidi="hi-IN"/>
        </w:rPr>
      </w:pPr>
      <w:r w:rsidRPr="00677A2B">
        <w:rPr>
          <w:rFonts w:eastAsia="Noto Serif CJK SC"/>
          <w:bCs/>
          <w:lang w:val="fr-FR" w:bidi="hi-IN"/>
        </w:rPr>
        <w:t>À l</w:t>
      </w:r>
      <w:r w:rsidR="00281F27">
        <w:rPr>
          <w:rFonts w:eastAsia="Noto Serif CJK SC"/>
          <w:bCs/>
          <w:lang w:val="fr-FR" w:bidi="hi-IN"/>
        </w:rPr>
        <w:t>’</w:t>
      </w:r>
      <w:r w:rsidRPr="00677A2B">
        <w:rPr>
          <w:rFonts w:eastAsia="Noto Serif CJK SC"/>
          <w:bCs/>
          <w:lang w:val="fr-FR" w:bidi="hi-IN"/>
        </w:rPr>
        <w:t>alinéa d), d</w:t>
      </w:r>
      <w:r w:rsidRPr="00677A2B">
        <w:rPr>
          <w:rFonts w:eastAsia="Noto Serif CJK SC"/>
        </w:rPr>
        <w:t xml:space="preserve">ans la disposition spéciale </w:t>
      </w:r>
      <w:r w:rsidRPr="00677A2B">
        <w:rPr>
          <w:rFonts w:eastAsia="Noto Serif CJK SC"/>
          <w:lang w:val="fr-FR"/>
        </w:rPr>
        <w:t>TT11, m</w:t>
      </w:r>
      <w:r w:rsidR="002E382B" w:rsidRPr="00677A2B">
        <w:rPr>
          <w:rFonts w:eastAsia="Noto Serif CJK SC"/>
          <w:lang w:val="fr-FR"/>
        </w:rPr>
        <w:t>odifier</w:t>
      </w:r>
      <w:r w:rsidR="002E382B" w:rsidRPr="00677A2B">
        <w:rPr>
          <w:rFonts w:eastAsia="Noto Serif CJK SC"/>
          <w:lang w:val="fr-FR" w:bidi="hi-IN"/>
        </w:rPr>
        <w:t xml:space="preserve"> le paragraphe après le quatrième tiret, y compris le tiret de ce paragraphe, pour lire comme suit :</w:t>
      </w:r>
    </w:p>
    <w:p w14:paraId="57B15DD1" w14:textId="45258EE4" w:rsidR="002E382B" w:rsidRPr="00677A2B" w:rsidRDefault="002E382B" w:rsidP="002E382B">
      <w:pPr>
        <w:pStyle w:val="SingleTxtG"/>
        <w:rPr>
          <w:lang w:val="fr-FR"/>
        </w:rPr>
      </w:pPr>
      <w:r w:rsidRPr="00677A2B">
        <w:rPr>
          <w:rFonts w:eastAsia="Noto Serif CJK SC"/>
          <w:lang w:val="fr-FR" w:bidi="hi-IN"/>
        </w:rPr>
        <w:t>« Les contrôles non destructifs doivent être effectués par du personnel conformément à la norme EN 12972:2018 + A1:2024 ou à la norme EN 14334:2014. ».</w:t>
      </w:r>
    </w:p>
    <w:p w14:paraId="51D132F8" w14:textId="77777777" w:rsidR="001544DE" w:rsidRPr="00677A2B" w:rsidRDefault="001544DE" w:rsidP="001544DE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6.11</w:t>
      </w:r>
    </w:p>
    <w:p w14:paraId="619D3221" w14:textId="77777777" w:rsidR="001544DE" w:rsidRPr="00677A2B" w:rsidRDefault="001544DE" w:rsidP="001544DE">
      <w:pPr>
        <w:pStyle w:val="SingleTxtG"/>
        <w:ind w:left="2268" w:right="566" w:hanging="1134"/>
        <w:rPr>
          <w:lang w:val="fr-FR"/>
        </w:rPr>
      </w:pPr>
      <w:r w:rsidRPr="00677A2B">
        <w:rPr>
          <w:bCs/>
          <w:lang w:val="fr-FR"/>
        </w:rPr>
        <w:t>6.11.4.1</w:t>
      </w:r>
      <w:r w:rsidRPr="00677A2B">
        <w:rPr>
          <w:bCs/>
          <w:lang w:val="fr-FR"/>
        </w:rPr>
        <w:tab/>
        <w:t>Remplacer « compartiments de charge » par </w:t>
      </w:r>
      <w:r w:rsidRPr="00677A2B">
        <w:rPr>
          <w:lang w:val="fr-FR"/>
        </w:rPr>
        <w:t>« compartiments de chargement ».</w:t>
      </w:r>
    </w:p>
    <w:p w14:paraId="6698F440" w14:textId="6DAC5234" w:rsidR="001544DE" w:rsidRPr="00677A2B" w:rsidRDefault="000448A6" w:rsidP="001544DE">
      <w:pPr>
        <w:pStyle w:val="SingleTxtG"/>
        <w:ind w:left="2268" w:right="282"/>
        <w:rPr>
          <w:bCs/>
          <w:lang w:val="fr-FR"/>
        </w:rPr>
      </w:pPr>
      <w:r w:rsidRPr="00677A2B">
        <w:rPr>
          <w:bCs/>
          <w:lang w:val="fr-FR"/>
        </w:rPr>
        <w:lastRenderedPageBreak/>
        <w:t xml:space="preserve">Dans </w:t>
      </w:r>
      <w:r w:rsidR="001544DE" w:rsidRPr="00677A2B">
        <w:rPr>
          <w:bCs/>
          <w:lang w:val="fr-FR"/>
        </w:rPr>
        <w:t xml:space="preserve">la note de bas de page </w:t>
      </w:r>
      <w:r w:rsidR="001544DE" w:rsidRPr="00677A2B">
        <w:rPr>
          <w:bCs/>
          <w:vertAlign w:val="superscript"/>
          <w:lang w:val="fr-FR"/>
        </w:rPr>
        <w:t>2</w:t>
      </w:r>
      <w:r w:rsidR="001544DE" w:rsidRPr="00677A2B">
        <w:rPr>
          <w:bCs/>
          <w:lang w:val="fr-FR"/>
        </w:rPr>
        <w:t xml:space="preserve"> </w:t>
      </w:r>
      <w:r w:rsidRPr="00677A2B">
        <w:rPr>
          <w:bCs/>
          <w:lang w:val="fr-FR"/>
        </w:rPr>
        <w:t>remplacer « </w:t>
      </w:r>
      <w:r w:rsidR="0046006B" w:rsidRPr="00677A2B">
        <w:rPr>
          <w:bCs/>
          <w:lang w:val="fr-FR"/>
        </w:rPr>
        <w:t>D</w:t>
      </w:r>
      <w:r w:rsidRPr="00677A2B">
        <w:rPr>
          <w:bCs/>
          <w:lang w:val="fr-FR"/>
        </w:rPr>
        <w:t xml:space="preserve">euxième » par « Troisième » et </w:t>
      </w:r>
      <w:r w:rsidR="0046006B" w:rsidRPr="00677A2B">
        <w:rPr>
          <w:bCs/>
          <w:lang w:val="fr-FR"/>
        </w:rPr>
        <w:t>« 2020 » par « 2023 ».</w:t>
      </w:r>
    </w:p>
    <w:p w14:paraId="52D0649F" w14:textId="77777777" w:rsidR="001544DE" w:rsidRPr="00677A2B" w:rsidRDefault="001544DE" w:rsidP="001544DE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7.1</w:t>
      </w:r>
    </w:p>
    <w:p w14:paraId="1FB1147C" w14:textId="705101BB" w:rsidR="001544DE" w:rsidRPr="00677A2B" w:rsidRDefault="001544DE" w:rsidP="00B37307">
      <w:pPr>
        <w:pStyle w:val="SingleTxtG"/>
        <w:ind w:left="2268" w:right="282" w:hanging="1134"/>
        <w:rPr>
          <w:bCs/>
          <w:lang w:val="fr-FR"/>
        </w:rPr>
      </w:pPr>
      <w:r w:rsidRPr="00677A2B">
        <w:rPr>
          <w:bCs/>
          <w:lang w:val="fr-FR"/>
        </w:rPr>
        <w:t>7.1.3</w:t>
      </w:r>
      <w:r w:rsidRPr="00677A2B">
        <w:rPr>
          <w:bCs/>
          <w:lang w:val="fr-FR"/>
        </w:rPr>
        <w:tab/>
      </w:r>
      <w:r w:rsidRPr="00677A2B">
        <w:rPr>
          <w:bCs/>
          <w:lang w:val="fr-FR"/>
        </w:rPr>
        <w:tab/>
      </w:r>
      <w:r w:rsidR="0046006B" w:rsidRPr="00677A2B">
        <w:rPr>
          <w:bCs/>
          <w:lang w:val="fr-FR"/>
        </w:rPr>
        <w:t xml:space="preserve">Dans </w:t>
      </w:r>
      <w:r w:rsidRPr="00677A2B">
        <w:rPr>
          <w:bCs/>
          <w:lang w:val="fr-FR"/>
        </w:rPr>
        <w:t xml:space="preserve">la note de bas de page </w:t>
      </w:r>
      <w:r w:rsidRPr="00677A2B">
        <w:rPr>
          <w:bCs/>
          <w:vertAlign w:val="superscript"/>
          <w:lang w:val="fr-FR"/>
        </w:rPr>
        <w:t>2</w:t>
      </w:r>
      <w:r w:rsidRPr="00677A2B">
        <w:rPr>
          <w:bCs/>
          <w:lang w:val="fr-FR"/>
        </w:rPr>
        <w:t xml:space="preserve"> </w:t>
      </w:r>
      <w:r w:rsidR="0046006B" w:rsidRPr="00677A2B">
        <w:rPr>
          <w:bCs/>
          <w:lang w:val="fr-FR"/>
        </w:rPr>
        <w:t>remplacer « Deuxième » par « Troisième » et « 2020 » par « 2023 ».</w:t>
      </w:r>
    </w:p>
    <w:p w14:paraId="58343DAB" w14:textId="77777777" w:rsidR="00785E63" w:rsidRPr="00677A2B" w:rsidRDefault="00785E63" w:rsidP="00785E63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7.3</w:t>
      </w:r>
    </w:p>
    <w:p w14:paraId="672E9BFD" w14:textId="77777777" w:rsidR="00785E63" w:rsidRPr="00677A2B" w:rsidRDefault="00785E63" w:rsidP="00785E63">
      <w:pPr>
        <w:pStyle w:val="SingleTxtG"/>
        <w:rPr>
          <w:lang w:val="fr-FR"/>
        </w:rPr>
      </w:pPr>
      <w:r w:rsidRPr="00677A2B">
        <w:rPr>
          <w:lang w:val="fr-FR"/>
        </w:rPr>
        <w:t>7.3.3.2.6</w:t>
      </w:r>
      <w:r w:rsidRPr="00677A2B">
        <w:rPr>
          <w:lang w:val="fr-FR"/>
        </w:rPr>
        <w:tab/>
        <w:t>Modifier la disposition supplémentaire AP8 comme suit :</w:t>
      </w:r>
    </w:p>
    <w:p w14:paraId="02233512" w14:textId="77777777" w:rsidR="00785E63" w:rsidRPr="00677A2B" w:rsidRDefault="00785E63" w:rsidP="00DA572D">
      <w:pPr>
        <w:pStyle w:val="Bullet1G"/>
        <w:tabs>
          <w:tab w:val="clear" w:pos="2439"/>
          <w:tab w:val="num" w:pos="2381"/>
        </w:tabs>
        <w:ind w:left="2381"/>
        <w:rPr>
          <w:lang w:val="fr-FR"/>
        </w:rPr>
      </w:pPr>
      <w:r w:rsidRPr="00677A2B">
        <w:rPr>
          <w:lang w:val="fr-FR"/>
        </w:rPr>
        <w:t>Dans le premier paragraphe, remplacer « Le compartiment de charge » par « Le compartiment de chargement ».</w:t>
      </w:r>
    </w:p>
    <w:p w14:paraId="1BB7A631" w14:textId="77777777" w:rsidR="00785E63" w:rsidRPr="00677A2B" w:rsidRDefault="00785E63" w:rsidP="00DA572D">
      <w:pPr>
        <w:pStyle w:val="Bullet1G"/>
        <w:tabs>
          <w:tab w:val="clear" w:pos="2439"/>
          <w:tab w:val="num" w:pos="2381"/>
        </w:tabs>
        <w:ind w:left="2381"/>
        <w:rPr>
          <w:lang w:val="fr-FR"/>
        </w:rPr>
      </w:pPr>
      <w:r w:rsidRPr="00677A2B">
        <w:rPr>
          <w:lang w:val="fr-FR"/>
        </w:rPr>
        <w:t>Dans le deuxième paragraphe, remplacer « Les compartiments de charge » par « Les compartiments de chargement ».</w:t>
      </w:r>
    </w:p>
    <w:p w14:paraId="6F6F778C" w14:textId="77777777" w:rsidR="00785E63" w:rsidRPr="00677A2B" w:rsidRDefault="00785E63" w:rsidP="00DA572D">
      <w:pPr>
        <w:pStyle w:val="Bullet1G"/>
        <w:tabs>
          <w:tab w:val="clear" w:pos="2439"/>
          <w:tab w:val="num" w:pos="2381"/>
        </w:tabs>
        <w:ind w:left="2381"/>
        <w:rPr>
          <w:lang w:val="fr-FR"/>
        </w:rPr>
      </w:pPr>
      <w:r w:rsidRPr="00677A2B">
        <w:rPr>
          <w:lang w:val="fr-FR"/>
        </w:rPr>
        <w:t>Dans le troisième paragraphe (le premier paragraphe après le nota), remplacer « compartiments de charge » par « compartiments de chargement ».</w:t>
      </w:r>
    </w:p>
    <w:p w14:paraId="6514057D" w14:textId="69C33D66" w:rsidR="0001480D" w:rsidRPr="00677A2B" w:rsidRDefault="0001480D" w:rsidP="0001480D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9.2</w:t>
      </w:r>
    </w:p>
    <w:p w14:paraId="477DDA01" w14:textId="0FD57740" w:rsidR="0036376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>9.2.1.1</w:t>
      </w:r>
      <w:r w:rsidRPr="00677A2B">
        <w:rPr>
          <w:lang w:val="fr-FR"/>
        </w:rPr>
        <w:tab/>
      </w:r>
      <w:r w:rsidR="0036376B">
        <w:rPr>
          <w:lang w:val="fr-FR"/>
        </w:rPr>
        <w:t>Au deuxième paragraphe, deuxième tiret, remplacer « 9.2.5 » par « 9.2.6 »</w:t>
      </w:r>
      <w:r w:rsidR="0070507E">
        <w:rPr>
          <w:lang w:val="fr-FR"/>
        </w:rPr>
        <w:t>.</w:t>
      </w:r>
    </w:p>
    <w:p w14:paraId="74E6865B" w14:textId="1B35138D" w:rsidR="0001480D" w:rsidRPr="00677A2B" w:rsidRDefault="0036376B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>
        <w:rPr>
          <w:lang w:val="fr-FR"/>
        </w:rPr>
        <w:tab/>
      </w:r>
      <w:r w:rsidR="0001480D" w:rsidRPr="00677A2B">
        <w:rPr>
          <w:lang w:val="fr-FR"/>
        </w:rPr>
        <w:t>Modifier les lignes suivantes du tableau :</w:t>
      </w:r>
    </w:p>
    <w:p w14:paraId="4ABD42F3" w14:textId="371D3194" w:rsidR="0001480D" w:rsidRPr="00677A2B" w:rsidRDefault="0001480D" w:rsidP="00003E57">
      <w:pPr>
        <w:pStyle w:val="Bullet1G"/>
        <w:rPr>
          <w:lang w:val="fr-FR"/>
        </w:rPr>
      </w:pPr>
      <w:r w:rsidRPr="00677A2B">
        <w:rPr>
          <w:lang w:val="fr-FR"/>
        </w:rPr>
        <w:t>Pour 9.2.4, remplacer « PRÉVENTION DES RISQUES D</w:t>
      </w:r>
      <w:r w:rsidR="00281F27">
        <w:rPr>
          <w:lang w:val="fr-FR"/>
        </w:rPr>
        <w:t>’</w:t>
      </w:r>
      <w:r w:rsidRPr="00677A2B">
        <w:rPr>
          <w:lang w:val="fr-FR"/>
        </w:rPr>
        <w:t>INCENDIE » par « SYSTÈME DE PROPULSION DU VÉHICULE »</w:t>
      </w:r>
    </w:p>
    <w:p w14:paraId="59BE41B6" w14:textId="52F8B580" w:rsidR="0001480D" w:rsidRPr="00677A2B" w:rsidRDefault="0001480D" w:rsidP="00003E57">
      <w:pPr>
        <w:pStyle w:val="Bullet1G"/>
        <w:rPr>
          <w:lang w:val="fr-FR"/>
        </w:rPr>
      </w:pPr>
      <w:r w:rsidRPr="00677A2B">
        <w:rPr>
          <w:lang w:val="fr-FR"/>
        </w:rPr>
        <w:t>Pour 9.2.4.3, renuméroter en tant que 9.2.4.2, dans la colonne pour « AT », ajouter « X</w:t>
      </w:r>
      <w:r w:rsidR="002E00DC" w:rsidRPr="00677A2B">
        <w:rPr>
          <w:vertAlign w:val="superscript"/>
        </w:rPr>
        <w:t>h</w:t>
      </w:r>
      <w:r w:rsidRPr="00677A2B">
        <w:rPr>
          <w:lang w:val="fr-FR"/>
        </w:rPr>
        <w:t> » et dans la colonne pour « REMARQUES », ajouter « </w:t>
      </w:r>
      <w:r w:rsidR="002E00DC" w:rsidRPr="00677A2B">
        <w:rPr>
          <w:vertAlign w:val="superscript"/>
        </w:rPr>
        <w:t>h</w:t>
      </w:r>
      <w:r w:rsidRPr="00677A2B">
        <w:rPr>
          <w:lang w:val="fr-FR"/>
        </w:rPr>
        <w:t xml:space="preserve"> Applicable aux véhicules à moteur utilisant d</w:t>
      </w:r>
      <w:r w:rsidR="00281F27">
        <w:rPr>
          <w:lang w:val="fr-FR"/>
        </w:rPr>
        <w:t>’</w:t>
      </w:r>
      <w:r w:rsidRPr="00677A2B">
        <w:rPr>
          <w:lang w:val="fr-FR"/>
        </w:rPr>
        <w:t>autres carburants que l</w:t>
      </w:r>
      <w:r w:rsidR="00281F27">
        <w:rPr>
          <w:lang w:val="fr-FR"/>
        </w:rPr>
        <w:t>’</w:t>
      </w:r>
      <w:r w:rsidRPr="00677A2B">
        <w:rPr>
          <w:lang w:val="fr-FR"/>
        </w:rPr>
        <w:t>hydrogène immatriculés pour la première fois après le 31 décembre 2026. ».</w:t>
      </w:r>
    </w:p>
    <w:p w14:paraId="5BA5532E" w14:textId="72B24423" w:rsidR="0001480D" w:rsidRPr="00677A2B" w:rsidRDefault="0001480D" w:rsidP="00003E57">
      <w:pPr>
        <w:pStyle w:val="Bullet1G"/>
      </w:pPr>
      <w:r w:rsidRPr="00677A2B">
        <w:rPr>
          <w:lang w:val="fr-FR"/>
        </w:rPr>
        <w:t xml:space="preserve">Remplacer </w:t>
      </w:r>
      <w:r w:rsidR="002E00DC" w:rsidRPr="00677A2B">
        <w:rPr>
          <w:lang w:val="fr-FR"/>
        </w:rPr>
        <w:t>les</w:t>
      </w:r>
      <w:r w:rsidRPr="00677A2B">
        <w:rPr>
          <w:lang w:val="fr-FR"/>
        </w:rPr>
        <w:t xml:space="preserve"> ligne</w:t>
      </w:r>
      <w:r w:rsidR="002E00DC" w:rsidRPr="00677A2B">
        <w:rPr>
          <w:lang w:val="fr-FR"/>
        </w:rPr>
        <w:t>s</w:t>
      </w:r>
      <w:r w:rsidRPr="00677A2B">
        <w:rPr>
          <w:lang w:val="fr-FR"/>
        </w:rPr>
        <w:t xml:space="preserve"> pour 9.2.4.4 </w:t>
      </w:r>
      <w:r w:rsidR="002E00DC" w:rsidRPr="00677A2B">
        <w:rPr>
          <w:lang w:val="fr-FR"/>
        </w:rPr>
        <w:t xml:space="preserve">à 9.2.4.7 </w:t>
      </w:r>
      <w:r w:rsidRPr="00677A2B">
        <w:rPr>
          <w:lang w:val="fr-FR"/>
        </w:rPr>
        <w:t>par :</w:t>
      </w:r>
    </w:p>
    <w:tbl>
      <w:tblPr>
        <w:tblStyle w:val="Grilledutableau"/>
        <w:tblW w:w="8505" w:type="dxa"/>
        <w:tblInd w:w="1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22"/>
        <w:gridCol w:w="2189"/>
        <w:gridCol w:w="469"/>
        <w:gridCol w:w="469"/>
        <w:gridCol w:w="475"/>
        <w:gridCol w:w="506"/>
        <w:gridCol w:w="3275"/>
      </w:tblGrid>
      <w:tr w:rsidR="009138CA" w:rsidRPr="00677A2B" w14:paraId="30AE0DA0" w14:textId="77777777" w:rsidTr="009138CA">
        <w:tc>
          <w:tcPr>
            <w:tcW w:w="1122" w:type="dxa"/>
          </w:tcPr>
          <w:p w14:paraId="2A5B23C5" w14:textId="095530C2" w:rsidR="009138CA" w:rsidRPr="00677A2B" w:rsidRDefault="009138CA" w:rsidP="009138CA">
            <w:r w:rsidRPr="00677A2B">
              <w:t>9.2.4.3</w:t>
            </w:r>
          </w:p>
        </w:tc>
        <w:tc>
          <w:tcPr>
            <w:tcW w:w="2189" w:type="dxa"/>
          </w:tcPr>
          <w:p w14:paraId="057818CF" w14:textId="75CE930A" w:rsidR="009138CA" w:rsidRPr="00677A2B" w:rsidRDefault="009138CA" w:rsidP="009138CA">
            <w:pPr>
              <w:rPr>
                <w:lang w:val="fr-FR"/>
              </w:rPr>
            </w:pPr>
            <w:r w:rsidRPr="00677A2B">
              <w:t>Moteur à combustion interne</w:t>
            </w:r>
          </w:p>
        </w:tc>
        <w:tc>
          <w:tcPr>
            <w:tcW w:w="469" w:type="dxa"/>
          </w:tcPr>
          <w:p w14:paraId="6B5C6150" w14:textId="5ECA4B51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469" w:type="dxa"/>
          </w:tcPr>
          <w:p w14:paraId="520E2908" w14:textId="11B85359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475" w:type="dxa"/>
          </w:tcPr>
          <w:p w14:paraId="0448F233" w14:textId="6762268A" w:rsidR="009138CA" w:rsidRPr="00677A2B" w:rsidRDefault="009138CA" w:rsidP="009138CA">
            <w:pPr>
              <w:jc w:val="center"/>
            </w:pPr>
            <w:r w:rsidRPr="00677A2B">
              <w:t>X</w:t>
            </w:r>
            <w:r w:rsidRPr="00677A2B">
              <w:rPr>
                <w:vertAlign w:val="superscript"/>
              </w:rPr>
              <w:t>i</w:t>
            </w:r>
          </w:p>
        </w:tc>
        <w:tc>
          <w:tcPr>
            <w:tcW w:w="506" w:type="dxa"/>
          </w:tcPr>
          <w:p w14:paraId="7D803D47" w14:textId="3B6D7897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3275" w:type="dxa"/>
          </w:tcPr>
          <w:p w14:paraId="3BBBDA2F" w14:textId="71B80761" w:rsidR="009138CA" w:rsidRPr="00677A2B" w:rsidRDefault="009138CA" w:rsidP="009138CA">
            <w:r w:rsidRPr="00677A2B">
              <w:rPr>
                <w:vertAlign w:val="superscript"/>
                <w:lang w:val="fr-FR"/>
              </w:rPr>
              <w:t>i</w:t>
            </w:r>
            <w:r w:rsidRPr="00677A2B">
              <w:rPr>
                <w:lang w:val="fr-FR"/>
              </w:rPr>
              <w:t xml:space="preserve"> Applicable aux véhicules à moteur immatriculés pour la première fois après le 31 décembre 2026.</w:t>
            </w:r>
          </w:p>
        </w:tc>
      </w:tr>
      <w:tr w:rsidR="009138CA" w:rsidRPr="00677A2B" w14:paraId="4158CC6F" w14:textId="77777777" w:rsidTr="009138CA">
        <w:tc>
          <w:tcPr>
            <w:tcW w:w="1122" w:type="dxa"/>
          </w:tcPr>
          <w:p w14:paraId="7DD71DEE" w14:textId="243C3B20" w:rsidR="009138CA" w:rsidRPr="00677A2B" w:rsidRDefault="009138CA" w:rsidP="009138CA">
            <w:r w:rsidRPr="00677A2B">
              <w:t>9.2.4.3.1</w:t>
            </w:r>
          </w:p>
        </w:tc>
        <w:tc>
          <w:tcPr>
            <w:tcW w:w="2189" w:type="dxa"/>
          </w:tcPr>
          <w:p w14:paraId="40A41F22" w14:textId="10EBEC9C" w:rsidR="009138CA" w:rsidRPr="00677A2B" w:rsidRDefault="009138CA" w:rsidP="009138CA">
            <w:pPr>
              <w:rPr>
                <w:lang w:val="fr-FR"/>
              </w:rPr>
            </w:pPr>
            <w:r w:rsidRPr="00677A2B">
              <w:t>Moteur</w:t>
            </w:r>
          </w:p>
        </w:tc>
        <w:tc>
          <w:tcPr>
            <w:tcW w:w="469" w:type="dxa"/>
          </w:tcPr>
          <w:p w14:paraId="734B35F0" w14:textId="3BFFFBDD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469" w:type="dxa"/>
          </w:tcPr>
          <w:p w14:paraId="2761292E" w14:textId="666E2F37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475" w:type="dxa"/>
          </w:tcPr>
          <w:p w14:paraId="5575A041" w14:textId="2C163A55" w:rsidR="009138CA" w:rsidRPr="00677A2B" w:rsidRDefault="009138CA" w:rsidP="009138CA">
            <w:pPr>
              <w:jc w:val="center"/>
            </w:pPr>
            <w:r w:rsidRPr="00677A2B">
              <w:t>X</w:t>
            </w:r>
            <w:r w:rsidRPr="00677A2B">
              <w:rPr>
                <w:vertAlign w:val="superscript"/>
              </w:rPr>
              <w:t>i</w:t>
            </w:r>
          </w:p>
        </w:tc>
        <w:tc>
          <w:tcPr>
            <w:tcW w:w="506" w:type="dxa"/>
          </w:tcPr>
          <w:p w14:paraId="1C91AF96" w14:textId="6BC89130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3275" w:type="dxa"/>
          </w:tcPr>
          <w:p w14:paraId="1C09DC65" w14:textId="0876D521" w:rsidR="009138CA" w:rsidRPr="00677A2B" w:rsidRDefault="009138CA" w:rsidP="009138CA">
            <w:r w:rsidRPr="00677A2B">
              <w:rPr>
                <w:vertAlign w:val="superscript"/>
                <w:lang w:val="fr-FR"/>
              </w:rPr>
              <w:t>i</w:t>
            </w:r>
            <w:r w:rsidRPr="00677A2B">
              <w:rPr>
                <w:lang w:val="fr-FR"/>
              </w:rPr>
              <w:t xml:space="preserve"> Applicable aux véhicules à moteur immatriculés pour la première fois après le 31 décembre 2026.</w:t>
            </w:r>
          </w:p>
        </w:tc>
      </w:tr>
      <w:tr w:rsidR="009138CA" w:rsidRPr="00677A2B" w14:paraId="4B017486" w14:textId="77777777" w:rsidTr="009138CA">
        <w:tc>
          <w:tcPr>
            <w:tcW w:w="1122" w:type="dxa"/>
          </w:tcPr>
          <w:p w14:paraId="286C4C10" w14:textId="35B4FA64" w:rsidR="009138CA" w:rsidRPr="00677A2B" w:rsidRDefault="009138CA" w:rsidP="009138CA">
            <w:r w:rsidRPr="00677A2B">
              <w:t>9.2.4.3.2</w:t>
            </w:r>
          </w:p>
        </w:tc>
        <w:tc>
          <w:tcPr>
            <w:tcW w:w="2189" w:type="dxa"/>
          </w:tcPr>
          <w:p w14:paraId="5DAED668" w14:textId="0865F728" w:rsidR="009138CA" w:rsidRPr="00677A2B" w:rsidRDefault="009138CA" w:rsidP="009138CA">
            <w:pPr>
              <w:rPr>
                <w:lang w:val="fr-FR"/>
              </w:rPr>
            </w:pPr>
            <w:r w:rsidRPr="00677A2B">
              <w:t>Dispositif d</w:t>
            </w:r>
            <w:r w:rsidR="00281F27">
              <w:t>’</w:t>
            </w:r>
            <w:r w:rsidRPr="00677A2B">
              <w:t>échappement</w:t>
            </w:r>
          </w:p>
        </w:tc>
        <w:tc>
          <w:tcPr>
            <w:tcW w:w="469" w:type="dxa"/>
          </w:tcPr>
          <w:p w14:paraId="17643065" w14:textId="51DAFBAC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469" w:type="dxa"/>
          </w:tcPr>
          <w:p w14:paraId="79A159A5" w14:textId="58F5E786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475" w:type="dxa"/>
          </w:tcPr>
          <w:p w14:paraId="3DF90FAB" w14:textId="77777777" w:rsidR="009138CA" w:rsidRPr="00677A2B" w:rsidRDefault="009138CA" w:rsidP="009138CA">
            <w:pPr>
              <w:jc w:val="center"/>
            </w:pPr>
          </w:p>
        </w:tc>
        <w:tc>
          <w:tcPr>
            <w:tcW w:w="506" w:type="dxa"/>
          </w:tcPr>
          <w:p w14:paraId="16DAEF5C" w14:textId="6CBFEB0D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3275" w:type="dxa"/>
          </w:tcPr>
          <w:p w14:paraId="681D66E6" w14:textId="77777777" w:rsidR="009138CA" w:rsidRPr="00677A2B" w:rsidRDefault="009138CA" w:rsidP="009138CA"/>
        </w:tc>
      </w:tr>
      <w:tr w:rsidR="009138CA" w:rsidRPr="00677A2B" w14:paraId="41E21582" w14:textId="77777777" w:rsidTr="009138CA">
        <w:tc>
          <w:tcPr>
            <w:tcW w:w="1122" w:type="dxa"/>
          </w:tcPr>
          <w:p w14:paraId="382DC46E" w14:textId="77777777" w:rsidR="009138CA" w:rsidRPr="00677A2B" w:rsidRDefault="009138CA" w:rsidP="009138CA">
            <w:r w:rsidRPr="00677A2B">
              <w:t>9.2.4.4</w:t>
            </w:r>
          </w:p>
        </w:tc>
        <w:tc>
          <w:tcPr>
            <w:tcW w:w="2189" w:type="dxa"/>
          </w:tcPr>
          <w:p w14:paraId="4ED56EC0" w14:textId="77777777" w:rsidR="009138CA" w:rsidRPr="00677A2B" w:rsidRDefault="009138CA" w:rsidP="009138CA">
            <w:r w:rsidRPr="00677A2B">
              <w:rPr>
                <w:lang w:val="fr-FR"/>
              </w:rPr>
              <w:t>Chaîne de traction électrique</w:t>
            </w:r>
          </w:p>
        </w:tc>
        <w:tc>
          <w:tcPr>
            <w:tcW w:w="469" w:type="dxa"/>
          </w:tcPr>
          <w:p w14:paraId="6D069DD4" w14:textId="77777777" w:rsidR="009138CA" w:rsidRPr="00677A2B" w:rsidRDefault="009138CA" w:rsidP="009138CA">
            <w:pPr>
              <w:jc w:val="center"/>
            </w:pPr>
          </w:p>
        </w:tc>
        <w:tc>
          <w:tcPr>
            <w:tcW w:w="469" w:type="dxa"/>
          </w:tcPr>
          <w:p w14:paraId="31E1C54D" w14:textId="77777777" w:rsidR="009138CA" w:rsidRPr="00677A2B" w:rsidRDefault="009138CA" w:rsidP="009138CA">
            <w:pPr>
              <w:jc w:val="center"/>
            </w:pPr>
          </w:p>
        </w:tc>
        <w:tc>
          <w:tcPr>
            <w:tcW w:w="475" w:type="dxa"/>
          </w:tcPr>
          <w:p w14:paraId="3D5AFB68" w14:textId="77777777" w:rsidR="009138CA" w:rsidRPr="00677A2B" w:rsidRDefault="009138CA" w:rsidP="009138CA">
            <w:pPr>
              <w:jc w:val="center"/>
            </w:pPr>
          </w:p>
        </w:tc>
        <w:tc>
          <w:tcPr>
            <w:tcW w:w="506" w:type="dxa"/>
          </w:tcPr>
          <w:p w14:paraId="666B95DA" w14:textId="77777777" w:rsidR="009138CA" w:rsidRPr="00677A2B" w:rsidRDefault="009138CA" w:rsidP="009138CA">
            <w:pPr>
              <w:jc w:val="center"/>
            </w:pPr>
          </w:p>
        </w:tc>
        <w:tc>
          <w:tcPr>
            <w:tcW w:w="3275" w:type="dxa"/>
          </w:tcPr>
          <w:p w14:paraId="4860BA91" w14:textId="77777777" w:rsidR="009138CA" w:rsidRPr="00677A2B" w:rsidRDefault="009138CA" w:rsidP="009138CA"/>
        </w:tc>
      </w:tr>
      <w:tr w:rsidR="009138CA" w:rsidRPr="00677A2B" w14:paraId="6191E318" w14:textId="77777777" w:rsidTr="009138CA">
        <w:tc>
          <w:tcPr>
            <w:tcW w:w="1122" w:type="dxa"/>
          </w:tcPr>
          <w:p w14:paraId="195FE4FC" w14:textId="77777777" w:rsidR="009138CA" w:rsidRPr="00677A2B" w:rsidRDefault="009138CA" w:rsidP="009138CA">
            <w:r w:rsidRPr="00677A2B">
              <w:t>9.2.4.4.1</w:t>
            </w:r>
          </w:p>
        </w:tc>
        <w:tc>
          <w:tcPr>
            <w:tcW w:w="2189" w:type="dxa"/>
          </w:tcPr>
          <w:p w14:paraId="0EE05956" w14:textId="77777777" w:rsidR="009138CA" w:rsidRPr="00677A2B" w:rsidRDefault="009138CA" w:rsidP="009138CA">
            <w:r w:rsidRPr="00677A2B">
              <w:t>Dispositions générales</w:t>
            </w:r>
          </w:p>
        </w:tc>
        <w:tc>
          <w:tcPr>
            <w:tcW w:w="469" w:type="dxa"/>
          </w:tcPr>
          <w:p w14:paraId="4FCFFE26" w14:textId="77777777" w:rsidR="009138CA" w:rsidRPr="00677A2B" w:rsidRDefault="009138CA" w:rsidP="009138CA">
            <w:pPr>
              <w:jc w:val="center"/>
            </w:pPr>
          </w:p>
        </w:tc>
        <w:tc>
          <w:tcPr>
            <w:tcW w:w="469" w:type="dxa"/>
          </w:tcPr>
          <w:p w14:paraId="7955E3B3" w14:textId="77777777" w:rsidR="009138CA" w:rsidRPr="00677A2B" w:rsidRDefault="009138CA" w:rsidP="009138CA">
            <w:pPr>
              <w:jc w:val="center"/>
            </w:pPr>
          </w:p>
        </w:tc>
        <w:tc>
          <w:tcPr>
            <w:tcW w:w="475" w:type="dxa"/>
          </w:tcPr>
          <w:p w14:paraId="6F0D3971" w14:textId="77777777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506" w:type="dxa"/>
          </w:tcPr>
          <w:p w14:paraId="6961A826" w14:textId="77777777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3275" w:type="dxa"/>
          </w:tcPr>
          <w:p w14:paraId="627C9CA2" w14:textId="77777777" w:rsidR="009138CA" w:rsidRPr="00677A2B" w:rsidRDefault="009138CA" w:rsidP="009138CA"/>
        </w:tc>
      </w:tr>
      <w:tr w:rsidR="009138CA" w:rsidRPr="00677A2B" w14:paraId="1AEC39BA" w14:textId="77777777" w:rsidTr="009138CA">
        <w:tc>
          <w:tcPr>
            <w:tcW w:w="1122" w:type="dxa"/>
          </w:tcPr>
          <w:p w14:paraId="34C1ED4E" w14:textId="77777777" w:rsidR="009138CA" w:rsidRPr="00677A2B" w:rsidRDefault="009138CA" w:rsidP="009138CA">
            <w:r w:rsidRPr="00677A2B">
              <w:t>9.2.4.4.2</w:t>
            </w:r>
          </w:p>
        </w:tc>
        <w:tc>
          <w:tcPr>
            <w:tcW w:w="2189" w:type="dxa"/>
          </w:tcPr>
          <w:p w14:paraId="0EB99E28" w14:textId="5EB0C2C7" w:rsidR="009138CA" w:rsidRPr="00677A2B" w:rsidRDefault="009138CA" w:rsidP="009138CA">
            <w:r w:rsidRPr="00677A2B">
              <w:t>Système rechargeable de stockage de l</w:t>
            </w:r>
            <w:r w:rsidR="00281F27">
              <w:t>’</w:t>
            </w:r>
            <w:r w:rsidRPr="00677A2B">
              <w:t>énergie électrique</w:t>
            </w:r>
          </w:p>
        </w:tc>
        <w:tc>
          <w:tcPr>
            <w:tcW w:w="469" w:type="dxa"/>
          </w:tcPr>
          <w:p w14:paraId="01F52FB0" w14:textId="77777777" w:rsidR="009138CA" w:rsidRPr="00677A2B" w:rsidRDefault="009138CA" w:rsidP="009138CA">
            <w:pPr>
              <w:jc w:val="center"/>
            </w:pPr>
          </w:p>
        </w:tc>
        <w:tc>
          <w:tcPr>
            <w:tcW w:w="469" w:type="dxa"/>
          </w:tcPr>
          <w:p w14:paraId="36332D88" w14:textId="77777777" w:rsidR="009138CA" w:rsidRPr="00677A2B" w:rsidRDefault="009138CA" w:rsidP="009138CA">
            <w:pPr>
              <w:jc w:val="center"/>
            </w:pPr>
          </w:p>
        </w:tc>
        <w:tc>
          <w:tcPr>
            <w:tcW w:w="475" w:type="dxa"/>
          </w:tcPr>
          <w:p w14:paraId="646695E5" w14:textId="19792548" w:rsidR="009138CA" w:rsidRPr="00677A2B" w:rsidRDefault="009138CA" w:rsidP="009138CA">
            <w:pPr>
              <w:jc w:val="center"/>
              <w:rPr>
                <w:vertAlign w:val="superscript"/>
              </w:rPr>
            </w:pPr>
            <w:r w:rsidRPr="00677A2B">
              <w:t>X</w:t>
            </w:r>
            <w:r w:rsidRPr="00677A2B">
              <w:rPr>
                <w:vertAlign w:val="superscript"/>
              </w:rPr>
              <w:t>i</w:t>
            </w:r>
          </w:p>
        </w:tc>
        <w:tc>
          <w:tcPr>
            <w:tcW w:w="506" w:type="dxa"/>
          </w:tcPr>
          <w:p w14:paraId="4E915AB7" w14:textId="77777777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3275" w:type="dxa"/>
          </w:tcPr>
          <w:p w14:paraId="3952073B" w14:textId="67195328" w:rsidR="009138CA" w:rsidRPr="00677A2B" w:rsidRDefault="009138CA" w:rsidP="009138CA">
            <w:r w:rsidRPr="00677A2B">
              <w:rPr>
                <w:vertAlign w:val="superscript"/>
                <w:lang w:val="fr-FR"/>
              </w:rPr>
              <w:t>i</w:t>
            </w:r>
            <w:r w:rsidRPr="00677A2B">
              <w:rPr>
                <w:lang w:val="fr-FR"/>
              </w:rPr>
              <w:t xml:space="preserve"> Applicable aux véhicules à moteur immatriculés pour la première fois après le 31 décembre 2026.</w:t>
            </w:r>
          </w:p>
        </w:tc>
      </w:tr>
      <w:tr w:rsidR="009138CA" w:rsidRPr="00677A2B" w14:paraId="33E892EF" w14:textId="77777777" w:rsidTr="009138CA">
        <w:tc>
          <w:tcPr>
            <w:tcW w:w="1122" w:type="dxa"/>
          </w:tcPr>
          <w:p w14:paraId="736F5F7F" w14:textId="77777777" w:rsidR="009138CA" w:rsidRPr="00677A2B" w:rsidRDefault="009138CA" w:rsidP="009138CA">
            <w:r w:rsidRPr="00677A2B">
              <w:t>9.2.4.4.3</w:t>
            </w:r>
          </w:p>
        </w:tc>
        <w:tc>
          <w:tcPr>
            <w:tcW w:w="2189" w:type="dxa"/>
          </w:tcPr>
          <w:p w14:paraId="12AF7D8E" w14:textId="77777777" w:rsidR="009138CA" w:rsidRPr="00677A2B" w:rsidRDefault="009138CA" w:rsidP="009138CA">
            <w:r w:rsidRPr="00677A2B">
              <w:t>Mesures de lutte contre la propagation thermique</w:t>
            </w:r>
          </w:p>
        </w:tc>
        <w:tc>
          <w:tcPr>
            <w:tcW w:w="469" w:type="dxa"/>
          </w:tcPr>
          <w:p w14:paraId="71707225" w14:textId="77777777" w:rsidR="009138CA" w:rsidRPr="00677A2B" w:rsidRDefault="009138CA" w:rsidP="009138CA">
            <w:pPr>
              <w:jc w:val="center"/>
            </w:pPr>
          </w:p>
        </w:tc>
        <w:tc>
          <w:tcPr>
            <w:tcW w:w="469" w:type="dxa"/>
          </w:tcPr>
          <w:p w14:paraId="01D7F32D" w14:textId="77777777" w:rsidR="009138CA" w:rsidRPr="00677A2B" w:rsidRDefault="009138CA" w:rsidP="009138CA">
            <w:pPr>
              <w:jc w:val="center"/>
            </w:pPr>
          </w:p>
        </w:tc>
        <w:tc>
          <w:tcPr>
            <w:tcW w:w="475" w:type="dxa"/>
          </w:tcPr>
          <w:p w14:paraId="5498B108" w14:textId="77777777" w:rsidR="009138CA" w:rsidRPr="00677A2B" w:rsidRDefault="009138CA" w:rsidP="009138CA">
            <w:pPr>
              <w:jc w:val="center"/>
            </w:pPr>
          </w:p>
        </w:tc>
        <w:tc>
          <w:tcPr>
            <w:tcW w:w="506" w:type="dxa"/>
          </w:tcPr>
          <w:p w14:paraId="00CC55C8" w14:textId="77777777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3275" w:type="dxa"/>
          </w:tcPr>
          <w:p w14:paraId="3A0383EB" w14:textId="77777777" w:rsidR="009138CA" w:rsidRPr="00677A2B" w:rsidRDefault="009138CA" w:rsidP="009138CA"/>
        </w:tc>
      </w:tr>
      <w:tr w:rsidR="009138CA" w:rsidRPr="00677A2B" w14:paraId="3A7278BE" w14:textId="77777777" w:rsidTr="009138CA">
        <w:tc>
          <w:tcPr>
            <w:tcW w:w="1122" w:type="dxa"/>
          </w:tcPr>
          <w:p w14:paraId="7C59A17A" w14:textId="77777777" w:rsidR="009138CA" w:rsidRPr="00677A2B" w:rsidRDefault="009138CA" w:rsidP="009138CA">
            <w:r w:rsidRPr="00677A2B">
              <w:t>9.2.4.4.4</w:t>
            </w:r>
          </w:p>
        </w:tc>
        <w:tc>
          <w:tcPr>
            <w:tcW w:w="2189" w:type="dxa"/>
          </w:tcPr>
          <w:p w14:paraId="1594D08A" w14:textId="77777777" w:rsidR="009138CA" w:rsidRPr="00677A2B" w:rsidRDefault="009138CA" w:rsidP="009138CA">
            <w:r w:rsidRPr="00677A2B">
              <w:t>Prise de charge du véhicule</w:t>
            </w:r>
          </w:p>
        </w:tc>
        <w:tc>
          <w:tcPr>
            <w:tcW w:w="469" w:type="dxa"/>
          </w:tcPr>
          <w:p w14:paraId="0911047F" w14:textId="77777777" w:rsidR="009138CA" w:rsidRPr="00677A2B" w:rsidRDefault="009138CA" w:rsidP="009138CA">
            <w:pPr>
              <w:jc w:val="center"/>
            </w:pPr>
          </w:p>
        </w:tc>
        <w:tc>
          <w:tcPr>
            <w:tcW w:w="469" w:type="dxa"/>
          </w:tcPr>
          <w:p w14:paraId="6CE61EC0" w14:textId="77777777" w:rsidR="009138CA" w:rsidRPr="00677A2B" w:rsidRDefault="009138CA" w:rsidP="009138CA">
            <w:pPr>
              <w:jc w:val="center"/>
            </w:pPr>
          </w:p>
        </w:tc>
        <w:tc>
          <w:tcPr>
            <w:tcW w:w="475" w:type="dxa"/>
          </w:tcPr>
          <w:p w14:paraId="5336A8CE" w14:textId="77777777" w:rsidR="009138CA" w:rsidRPr="00677A2B" w:rsidRDefault="009138CA" w:rsidP="009138CA">
            <w:pPr>
              <w:jc w:val="center"/>
            </w:pPr>
          </w:p>
        </w:tc>
        <w:tc>
          <w:tcPr>
            <w:tcW w:w="506" w:type="dxa"/>
          </w:tcPr>
          <w:p w14:paraId="72F6C6D1" w14:textId="77777777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3275" w:type="dxa"/>
          </w:tcPr>
          <w:p w14:paraId="003633EB" w14:textId="77777777" w:rsidR="009138CA" w:rsidRPr="00677A2B" w:rsidRDefault="009138CA" w:rsidP="009138CA"/>
        </w:tc>
      </w:tr>
      <w:tr w:rsidR="009138CA" w:rsidRPr="00677A2B" w14:paraId="3B301C6D" w14:textId="77777777" w:rsidTr="009138CA">
        <w:tc>
          <w:tcPr>
            <w:tcW w:w="1122" w:type="dxa"/>
          </w:tcPr>
          <w:p w14:paraId="05B24071" w14:textId="4151FF0E" w:rsidR="009138CA" w:rsidRPr="00677A2B" w:rsidRDefault="009138CA" w:rsidP="009138CA">
            <w:r w:rsidRPr="00677A2B">
              <w:t>9.2.4.5</w:t>
            </w:r>
          </w:p>
        </w:tc>
        <w:tc>
          <w:tcPr>
            <w:tcW w:w="2189" w:type="dxa"/>
          </w:tcPr>
          <w:p w14:paraId="225ED57E" w14:textId="01B2A00B" w:rsidR="009138CA" w:rsidRPr="00677A2B" w:rsidRDefault="009138CA" w:rsidP="009138CA">
            <w:r w:rsidRPr="00677A2B">
              <w:t>Pile à combustible à hydrogène</w:t>
            </w:r>
          </w:p>
        </w:tc>
        <w:tc>
          <w:tcPr>
            <w:tcW w:w="469" w:type="dxa"/>
          </w:tcPr>
          <w:p w14:paraId="2B30FD38" w14:textId="77777777" w:rsidR="009138CA" w:rsidRPr="00677A2B" w:rsidRDefault="009138CA" w:rsidP="009138CA">
            <w:pPr>
              <w:jc w:val="center"/>
            </w:pPr>
          </w:p>
        </w:tc>
        <w:tc>
          <w:tcPr>
            <w:tcW w:w="469" w:type="dxa"/>
          </w:tcPr>
          <w:p w14:paraId="116F1AE6" w14:textId="77777777" w:rsidR="009138CA" w:rsidRPr="00677A2B" w:rsidRDefault="009138CA" w:rsidP="009138CA">
            <w:pPr>
              <w:jc w:val="center"/>
            </w:pPr>
          </w:p>
        </w:tc>
        <w:tc>
          <w:tcPr>
            <w:tcW w:w="475" w:type="dxa"/>
          </w:tcPr>
          <w:p w14:paraId="6E679CF4" w14:textId="3CB28550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506" w:type="dxa"/>
          </w:tcPr>
          <w:p w14:paraId="17FD2DB6" w14:textId="27B11433" w:rsidR="009138CA" w:rsidRPr="00677A2B" w:rsidRDefault="009138CA" w:rsidP="009138CA">
            <w:pPr>
              <w:jc w:val="center"/>
            </w:pPr>
            <w:r w:rsidRPr="00677A2B">
              <w:t>X</w:t>
            </w:r>
          </w:p>
        </w:tc>
        <w:tc>
          <w:tcPr>
            <w:tcW w:w="3275" w:type="dxa"/>
          </w:tcPr>
          <w:p w14:paraId="66CF5656" w14:textId="77777777" w:rsidR="009138CA" w:rsidRPr="00677A2B" w:rsidRDefault="009138CA" w:rsidP="009138CA"/>
        </w:tc>
      </w:tr>
    </w:tbl>
    <w:p w14:paraId="4423C45D" w14:textId="01336D99" w:rsidR="0001480D" w:rsidRPr="00677A2B" w:rsidRDefault="0001480D" w:rsidP="004079DF">
      <w:pPr>
        <w:pStyle w:val="Bullet1G"/>
        <w:spacing w:before="120"/>
        <w:rPr>
          <w:lang w:val="fr-FR"/>
        </w:rPr>
      </w:pPr>
      <w:r w:rsidRPr="00677A2B">
        <w:rPr>
          <w:lang w:val="fr-FR"/>
        </w:rPr>
        <w:lastRenderedPageBreak/>
        <w:t>Renuméroter 9.2.4.8 à 9.2.4.8.6 en tant que 9.2.5 à 9.2.5.6.</w:t>
      </w:r>
      <w:r w:rsidR="00FD2D9D" w:rsidRPr="00677A2B">
        <w:rPr>
          <w:lang w:val="fr-FR"/>
        </w:rPr>
        <w:t xml:space="preserve"> Renuméroter la note </w:t>
      </w:r>
      <w:r w:rsidR="00FD2D9D" w:rsidRPr="00677A2B">
        <w:rPr>
          <w:vertAlign w:val="superscript"/>
          <w:lang w:val="fr-FR"/>
        </w:rPr>
        <w:t>h</w:t>
      </w:r>
      <w:r w:rsidR="00FD2D9D" w:rsidRPr="00677A2B">
        <w:rPr>
          <w:lang w:val="fr-FR"/>
        </w:rPr>
        <w:t xml:space="preserve"> en tant que note </w:t>
      </w:r>
      <w:r w:rsidR="00FD2D9D" w:rsidRPr="00677A2B">
        <w:rPr>
          <w:vertAlign w:val="superscript"/>
          <w:lang w:val="fr-FR"/>
        </w:rPr>
        <w:t>j</w:t>
      </w:r>
      <w:r w:rsidR="00FD2D9D" w:rsidRPr="00677A2B">
        <w:rPr>
          <w:lang w:val="fr-FR"/>
        </w:rPr>
        <w:t>.</w:t>
      </w:r>
    </w:p>
    <w:p w14:paraId="2B30FE26" w14:textId="2D002B26" w:rsidR="0001480D" w:rsidRPr="00677A2B" w:rsidRDefault="0001480D" w:rsidP="004079DF">
      <w:pPr>
        <w:pStyle w:val="Bullet1G"/>
        <w:rPr>
          <w:lang w:val="fr-FR"/>
        </w:rPr>
      </w:pPr>
      <w:r w:rsidRPr="00677A2B">
        <w:rPr>
          <w:lang w:val="fr-FR"/>
        </w:rPr>
        <w:t>Renuméroter 9.2.5 à 9.2.7 en tant que 9.2.6 à 9.2.8.</w:t>
      </w:r>
      <w:r w:rsidR="00FD2D9D" w:rsidRPr="00677A2B">
        <w:rPr>
          <w:lang w:val="fr-FR"/>
        </w:rPr>
        <w:t xml:space="preserve"> </w:t>
      </w:r>
      <w:r w:rsidR="005953D2" w:rsidRPr="00677A2B">
        <w:rPr>
          <w:lang w:val="fr-FR"/>
        </w:rPr>
        <w:t xml:space="preserve"> </w:t>
      </w:r>
      <w:r w:rsidR="00FD2D9D" w:rsidRPr="00677A2B">
        <w:rPr>
          <w:lang w:val="fr-FR"/>
        </w:rPr>
        <w:t xml:space="preserve">Renuméroter les notes </w:t>
      </w:r>
      <w:r w:rsidR="005953D2" w:rsidRPr="00677A2B">
        <w:rPr>
          <w:vertAlign w:val="superscript"/>
          <w:lang w:val="fr-FR"/>
        </w:rPr>
        <w:t>i</w:t>
      </w:r>
      <w:r w:rsidR="00FD2D9D" w:rsidRPr="00677A2B">
        <w:rPr>
          <w:lang w:val="fr-FR"/>
        </w:rPr>
        <w:t xml:space="preserve"> </w:t>
      </w:r>
      <w:r w:rsidR="005953D2" w:rsidRPr="00677A2B">
        <w:rPr>
          <w:lang w:val="fr-FR"/>
        </w:rPr>
        <w:t xml:space="preserve">et </w:t>
      </w:r>
      <w:r w:rsidR="005953D2" w:rsidRPr="00677A2B">
        <w:rPr>
          <w:vertAlign w:val="superscript"/>
          <w:lang w:val="fr-FR"/>
        </w:rPr>
        <w:t>j</w:t>
      </w:r>
      <w:r w:rsidR="005953D2" w:rsidRPr="00677A2B">
        <w:rPr>
          <w:lang w:val="fr-FR"/>
        </w:rPr>
        <w:t xml:space="preserve"> </w:t>
      </w:r>
      <w:r w:rsidR="00FD2D9D" w:rsidRPr="00677A2B">
        <w:rPr>
          <w:lang w:val="fr-FR"/>
        </w:rPr>
        <w:t>en tant que note</w:t>
      </w:r>
      <w:r w:rsidR="005953D2" w:rsidRPr="00677A2B">
        <w:rPr>
          <w:lang w:val="fr-FR"/>
        </w:rPr>
        <w:t xml:space="preserve">s </w:t>
      </w:r>
      <w:r w:rsidR="005953D2" w:rsidRPr="00677A2B">
        <w:rPr>
          <w:vertAlign w:val="superscript"/>
          <w:lang w:val="fr-FR"/>
        </w:rPr>
        <w:t>k</w:t>
      </w:r>
      <w:r w:rsidR="005953D2" w:rsidRPr="00677A2B">
        <w:rPr>
          <w:lang w:val="fr-FR"/>
        </w:rPr>
        <w:t xml:space="preserve"> et </w:t>
      </w:r>
      <w:r w:rsidR="005953D2" w:rsidRPr="00677A2B">
        <w:rPr>
          <w:vertAlign w:val="superscript"/>
          <w:lang w:val="fr-FR"/>
        </w:rPr>
        <w:t>l</w:t>
      </w:r>
      <w:r w:rsidR="00FD2D9D" w:rsidRPr="00677A2B">
        <w:rPr>
          <w:lang w:val="fr-FR"/>
        </w:rPr>
        <w:t>.</w:t>
      </w:r>
    </w:p>
    <w:p w14:paraId="163D6126" w14:textId="423E5817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>9.2.2.1</w:t>
      </w:r>
      <w:r w:rsidRPr="00677A2B">
        <w:rPr>
          <w:lang w:val="fr-FR"/>
        </w:rPr>
        <w:tab/>
        <w:t>Dans le deuxième paragraphe, supprimer « , à l</w:t>
      </w:r>
      <w:r w:rsidR="00281F27">
        <w:rPr>
          <w:lang w:val="fr-FR"/>
        </w:rPr>
        <w:t>’</w:t>
      </w:r>
      <w:r w:rsidRPr="00677A2B">
        <w:rPr>
          <w:lang w:val="fr-FR"/>
        </w:rPr>
        <w:t>exception de la chaîne de traction électrique conforme aux prescriptions techniques du Règlement ONU No 100</w:t>
      </w:r>
      <w:r w:rsidRPr="00677A2B">
        <w:rPr>
          <w:vertAlign w:val="superscript"/>
          <w:lang w:val="fr-FR"/>
        </w:rPr>
        <w:t>1</w:t>
      </w:r>
      <w:r w:rsidRPr="00677A2B">
        <w:rPr>
          <w:lang w:val="fr-FR"/>
        </w:rPr>
        <w:t>, tel que modifié au minimum par la série 03 d</w:t>
      </w:r>
      <w:r w:rsidR="00281F27">
        <w:rPr>
          <w:lang w:val="fr-FR"/>
        </w:rPr>
        <w:t>’</w:t>
      </w:r>
      <w:r w:rsidRPr="00677A2B">
        <w:rPr>
          <w:lang w:val="fr-FR"/>
        </w:rPr>
        <w:t>amendements, ».</w:t>
      </w:r>
    </w:p>
    <w:p w14:paraId="4BC4A1E8" w14:textId="2FDDD4F7" w:rsidR="0001480D" w:rsidRPr="00677A2B" w:rsidRDefault="0001480D" w:rsidP="0001480D">
      <w:pPr>
        <w:pStyle w:val="SingleTxtG"/>
        <w:tabs>
          <w:tab w:val="clear" w:pos="1701"/>
        </w:tabs>
        <w:ind w:left="2268" w:hanging="1134"/>
      </w:pPr>
      <w:r w:rsidRPr="00677A2B">
        <w:rPr>
          <w:lang w:val="fr-FR"/>
        </w:rPr>
        <w:tab/>
        <w:t>Ajouter un nouveau troisième paragraphe pour lire : « Il n</w:t>
      </w:r>
      <w:r w:rsidR="00281F27">
        <w:rPr>
          <w:lang w:val="fr-FR"/>
        </w:rPr>
        <w:t>’</w:t>
      </w:r>
      <w:r w:rsidRPr="00677A2B">
        <w:rPr>
          <w:lang w:val="fr-FR"/>
        </w:rPr>
        <w:t xml:space="preserve">est pas nécessaire que les </w:t>
      </w:r>
      <w:r w:rsidRPr="00677A2B">
        <w:t>chaînes de traction électrique et les composants à haute tension qui y sont galvaniquement reliées, conformes aux prescriptions techniques du Règlement ONU No 100</w:t>
      </w:r>
      <w:r w:rsidRPr="00677A2B">
        <w:rPr>
          <w:vertAlign w:val="superscript"/>
        </w:rPr>
        <w:t>1</w:t>
      </w:r>
      <w:r w:rsidRPr="00677A2B">
        <w:t>, tel que modifié au minimum par la série 03 d</w:t>
      </w:r>
      <w:r w:rsidR="00281F27">
        <w:t>’</w:t>
      </w:r>
      <w:r w:rsidRPr="00677A2B">
        <w:t>amendements, satisfassent en plus aux dispositions des 9.2.2.2 à 9.2.2.7. ».</w:t>
      </w:r>
    </w:p>
    <w:p w14:paraId="5994EC07" w14:textId="6733CCF0" w:rsidR="00F7341C" w:rsidRPr="00677A2B" w:rsidRDefault="00F7341C" w:rsidP="00F7341C">
      <w:pPr>
        <w:pStyle w:val="SingleTxtG"/>
        <w:ind w:left="2268" w:hanging="1134"/>
        <w:rPr>
          <w:lang w:val="fr-FR"/>
        </w:rPr>
      </w:pPr>
      <w:r w:rsidRPr="00677A2B">
        <w:rPr>
          <w:lang w:val="fr-FR"/>
        </w:rPr>
        <w:t>9.2.2.3</w:t>
      </w:r>
      <w:r w:rsidRPr="00677A2B">
        <w:rPr>
          <w:lang w:val="fr-FR"/>
        </w:rPr>
        <w:tab/>
      </w:r>
      <w:r w:rsidRPr="00677A2B">
        <w:rPr>
          <w:lang w:val="fr-FR"/>
        </w:rPr>
        <w:tab/>
        <w:t>À la fin de la liste, remplacer le point par un point-virgule et ajouter un nouveau tiret pour lire « - De la batterie de démarrage à l</w:t>
      </w:r>
      <w:r w:rsidR="00281F27">
        <w:rPr>
          <w:lang w:val="fr-FR"/>
        </w:rPr>
        <w:t>’</w:t>
      </w:r>
      <w:r w:rsidRPr="00677A2B">
        <w:rPr>
          <w:lang w:val="fr-FR"/>
        </w:rPr>
        <w:t>équipement de direction électrique</w:t>
      </w:r>
      <w:r w:rsidR="00753BED" w:rsidRPr="00677A2B">
        <w:rPr>
          <w:lang w:val="fr-FR"/>
        </w:rPr>
        <w:t>.</w:t>
      </w:r>
      <w:r w:rsidRPr="00677A2B">
        <w:rPr>
          <w:lang w:val="fr-FR"/>
        </w:rPr>
        <w:t> ».</w:t>
      </w:r>
    </w:p>
    <w:p w14:paraId="535F0DF3" w14:textId="771BF04F" w:rsidR="0001480D" w:rsidRPr="00677A2B" w:rsidRDefault="0001480D" w:rsidP="0001480D">
      <w:pPr>
        <w:pStyle w:val="SingleTxtG"/>
        <w:ind w:left="2268" w:hanging="1134"/>
        <w:rPr>
          <w:lang w:val="fr-FR"/>
        </w:rPr>
      </w:pPr>
      <w:r w:rsidRPr="00677A2B">
        <w:rPr>
          <w:lang w:val="fr-FR"/>
        </w:rPr>
        <w:t>9.2.3.1.1</w:t>
      </w:r>
      <w:r w:rsidRPr="00677A2B">
        <w:rPr>
          <w:lang w:val="fr-FR"/>
        </w:rPr>
        <w:tab/>
        <w:t xml:space="preserve">Ajouter un nouveau deuxième paragraphe pour lire : « </w:t>
      </w:r>
      <w:bookmarkStart w:id="0" w:name="_Hlk144484245"/>
      <w:r w:rsidRPr="00677A2B">
        <w:rPr>
          <w:lang w:val="fr-FR"/>
        </w:rPr>
        <w:t>Les remorques équipées d</w:t>
      </w:r>
      <w:r w:rsidR="00281F27">
        <w:rPr>
          <w:lang w:val="fr-FR"/>
        </w:rPr>
        <w:t>’</w:t>
      </w:r>
      <w:r w:rsidRPr="00677A2B">
        <w:rPr>
          <w:lang w:val="fr-FR"/>
        </w:rPr>
        <w:t>un système de freinage à récupération ou d</w:t>
      </w:r>
      <w:r w:rsidR="00281F27">
        <w:rPr>
          <w:lang w:val="fr-FR"/>
        </w:rPr>
        <w:t>’</w:t>
      </w:r>
      <w:r w:rsidRPr="00677A2B">
        <w:rPr>
          <w:lang w:val="fr-FR"/>
        </w:rPr>
        <w:t>une chaîne de traction électrique ne sont pas autorisées. »</w:t>
      </w:r>
      <w:bookmarkEnd w:id="0"/>
      <w:r w:rsidRPr="00677A2B">
        <w:rPr>
          <w:lang w:val="fr-FR"/>
        </w:rPr>
        <w:t>.</w:t>
      </w:r>
    </w:p>
    <w:p w14:paraId="25038EA3" w14:textId="28D2121E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>9.2.3</w:t>
      </w:r>
      <w:r w:rsidRPr="00677A2B">
        <w:rPr>
          <w:lang w:val="fr-FR"/>
        </w:rPr>
        <w:tab/>
      </w:r>
      <w:r w:rsidR="00E35D8A" w:rsidRPr="00677A2B">
        <w:rPr>
          <w:lang w:val="fr-FR"/>
        </w:rPr>
        <w:t xml:space="preserve">Transférer </w:t>
      </w:r>
      <w:r w:rsidRPr="00677A2B">
        <w:rPr>
          <w:lang w:val="fr-FR"/>
        </w:rPr>
        <w:t>le texte du 9.2.4.7 existant</w:t>
      </w:r>
      <w:r w:rsidR="00E35D8A" w:rsidRPr="00677A2B">
        <w:rPr>
          <w:lang w:val="fr-FR"/>
        </w:rPr>
        <w:t xml:space="preserve"> sous un nouveau 9.2.3.3</w:t>
      </w:r>
      <w:r w:rsidRPr="00677A2B">
        <w:rPr>
          <w:lang w:val="fr-FR"/>
        </w:rPr>
        <w:t>.</w:t>
      </w:r>
    </w:p>
    <w:p w14:paraId="1DE1AC02" w14:textId="77777777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>9.2.4</w:t>
      </w:r>
      <w:r w:rsidRPr="00677A2B">
        <w:rPr>
          <w:lang w:val="fr-FR"/>
        </w:rPr>
        <w:tab/>
        <w:t xml:space="preserve">Modifier le titre pour lire « </w:t>
      </w:r>
      <w:r w:rsidRPr="00677A2B">
        <w:rPr>
          <w:b/>
          <w:bCs/>
          <w:lang w:val="fr-FR"/>
        </w:rPr>
        <w:t>Système de propulsion du véhicule</w:t>
      </w:r>
      <w:r w:rsidRPr="00677A2B">
        <w:rPr>
          <w:lang w:val="fr-FR"/>
        </w:rPr>
        <w:t xml:space="preserve"> ».</w:t>
      </w:r>
    </w:p>
    <w:p w14:paraId="7C6326DA" w14:textId="1929547A" w:rsidR="008B092A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>9.2.4.1</w:t>
      </w:r>
      <w:r w:rsidRPr="00677A2B">
        <w:rPr>
          <w:lang w:val="fr-FR"/>
        </w:rPr>
        <w:tab/>
        <w:t xml:space="preserve">Ajouter un nouveau deuxième paragraphe pour lire : </w:t>
      </w:r>
    </w:p>
    <w:p w14:paraId="461194EF" w14:textId="72E5BF81" w:rsidR="0001480D" w:rsidRPr="00677A2B" w:rsidRDefault="0001480D" w:rsidP="008B092A">
      <w:pPr>
        <w:pStyle w:val="SingleTxtG"/>
        <w:tabs>
          <w:tab w:val="clear" w:pos="1701"/>
          <w:tab w:val="clear" w:pos="2268"/>
        </w:tabs>
        <w:rPr>
          <w:lang w:val="fr-FR"/>
        </w:rPr>
      </w:pPr>
      <w:r w:rsidRPr="00677A2B">
        <w:rPr>
          <w:lang w:val="fr-FR"/>
        </w:rPr>
        <w:t>« Les véhicules hybrides équipés d</w:t>
      </w:r>
      <w:r w:rsidR="00281F27">
        <w:rPr>
          <w:lang w:val="fr-FR"/>
        </w:rPr>
        <w:t>’</w:t>
      </w:r>
      <w:r w:rsidRPr="00677A2B">
        <w:rPr>
          <w:lang w:val="fr-FR"/>
        </w:rPr>
        <w:t>un moteur à combustion interne et d</w:t>
      </w:r>
      <w:r w:rsidR="00281F27">
        <w:rPr>
          <w:lang w:val="fr-FR"/>
        </w:rPr>
        <w:t>’</w:t>
      </w:r>
      <w:r w:rsidRPr="00677A2B">
        <w:rPr>
          <w:lang w:val="fr-FR"/>
        </w:rPr>
        <w:t>une chaîne de traction électrique doivent satisfaire aux dispositions applicables des 9.2.4.2 à 9.2.4.5. »</w:t>
      </w:r>
    </w:p>
    <w:p w14:paraId="1E86086A" w14:textId="77777777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>9.2.4.2</w:t>
      </w:r>
      <w:r w:rsidRPr="00677A2B">
        <w:rPr>
          <w:lang w:val="fr-FR"/>
        </w:rPr>
        <w:tab/>
        <w:t>Supprimer.</w:t>
      </w:r>
    </w:p>
    <w:p w14:paraId="1A6049F9" w14:textId="77777777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>9.2.4.3</w:t>
      </w:r>
      <w:r w:rsidRPr="00677A2B">
        <w:rPr>
          <w:lang w:val="fr-FR"/>
        </w:rPr>
        <w:tab/>
        <w:t>Renuméroter en tant que 9.2.4.2 et modifier comme suit :</w:t>
      </w:r>
    </w:p>
    <w:p w14:paraId="7B029F8F" w14:textId="10C9B77F" w:rsidR="0001480D" w:rsidRPr="00677A2B" w:rsidRDefault="0001480D" w:rsidP="00020B5B">
      <w:pPr>
        <w:pStyle w:val="Bullet1G"/>
        <w:rPr>
          <w:lang w:val="fr-FR"/>
        </w:rPr>
      </w:pPr>
      <w:r w:rsidRPr="00677A2B">
        <w:rPr>
          <w:lang w:val="fr-FR"/>
        </w:rPr>
        <w:t xml:space="preserve">Supprimer </w:t>
      </w:r>
      <w:r w:rsidR="007C516A" w:rsidRPr="00677A2B">
        <w:rPr>
          <w:lang w:val="fr-FR"/>
        </w:rPr>
        <w:t>le nota</w:t>
      </w:r>
      <w:r w:rsidRPr="00677A2B">
        <w:rPr>
          <w:lang w:val="fr-FR"/>
        </w:rPr>
        <w:t>.</w:t>
      </w:r>
    </w:p>
    <w:p w14:paraId="2EB02371" w14:textId="59638A43" w:rsidR="0001480D" w:rsidRPr="00677A2B" w:rsidRDefault="0001480D" w:rsidP="00020B5B">
      <w:pPr>
        <w:pStyle w:val="Bullet1G"/>
        <w:rPr>
          <w:lang w:val="fr-FR"/>
        </w:rPr>
      </w:pPr>
      <w:r w:rsidRPr="00677A2B">
        <w:rPr>
          <w:lang w:val="fr-FR"/>
        </w:rPr>
        <w:t>Dans le premier paragraphe, après « moteur</w:t>
      </w:r>
      <w:r w:rsidRPr="00677A2B">
        <w:rPr>
          <w:b/>
          <w:lang w:val="fr-FR"/>
        </w:rPr>
        <w:t> </w:t>
      </w:r>
      <w:r w:rsidRPr="00677A2B">
        <w:rPr>
          <w:lang w:val="fr-FR"/>
        </w:rPr>
        <w:t>», ajouter « ou les piles à combustible ».</w:t>
      </w:r>
    </w:p>
    <w:p w14:paraId="364C6E82" w14:textId="136888D3" w:rsidR="0001480D" w:rsidRPr="00677A2B" w:rsidRDefault="003E5556" w:rsidP="00020B5B">
      <w:pPr>
        <w:pStyle w:val="Bullet1G"/>
        <w:rPr>
          <w:lang w:val="fr-FR"/>
        </w:rPr>
      </w:pPr>
      <w:r w:rsidRPr="00677A2B">
        <w:rPr>
          <w:lang w:val="fr-FR"/>
        </w:rPr>
        <w:t>Transférer les deux dernières phrases de l</w:t>
      </w:r>
      <w:r w:rsidR="00281F27">
        <w:rPr>
          <w:lang w:val="fr-FR"/>
        </w:rPr>
        <w:t>’</w:t>
      </w:r>
      <w:r w:rsidRPr="00677A2B">
        <w:rPr>
          <w:lang w:val="fr-FR"/>
        </w:rPr>
        <w:t>alinéa b) dans des nouveaux alinéas c) et d).</w:t>
      </w:r>
      <w:r w:rsidR="003E14DE" w:rsidRPr="00677A2B">
        <w:rPr>
          <w:lang w:val="fr-FR"/>
        </w:rPr>
        <w:t xml:space="preserve"> Après ces alinéas, </w:t>
      </w:r>
      <w:r w:rsidR="001D06AF" w:rsidRPr="00677A2B">
        <w:rPr>
          <w:lang w:val="fr-FR"/>
        </w:rPr>
        <w:t>ajouter un nouvel alinéa e) comme suit :</w:t>
      </w:r>
    </w:p>
    <w:p w14:paraId="08FA463C" w14:textId="43C23C20" w:rsidR="0001480D" w:rsidRPr="00677A2B" w:rsidRDefault="001D06AF" w:rsidP="0001480D">
      <w:pPr>
        <w:pStyle w:val="SingleTxtG"/>
        <w:tabs>
          <w:tab w:val="clear" w:pos="1701"/>
        </w:tabs>
        <w:ind w:left="2268" w:hanging="567"/>
        <w:rPr>
          <w:lang w:val="fr-FR"/>
        </w:rPr>
      </w:pPr>
      <w:r w:rsidRPr="00677A2B">
        <w:rPr>
          <w:lang w:val="fr-FR"/>
        </w:rPr>
        <w:t>« </w:t>
      </w:r>
      <w:r w:rsidR="0001480D" w:rsidRPr="00677A2B">
        <w:rPr>
          <w:lang w:val="fr-FR"/>
        </w:rPr>
        <w:t>e)</w:t>
      </w:r>
      <w:r w:rsidR="0001480D" w:rsidRPr="00677A2B">
        <w:rPr>
          <w:lang w:val="fr-FR"/>
        </w:rPr>
        <w:tab/>
        <w:t>Les réservoirs et les bouteilles d</w:t>
      </w:r>
      <w:r w:rsidR="00281F27">
        <w:rPr>
          <w:lang w:val="fr-FR"/>
        </w:rPr>
        <w:t>’</w:t>
      </w:r>
      <w:r w:rsidR="0001480D" w:rsidRPr="00677A2B">
        <w:rPr>
          <w:lang w:val="fr-FR"/>
        </w:rPr>
        <w:t>hydrogène doivent satisfaire aux prescriptions pertinentes du Règlement ONU No 134</w:t>
      </w:r>
      <w:r w:rsidR="0001480D" w:rsidRPr="00677A2B">
        <w:rPr>
          <w:vertAlign w:val="superscript"/>
          <w:lang w:val="fr-FR"/>
        </w:rPr>
        <w:t>9</w:t>
      </w:r>
      <w:r w:rsidR="0001480D" w:rsidRPr="00677A2B">
        <w:rPr>
          <w:lang w:val="fr-FR"/>
        </w:rPr>
        <w:t xml:space="preserve">, tel que modifié </w:t>
      </w:r>
      <w:r w:rsidR="0001480D" w:rsidRPr="00677A2B">
        <w:t>au minimum par la série 02 d</w:t>
      </w:r>
      <w:r w:rsidR="00281F27">
        <w:t>’</w:t>
      </w:r>
      <w:r w:rsidR="0001480D" w:rsidRPr="00677A2B">
        <w:t>amendements ; les réservoirs d</w:t>
      </w:r>
      <w:r w:rsidR="00281F27">
        <w:t>’</w:t>
      </w:r>
      <w:r w:rsidR="0001480D" w:rsidRPr="00677A2B">
        <w:t xml:space="preserve">hydrogène liquide doivent satisfaire aux prescriptions techniques de la partie 7 du </w:t>
      </w:r>
      <w:r w:rsidR="0001480D" w:rsidRPr="00677A2B">
        <w:rPr>
          <w:lang w:val="fr-FR"/>
        </w:rPr>
        <w:t>Règlement technique mondial n° 13</w:t>
      </w:r>
      <w:r w:rsidR="0001480D" w:rsidRPr="00677A2B">
        <w:rPr>
          <w:vertAlign w:val="superscript"/>
          <w:lang w:val="fr-FR"/>
        </w:rPr>
        <w:t>10</w:t>
      </w:r>
      <w:r w:rsidR="0001480D" w:rsidRPr="00677A2B">
        <w:rPr>
          <w:lang w:val="fr-FR"/>
        </w:rPr>
        <w:t>, amendement 1</w:t>
      </w:r>
      <w:r w:rsidR="0001480D" w:rsidRPr="00677A2B">
        <w:t> ; »</w:t>
      </w:r>
    </w:p>
    <w:p w14:paraId="046528CB" w14:textId="0D72C9C4" w:rsidR="0001480D" w:rsidRPr="00677A2B" w:rsidRDefault="0001480D" w:rsidP="001A1E95">
      <w:pPr>
        <w:pStyle w:val="Bullet1G"/>
        <w:rPr>
          <w:lang w:val="fr-FR"/>
        </w:rPr>
      </w:pPr>
      <w:r w:rsidRPr="00677A2B">
        <w:rPr>
          <w:lang w:val="fr-FR"/>
        </w:rPr>
        <w:t xml:space="preserve">Ajouter une nouvelle note de bas de page </w:t>
      </w:r>
      <w:r w:rsidRPr="00677A2B">
        <w:rPr>
          <w:vertAlign w:val="superscript"/>
          <w:lang w:val="fr-FR"/>
        </w:rPr>
        <w:t>9</w:t>
      </w:r>
      <w:r w:rsidRPr="00677A2B">
        <w:rPr>
          <w:lang w:val="fr-FR"/>
        </w:rPr>
        <w:t xml:space="preserve"> pour lire : « </w:t>
      </w:r>
      <w:r w:rsidRPr="00677A2B">
        <w:rPr>
          <w:vertAlign w:val="superscript"/>
          <w:lang w:val="fr-FR"/>
        </w:rPr>
        <w:t>9</w:t>
      </w:r>
      <w:r w:rsidRPr="00677A2B">
        <w:rPr>
          <w:lang w:val="fr-FR"/>
        </w:rPr>
        <w:t xml:space="preserve"> </w:t>
      </w:r>
      <w:r w:rsidRPr="00677A2B">
        <w:rPr>
          <w:i/>
          <w:iCs/>
          <w:lang w:val="fr-FR"/>
        </w:rPr>
        <w:t>Règlement ONU No 134 (Prescriptions uniformes relatives à l</w:t>
      </w:r>
      <w:r w:rsidR="00281F27">
        <w:rPr>
          <w:i/>
          <w:iCs/>
          <w:lang w:val="fr-FR"/>
        </w:rPr>
        <w:t>’</w:t>
      </w:r>
      <w:r w:rsidRPr="00677A2B">
        <w:rPr>
          <w:i/>
          <w:iCs/>
          <w:lang w:val="fr-FR"/>
        </w:rPr>
        <w:t>homologation des véhicules automobiles et de leurs composants en ce qui concerne les prescriptions de sécurité des véhicules fonctionnant à l</w:t>
      </w:r>
      <w:r w:rsidR="00281F27">
        <w:rPr>
          <w:i/>
          <w:iCs/>
          <w:lang w:val="fr-FR"/>
        </w:rPr>
        <w:t>’</w:t>
      </w:r>
      <w:r w:rsidRPr="00677A2B">
        <w:rPr>
          <w:i/>
          <w:iCs/>
          <w:lang w:val="fr-FR"/>
        </w:rPr>
        <w:t>hydrogène)</w:t>
      </w:r>
      <w:r w:rsidRPr="00677A2B">
        <w:rPr>
          <w:lang w:val="fr-FR"/>
        </w:rPr>
        <w:t> ».</w:t>
      </w:r>
    </w:p>
    <w:p w14:paraId="37DAA1AE" w14:textId="2A0BA033" w:rsidR="0001480D" w:rsidRPr="00677A2B" w:rsidRDefault="0001480D" w:rsidP="001A1E95">
      <w:pPr>
        <w:pStyle w:val="Bullet1G"/>
        <w:rPr>
          <w:lang w:val="fr-FR"/>
        </w:rPr>
      </w:pPr>
      <w:r w:rsidRPr="00677A2B">
        <w:rPr>
          <w:lang w:val="fr-FR"/>
        </w:rPr>
        <w:t xml:space="preserve">Ajouter une nouvelle note de bas de page </w:t>
      </w:r>
      <w:r w:rsidRPr="00677A2B">
        <w:rPr>
          <w:vertAlign w:val="superscript"/>
          <w:lang w:val="fr-FR"/>
        </w:rPr>
        <w:t>10</w:t>
      </w:r>
      <w:r w:rsidRPr="00677A2B">
        <w:rPr>
          <w:lang w:val="fr-FR"/>
        </w:rPr>
        <w:t xml:space="preserve"> pour lire : « </w:t>
      </w:r>
      <w:r w:rsidRPr="00677A2B">
        <w:rPr>
          <w:vertAlign w:val="superscript"/>
          <w:lang w:val="fr-FR"/>
        </w:rPr>
        <w:t>10</w:t>
      </w:r>
      <w:r w:rsidRPr="00677A2B">
        <w:rPr>
          <w:lang w:val="fr-FR"/>
        </w:rPr>
        <w:t> </w:t>
      </w:r>
      <w:r w:rsidRPr="00677A2B">
        <w:rPr>
          <w:i/>
          <w:iCs/>
          <w:lang w:val="fr-FR"/>
        </w:rPr>
        <w:t>Règlement technique mondial n° 13 sur les véhicules à hydrogène à pile à combustible</w:t>
      </w:r>
      <w:r w:rsidR="001A1E95" w:rsidRPr="00677A2B">
        <w:rPr>
          <w:lang w:val="fr-FR"/>
        </w:rPr>
        <w:t> </w:t>
      </w:r>
      <w:r w:rsidRPr="00677A2B">
        <w:rPr>
          <w:lang w:val="fr-FR"/>
        </w:rPr>
        <w:t>».</w:t>
      </w:r>
    </w:p>
    <w:p w14:paraId="597950F3" w14:textId="7F18A36D" w:rsidR="0001480D" w:rsidRPr="00677A2B" w:rsidRDefault="0001480D" w:rsidP="001A1E95">
      <w:pPr>
        <w:pStyle w:val="Bullet1G"/>
        <w:rPr>
          <w:lang w:val="fr-FR"/>
        </w:rPr>
      </w:pPr>
      <w:r w:rsidRPr="00677A2B">
        <w:rPr>
          <w:lang w:val="fr-FR"/>
        </w:rPr>
        <w:t>Renuméroter c) en tant que f) et, dans la première phrase, après « l</w:t>
      </w:r>
      <w:r w:rsidR="00281F27">
        <w:rPr>
          <w:lang w:val="fr-FR"/>
        </w:rPr>
        <w:t>’</w:t>
      </w:r>
      <w:r w:rsidRPr="00677A2B">
        <w:rPr>
          <w:lang w:val="fr-FR"/>
        </w:rPr>
        <w:t xml:space="preserve">admission du moteur, », ajouter « </w:t>
      </w:r>
      <w:r w:rsidR="003E7DF3" w:rsidRPr="00677A2B">
        <w:rPr>
          <w:lang w:val="fr-FR"/>
        </w:rPr>
        <w:t xml:space="preserve">les </w:t>
      </w:r>
      <w:r w:rsidRPr="00677A2B">
        <w:rPr>
          <w:lang w:val="fr-FR"/>
        </w:rPr>
        <w:t>systèmes de stockage électrique ou ».</w:t>
      </w:r>
    </w:p>
    <w:p w14:paraId="4C02D8B5" w14:textId="77777777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>9.2.4.4</w:t>
      </w:r>
      <w:r w:rsidRPr="00677A2B">
        <w:rPr>
          <w:lang w:val="fr-FR"/>
        </w:rPr>
        <w:tab/>
        <w:t>Renuméroter en tant que 9.2.4.3 et modifier pour lire comme suit :</w:t>
      </w:r>
    </w:p>
    <w:p w14:paraId="244081EE" w14:textId="77777777" w:rsidR="0001480D" w:rsidRPr="00677A2B" w:rsidRDefault="0001480D" w:rsidP="0001480D">
      <w:pPr>
        <w:pStyle w:val="SingleTxtG"/>
        <w:ind w:left="2268" w:hanging="1134"/>
        <w:rPr>
          <w:b/>
          <w:bCs/>
          <w:i/>
          <w:iCs/>
          <w:lang w:val="fr-FR"/>
        </w:rPr>
      </w:pPr>
      <w:r w:rsidRPr="00677A2B">
        <w:rPr>
          <w:lang w:val="fr-FR"/>
        </w:rPr>
        <w:t xml:space="preserve">« </w:t>
      </w:r>
      <w:r w:rsidRPr="00677A2B">
        <w:rPr>
          <w:b/>
          <w:bCs/>
          <w:lang w:val="fr-FR"/>
        </w:rPr>
        <w:t>9.2.4.3</w:t>
      </w:r>
      <w:r w:rsidRPr="00677A2B">
        <w:rPr>
          <w:b/>
          <w:bCs/>
          <w:lang w:val="fr-FR"/>
        </w:rPr>
        <w:tab/>
      </w:r>
      <w:r w:rsidRPr="00677A2B">
        <w:rPr>
          <w:b/>
          <w:bCs/>
          <w:i/>
          <w:iCs/>
          <w:lang w:val="fr-FR"/>
        </w:rPr>
        <w:t>Moteur à combustion interne</w:t>
      </w:r>
    </w:p>
    <w:p w14:paraId="59C549B2" w14:textId="77777777" w:rsidR="0001480D" w:rsidRPr="00677A2B" w:rsidRDefault="0001480D" w:rsidP="0001480D">
      <w:pPr>
        <w:pStyle w:val="SingleTxtG"/>
        <w:ind w:left="2268" w:hanging="1134"/>
        <w:rPr>
          <w:i/>
          <w:iCs/>
          <w:lang w:val="fr-FR"/>
        </w:rPr>
      </w:pPr>
      <w:r w:rsidRPr="00677A2B">
        <w:rPr>
          <w:lang w:val="fr-FR"/>
        </w:rPr>
        <w:t>9.2.4.3.1</w:t>
      </w:r>
      <w:r w:rsidRPr="00677A2B">
        <w:rPr>
          <w:lang w:val="fr-FR"/>
        </w:rPr>
        <w:tab/>
      </w:r>
      <w:r w:rsidRPr="00677A2B">
        <w:rPr>
          <w:i/>
          <w:iCs/>
          <w:lang w:val="fr-FR"/>
        </w:rPr>
        <w:t>Moteur</w:t>
      </w:r>
    </w:p>
    <w:p w14:paraId="00A92163" w14:textId="3B415C6E" w:rsidR="0001480D" w:rsidRPr="00677A2B" w:rsidRDefault="0001480D" w:rsidP="0001480D">
      <w:pPr>
        <w:pStyle w:val="SingleTxtG"/>
        <w:ind w:left="2268" w:hanging="1134"/>
        <w:rPr>
          <w:lang w:val="fr-FR"/>
        </w:rPr>
      </w:pPr>
      <w:r w:rsidRPr="00677A2B">
        <w:rPr>
          <w:lang w:val="fr-FR"/>
        </w:rPr>
        <w:lastRenderedPageBreak/>
        <w:tab/>
      </w:r>
      <w:r w:rsidRPr="00677A2B">
        <w:rPr>
          <w:lang w:val="fr-FR"/>
        </w:rPr>
        <w:tab/>
        <w:t>Les moteurs entraînant les véhicules doivent être équipés et placés de façon à éviter tout danger pour le chargement à la suite d</w:t>
      </w:r>
      <w:r w:rsidR="00281F27">
        <w:rPr>
          <w:lang w:val="fr-FR"/>
        </w:rPr>
        <w:t>’</w:t>
      </w:r>
      <w:r w:rsidRPr="00677A2B">
        <w:rPr>
          <w:lang w:val="fr-FR"/>
        </w:rPr>
        <w:t>un échauffement ou d</w:t>
      </w:r>
      <w:r w:rsidR="00281F27">
        <w:rPr>
          <w:lang w:val="fr-FR"/>
        </w:rPr>
        <w:t>’</w:t>
      </w:r>
      <w:r w:rsidRPr="00677A2B">
        <w:rPr>
          <w:lang w:val="fr-FR"/>
        </w:rPr>
        <w:t>une inflammation. L</w:t>
      </w:r>
      <w:r w:rsidR="00281F27">
        <w:rPr>
          <w:lang w:val="fr-FR"/>
        </w:rPr>
        <w:t>’</w:t>
      </w:r>
      <w:r w:rsidRPr="00677A2B">
        <w:rPr>
          <w:lang w:val="fr-FR"/>
        </w:rPr>
        <w:t>utilisation d</w:t>
      </w:r>
      <w:r w:rsidR="00281F27">
        <w:rPr>
          <w:lang w:val="fr-FR"/>
        </w:rPr>
        <w:t>’</w:t>
      </w:r>
      <w:r w:rsidRPr="00677A2B">
        <w:rPr>
          <w:lang w:val="fr-FR"/>
        </w:rPr>
        <w:t>un carburant ne doit être admise que si les organes sont homologués et si l</w:t>
      </w:r>
      <w:r w:rsidR="00281F27">
        <w:rPr>
          <w:lang w:val="fr-FR"/>
        </w:rPr>
        <w:t>’</w:t>
      </w:r>
      <w:r w:rsidRPr="00677A2B">
        <w:rPr>
          <w:lang w:val="fr-FR"/>
        </w:rPr>
        <w:t>installation satisfait aux prescriptions du 9.2.2 et aux prescriptions techniques :</w:t>
      </w:r>
    </w:p>
    <w:p w14:paraId="73727FC5" w14:textId="77777777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a)</w:t>
      </w:r>
      <w:r w:rsidRPr="00677A2B">
        <w:rPr>
          <w:lang w:val="fr-FR"/>
        </w:rPr>
        <w:tab/>
        <w:t>Du Règlement ONU No 110</w:t>
      </w:r>
      <w:r w:rsidRPr="00677A2B">
        <w:rPr>
          <w:vertAlign w:val="superscript"/>
          <w:lang w:val="fr-FR"/>
        </w:rPr>
        <w:t>7</w:t>
      </w:r>
      <w:r w:rsidRPr="00677A2B">
        <w:rPr>
          <w:lang w:val="fr-FR"/>
        </w:rPr>
        <w:t xml:space="preserve"> pour le GNC ou le GNL ;</w:t>
      </w:r>
    </w:p>
    <w:p w14:paraId="0A9C9A3D" w14:textId="77777777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b)</w:t>
      </w:r>
      <w:r w:rsidRPr="00677A2B">
        <w:rPr>
          <w:lang w:val="fr-FR"/>
        </w:rPr>
        <w:tab/>
        <w:t>Du Règlement ONU No 67</w:t>
      </w:r>
      <w:r w:rsidRPr="00677A2B">
        <w:rPr>
          <w:vertAlign w:val="superscript"/>
          <w:lang w:val="fr-FR"/>
        </w:rPr>
        <w:t>8</w:t>
      </w:r>
      <w:r w:rsidRPr="00677A2B">
        <w:rPr>
          <w:lang w:val="fr-FR"/>
        </w:rPr>
        <w:t xml:space="preserve"> pour le GPL ;</w:t>
      </w:r>
    </w:p>
    <w:p w14:paraId="34D5C3F1" w14:textId="42B1C4DD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c)</w:t>
      </w:r>
      <w:r w:rsidRPr="00677A2B">
        <w:rPr>
          <w:lang w:val="fr-FR"/>
        </w:rPr>
        <w:tab/>
        <w:t>Du Règlement ONU No 134</w:t>
      </w:r>
      <w:r w:rsidRPr="00677A2B">
        <w:rPr>
          <w:vertAlign w:val="superscript"/>
          <w:lang w:val="fr-FR"/>
        </w:rPr>
        <w:t>9</w:t>
      </w:r>
      <w:r w:rsidR="004344B9" w:rsidRPr="00677A2B">
        <w:rPr>
          <w:vertAlign w:val="superscript"/>
          <w:lang w:val="fr-FR"/>
        </w:rPr>
        <w:t xml:space="preserve"> </w:t>
      </w:r>
      <w:r w:rsidRPr="00677A2B">
        <w:rPr>
          <w:lang w:val="fr-FR"/>
        </w:rPr>
        <w:t>pour l</w:t>
      </w:r>
      <w:r w:rsidR="00281F27">
        <w:rPr>
          <w:lang w:val="fr-FR"/>
        </w:rPr>
        <w:t>’</w:t>
      </w:r>
      <w:r w:rsidRPr="00677A2B">
        <w:rPr>
          <w:lang w:val="fr-FR"/>
        </w:rPr>
        <w:t>hydrogène comprimé et, le cas échéant, du Règlement technique mondial n° 13</w:t>
      </w:r>
      <w:r w:rsidRPr="00677A2B">
        <w:rPr>
          <w:vertAlign w:val="superscript"/>
          <w:lang w:val="fr-FR"/>
        </w:rPr>
        <w:t>10</w:t>
      </w:r>
      <w:r w:rsidRPr="00677A2B">
        <w:rPr>
          <w:lang w:val="fr-FR"/>
        </w:rPr>
        <w:t>, amendement 1 pour l</w:t>
      </w:r>
      <w:r w:rsidR="00281F27">
        <w:rPr>
          <w:lang w:val="fr-FR"/>
        </w:rPr>
        <w:t>’</w:t>
      </w:r>
      <w:r w:rsidRPr="00677A2B">
        <w:rPr>
          <w:lang w:val="fr-FR"/>
        </w:rPr>
        <w:t>hydrogène liquide</w:t>
      </w:r>
      <w:r w:rsidRPr="00677A2B">
        <w:t>.</w:t>
      </w:r>
    </w:p>
    <w:p w14:paraId="07CACDB8" w14:textId="22B3B221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Dans le cas de véhicules EX/II et EX/III, le moteur doit être à allumage par compression et fonctionner uniquement avec des carburants liquides dont le point d</w:t>
      </w:r>
      <w:r w:rsidR="00281F27">
        <w:rPr>
          <w:lang w:val="fr-FR"/>
        </w:rPr>
        <w:t>’</w:t>
      </w:r>
      <w:r w:rsidRPr="00677A2B">
        <w:rPr>
          <w:lang w:val="fr-FR"/>
        </w:rPr>
        <w:t>éclair est supérieur à 55 °C. Les gaz ne doivent pas être utilisés. »</w:t>
      </w:r>
    </w:p>
    <w:p w14:paraId="3E92B460" w14:textId="77777777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>9.2.4.5</w:t>
      </w:r>
      <w:r w:rsidRPr="00677A2B">
        <w:rPr>
          <w:lang w:val="fr-FR"/>
        </w:rPr>
        <w:tab/>
        <w:t>Renuméroter en tant que 9.2.4.3.2 et reformatter le titre en conséquence.</w:t>
      </w:r>
    </w:p>
    <w:p w14:paraId="38C97805" w14:textId="77777777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>9.2.4.6</w:t>
      </w:r>
      <w:r w:rsidRPr="00677A2B">
        <w:rPr>
          <w:lang w:val="fr-FR"/>
        </w:rPr>
        <w:tab/>
        <w:t>Renuméroter en tant que 9.2.4.4 et modifier pour lire comme suit :</w:t>
      </w:r>
    </w:p>
    <w:p w14:paraId="240E1D6D" w14:textId="77777777" w:rsidR="0001480D" w:rsidRPr="00677A2B" w:rsidRDefault="0001480D" w:rsidP="0001480D">
      <w:pPr>
        <w:pStyle w:val="SingleTxtG"/>
        <w:ind w:left="2268" w:hanging="1134"/>
        <w:rPr>
          <w:b/>
          <w:bCs/>
          <w:i/>
          <w:iCs/>
          <w:lang w:val="fr-FR"/>
        </w:rPr>
      </w:pPr>
      <w:r w:rsidRPr="00677A2B">
        <w:rPr>
          <w:lang w:val="fr-FR"/>
        </w:rPr>
        <w:t>« </w:t>
      </w:r>
      <w:r w:rsidRPr="00677A2B">
        <w:rPr>
          <w:b/>
          <w:bCs/>
          <w:lang w:val="fr-FR"/>
        </w:rPr>
        <w:t>9.2.4.4</w:t>
      </w:r>
      <w:r w:rsidRPr="00677A2B">
        <w:rPr>
          <w:b/>
          <w:bCs/>
          <w:lang w:val="fr-FR"/>
        </w:rPr>
        <w:tab/>
      </w:r>
      <w:r w:rsidRPr="00677A2B">
        <w:rPr>
          <w:b/>
          <w:bCs/>
          <w:i/>
          <w:iCs/>
          <w:lang w:val="fr-FR"/>
        </w:rPr>
        <w:t>Chaîne de traction électrique</w:t>
      </w:r>
    </w:p>
    <w:p w14:paraId="4C8BAE9F" w14:textId="08CC2099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Les chaînes de traction électriques ne doivent pas être utilisées pour les véhicules EX. Les remorques équipées d</w:t>
      </w:r>
      <w:r w:rsidR="00281F27">
        <w:rPr>
          <w:lang w:val="fr-FR"/>
        </w:rPr>
        <w:t>’</w:t>
      </w:r>
      <w:r w:rsidRPr="00677A2B">
        <w:rPr>
          <w:lang w:val="fr-FR"/>
        </w:rPr>
        <w:t>un système de freinage à récupération ou d</w:t>
      </w:r>
      <w:r w:rsidR="00281F27">
        <w:rPr>
          <w:lang w:val="fr-FR"/>
        </w:rPr>
        <w:t>’</w:t>
      </w:r>
      <w:r w:rsidRPr="00677A2B">
        <w:rPr>
          <w:lang w:val="fr-FR"/>
        </w:rPr>
        <w:t>une chaîne de traction électrique ne sont pas autorisées.</w:t>
      </w:r>
    </w:p>
    <w:p w14:paraId="25B6E34E" w14:textId="77777777" w:rsidR="0001480D" w:rsidRPr="00677A2B" w:rsidRDefault="0001480D" w:rsidP="0001480D">
      <w:pPr>
        <w:pStyle w:val="SingleTxtG"/>
        <w:ind w:left="2268" w:hanging="1134"/>
        <w:rPr>
          <w:i/>
          <w:iCs/>
          <w:lang w:val="fr-FR"/>
        </w:rPr>
      </w:pPr>
      <w:r w:rsidRPr="00677A2B">
        <w:rPr>
          <w:lang w:val="fr-FR"/>
        </w:rPr>
        <w:t>9.2.4.4.1</w:t>
      </w:r>
      <w:r w:rsidRPr="00677A2B">
        <w:rPr>
          <w:lang w:val="fr-FR"/>
        </w:rPr>
        <w:tab/>
      </w:r>
      <w:r w:rsidRPr="00677A2B">
        <w:rPr>
          <w:i/>
          <w:iCs/>
          <w:lang w:val="fr-FR"/>
        </w:rPr>
        <w:t>Dispositions générales</w:t>
      </w:r>
      <w:r w:rsidRPr="00677A2B" w:rsidDel="00274814">
        <w:rPr>
          <w:i/>
          <w:iCs/>
          <w:lang w:val="fr-FR"/>
        </w:rPr>
        <w:t xml:space="preserve"> </w:t>
      </w:r>
    </w:p>
    <w:p w14:paraId="11424B3A" w14:textId="3BB7BA89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La chaîne de traction électrique doit satisfaire aux prescriptions énoncées dans le Règlement ONU No 100</w:t>
      </w:r>
      <w:r w:rsidRPr="00677A2B">
        <w:rPr>
          <w:vertAlign w:val="superscript"/>
          <w:lang w:val="fr-FR"/>
        </w:rPr>
        <w:t>1</w:t>
      </w:r>
      <w:r w:rsidRPr="00677A2B">
        <w:rPr>
          <w:lang w:val="fr-FR"/>
        </w:rPr>
        <w:t>, tel que modifié au minimum par la série 03 d</w:t>
      </w:r>
      <w:r w:rsidR="00281F27">
        <w:rPr>
          <w:lang w:val="fr-FR"/>
        </w:rPr>
        <w:t>’</w:t>
      </w:r>
      <w:r w:rsidRPr="00677A2B">
        <w:rPr>
          <w:lang w:val="fr-FR"/>
        </w:rPr>
        <w:t>amendements.</w:t>
      </w:r>
    </w:p>
    <w:p w14:paraId="374CBCDF" w14:textId="1E671CE0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Les véhicules à chaîne de traction électrique doivent être équipés d</w:t>
      </w:r>
      <w:r w:rsidR="00281F27">
        <w:rPr>
          <w:lang w:val="fr-FR"/>
        </w:rPr>
        <w:t>’</w:t>
      </w:r>
      <w:r w:rsidRPr="00677A2B">
        <w:rPr>
          <w:lang w:val="fr-FR"/>
        </w:rPr>
        <w:t>un système de surveillance de la résistance d</w:t>
      </w:r>
      <w:r w:rsidR="00281F27">
        <w:rPr>
          <w:lang w:val="fr-FR"/>
        </w:rPr>
        <w:t>’</w:t>
      </w:r>
      <w:r w:rsidRPr="00677A2B">
        <w:rPr>
          <w:lang w:val="fr-FR"/>
        </w:rPr>
        <w:t>isolement.</w:t>
      </w:r>
    </w:p>
    <w:p w14:paraId="15F697D2" w14:textId="5FA0CF05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Le véhicule doit émettre des signaux extérieurs à l</w:t>
      </w:r>
      <w:r w:rsidR="00281F27">
        <w:rPr>
          <w:lang w:val="fr-FR"/>
        </w:rPr>
        <w:t>’</w:t>
      </w:r>
      <w:r w:rsidRPr="00677A2B">
        <w:rPr>
          <w:lang w:val="fr-FR"/>
        </w:rPr>
        <w:t>arrêt, en plus de l</w:t>
      </w:r>
      <w:r w:rsidR="00281F27">
        <w:rPr>
          <w:lang w:val="fr-FR"/>
        </w:rPr>
        <w:t>’</w:t>
      </w:r>
      <w:r w:rsidRPr="00677A2B">
        <w:rPr>
          <w:lang w:val="fr-FR"/>
        </w:rPr>
        <w:t xml:space="preserve">avertissement reçu par le conducteur dans la </w:t>
      </w:r>
      <w:r w:rsidRPr="00677A2B">
        <w:rPr>
          <w:rStyle w:val="preferred"/>
        </w:rPr>
        <w:t>cabine</w:t>
      </w:r>
      <w:r w:rsidRPr="00677A2B">
        <w:rPr>
          <w:lang w:val="fr-FR"/>
        </w:rPr>
        <w:t xml:space="preserve"> de conduite, conformément au 6.15.1 du Règlement ONU No 100</w:t>
      </w:r>
      <w:r w:rsidRPr="00677A2B">
        <w:rPr>
          <w:vertAlign w:val="superscript"/>
          <w:lang w:val="fr-FR"/>
        </w:rPr>
        <w:t>1</w:t>
      </w:r>
      <w:r w:rsidRPr="00677A2B">
        <w:rPr>
          <w:lang w:val="fr-FR"/>
        </w:rPr>
        <w:t>, tel que modifié au minimum par la série 03 d</w:t>
      </w:r>
      <w:r w:rsidR="00281F27">
        <w:rPr>
          <w:lang w:val="fr-FR"/>
        </w:rPr>
        <w:t>’</w:t>
      </w:r>
      <w:r w:rsidRPr="00677A2B">
        <w:rPr>
          <w:lang w:val="fr-FR"/>
        </w:rPr>
        <w:t>amendements.</w:t>
      </w:r>
    </w:p>
    <w:p w14:paraId="302B20D7" w14:textId="3485C7D3" w:rsidR="0001480D" w:rsidRPr="00677A2B" w:rsidRDefault="0001480D" w:rsidP="0001480D">
      <w:pPr>
        <w:pStyle w:val="SingleTxtG"/>
        <w:ind w:left="2268" w:hanging="1134"/>
        <w:rPr>
          <w:i/>
          <w:iCs/>
          <w:lang w:val="fr-FR"/>
        </w:rPr>
      </w:pPr>
      <w:r w:rsidRPr="00677A2B">
        <w:rPr>
          <w:lang w:val="fr-FR"/>
        </w:rPr>
        <w:t>9.2.4.4.2</w:t>
      </w:r>
      <w:r w:rsidRPr="00677A2B">
        <w:rPr>
          <w:i/>
          <w:iCs/>
          <w:lang w:val="fr-FR"/>
        </w:rPr>
        <w:tab/>
      </w:r>
      <w:bookmarkStart w:id="1" w:name="_Hlk142650461"/>
      <w:r w:rsidRPr="00677A2B">
        <w:rPr>
          <w:i/>
          <w:iCs/>
          <w:lang w:val="fr-FR"/>
        </w:rPr>
        <w:t>Système</w:t>
      </w:r>
      <w:r w:rsidRPr="00677A2B">
        <w:rPr>
          <w:i/>
          <w:iCs/>
        </w:rPr>
        <w:t xml:space="preserve"> rechargeable de stockage de l</w:t>
      </w:r>
      <w:r w:rsidR="00281F27">
        <w:rPr>
          <w:i/>
          <w:iCs/>
        </w:rPr>
        <w:t>’</w:t>
      </w:r>
      <w:r w:rsidRPr="00677A2B">
        <w:rPr>
          <w:i/>
          <w:iCs/>
        </w:rPr>
        <w:t>énergie électrique (SRSEE)</w:t>
      </w:r>
      <w:bookmarkEnd w:id="1"/>
    </w:p>
    <w:p w14:paraId="0197B1E0" w14:textId="5230F4E0" w:rsidR="0001480D" w:rsidRPr="00677A2B" w:rsidRDefault="0001480D" w:rsidP="0001480D">
      <w:pPr>
        <w:pStyle w:val="SingleTxtG"/>
        <w:ind w:left="2268"/>
        <w:rPr>
          <w:i/>
          <w:iCs/>
          <w:lang w:val="fr-029"/>
        </w:rPr>
      </w:pPr>
      <w:r w:rsidRPr="00677A2B">
        <w:rPr>
          <w:b/>
          <w:bCs/>
          <w:i/>
          <w:iCs/>
          <w:lang w:val="fr-029"/>
        </w:rPr>
        <w:t>NOTA </w:t>
      </w:r>
      <w:r w:rsidRPr="00677A2B">
        <w:rPr>
          <w:b/>
          <w:i/>
          <w:iCs/>
          <w:lang w:val="fr-029"/>
        </w:rPr>
        <w:t>:</w:t>
      </w:r>
      <w:r w:rsidRPr="00677A2B">
        <w:rPr>
          <w:i/>
          <w:iCs/>
          <w:lang w:val="fr-029"/>
        </w:rPr>
        <w:t xml:space="preserve"> D</w:t>
      </w:r>
      <w:r w:rsidR="00281F27">
        <w:rPr>
          <w:i/>
          <w:iCs/>
          <w:lang w:val="fr-029"/>
        </w:rPr>
        <w:t>’</w:t>
      </w:r>
      <w:r w:rsidRPr="00677A2B">
        <w:rPr>
          <w:i/>
          <w:iCs/>
          <w:lang w:val="fr-029"/>
        </w:rPr>
        <w:t>autres abréviations sont parfois utilisées dans des documents portant sur des systèmes semblables (par exemple, SRSE).</w:t>
      </w:r>
    </w:p>
    <w:p w14:paraId="338F82B7" w14:textId="7D10E380" w:rsidR="0001480D" w:rsidRPr="00677A2B" w:rsidRDefault="0001480D" w:rsidP="0001480D">
      <w:pPr>
        <w:pStyle w:val="SingleTxtG"/>
        <w:ind w:left="2268"/>
        <w:rPr>
          <w:lang w:val="fr-FR"/>
        </w:rPr>
      </w:pPr>
      <w:r w:rsidRPr="00677A2B">
        <w:rPr>
          <w:lang w:val="fr-FR"/>
        </w:rPr>
        <w:t>La conception et la construction du SRSEE des véhicules dotés d</w:t>
      </w:r>
      <w:r w:rsidR="00281F27">
        <w:rPr>
          <w:lang w:val="fr-FR"/>
        </w:rPr>
        <w:t>’</w:t>
      </w:r>
      <w:r w:rsidRPr="00677A2B">
        <w:rPr>
          <w:lang w:val="fr-FR"/>
        </w:rPr>
        <w:t>une chaîne de traction électrique doivent comprendre une évaluation des risques menée conformément à la norme ISO 6469-1:2019/</w:t>
      </w:r>
      <w:proofErr w:type="spellStart"/>
      <w:r w:rsidRPr="00677A2B">
        <w:rPr>
          <w:lang w:val="fr-FR"/>
        </w:rPr>
        <w:t>Amd</w:t>
      </w:r>
      <w:proofErr w:type="spellEnd"/>
      <w:r w:rsidRPr="00677A2B">
        <w:rPr>
          <w:lang w:val="fr-FR"/>
        </w:rPr>
        <w:t xml:space="preserve"> 1:2022 afin que la sécurité soit assurée dans des conditions normales de fonctionnement. Un examen doit être effectué par un service technique </w:t>
      </w:r>
      <w:r w:rsidRPr="00677A2B">
        <w:t>tel qu</w:t>
      </w:r>
      <w:r w:rsidR="00281F27">
        <w:t>’</w:t>
      </w:r>
      <w:r w:rsidRPr="00677A2B">
        <w:t>un</w:t>
      </w:r>
      <w:r w:rsidRPr="00677A2B">
        <w:rPr>
          <w:lang w:val="fr-FR"/>
        </w:rPr>
        <w:t xml:space="preserve"> service technique chargé de l</w:t>
      </w:r>
      <w:r w:rsidR="00281F27">
        <w:rPr>
          <w:lang w:val="fr-FR"/>
        </w:rPr>
        <w:t>’</w:t>
      </w:r>
      <w:r w:rsidRPr="00677A2B">
        <w:rPr>
          <w:lang w:val="fr-FR"/>
        </w:rPr>
        <w:t>homologation des véhicules conformément au règlement ONU No 100</w:t>
      </w:r>
      <w:r w:rsidRPr="00677A2B">
        <w:rPr>
          <w:vertAlign w:val="superscript"/>
          <w:lang w:val="fr-FR"/>
        </w:rPr>
        <w:t xml:space="preserve">1 </w:t>
      </w:r>
      <w:r w:rsidRPr="00677A2B">
        <w:t>tel que modifié au minimum par la série 03 d</w:t>
      </w:r>
      <w:r w:rsidR="00281F27">
        <w:t>’</w:t>
      </w:r>
      <w:r w:rsidRPr="00677A2B">
        <w:t>amendements</w:t>
      </w:r>
      <w:r w:rsidRPr="00677A2B">
        <w:rPr>
          <w:lang w:val="fr-FR"/>
        </w:rPr>
        <w:t>.</w:t>
      </w:r>
    </w:p>
    <w:p w14:paraId="239683FF" w14:textId="44BF0DF7" w:rsidR="0001480D" w:rsidRPr="00677A2B" w:rsidRDefault="0001480D" w:rsidP="0001480D">
      <w:pPr>
        <w:pStyle w:val="SingleTxtG"/>
        <w:ind w:left="2268"/>
        <w:rPr>
          <w:lang w:val="fr-FR"/>
        </w:rPr>
      </w:pPr>
      <w:r w:rsidRPr="00677A2B">
        <w:rPr>
          <w:b/>
          <w:bCs/>
          <w:i/>
          <w:iCs/>
          <w:lang w:val="fr-FR"/>
        </w:rPr>
        <w:t>NOTA </w:t>
      </w:r>
      <w:r w:rsidRPr="00677A2B">
        <w:rPr>
          <w:b/>
          <w:i/>
          <w:iCs/>
          <w:lang w:val="fr-FR"/>
        </w:rPr>
        <w:t>:</w:t>
      </w:r>
      <w:r w:rsidRPr="00677A2B">
        <w:rPr>
          <w:i/>
          <w:iCs/>
          <w:lang w:val="fr-FR"/>
        </w:rPr>
        <w:t xml:space="preserve"> Les conditions normales de </w:t>
      </w:r>
      <w:r w:rsidRPr="00677A2B">
        <w:rPr>
          <w:i/>
          <w:iCs/>
          <w:lang w:val="fr-029"/>
        </w:rPr>
        <w:t>fonctionnement</w:t>
      </w:r>
      <w:r w:rsidRPr="00677A2B">
        <w:rPr>
          <w:i/>
          <w:iCs/>
          <w:lang w:val="fr-FR"/>
        </w:rPr>
        <w:t xml:space="preserve"> désignent aussi les situations de dysfonctionnement et d</w:t>
      </w:r>
      <w:r w:rsidR="00281F27">
        <w:rPr>
          <w:i/>
          <w:iCs/>
          <w:lang w:val="fr-FR"/>
        </w:rPr>
        <w:t>’</w:t>
      </w:r>
      <w:r w:rsidRPr="00677A2B">
        <w:rPr>
          <w:i/>
          <w:iCs/>
          <w:lang w:val="fr-FR"/>
        </w:rPr>
        <w:t>accident raisonnablement prévisibles.</w:t>
      </w:r>
    </w:p>
    <w:p w14:paraId="78C7A550" w14:textId="6733E2A6" w:rsidR="0001480D" w:rsidRPr="00677A2B" w:rsidRDefault="0001480D" w:rsidP="0001480D">
      <w:pPr>
        <w:pStyle w:val="SingleTxtG"/>
        <w:ind w:left="2268" w:hanging="1134"/>
        <w:rPr>
          <w:i/>
          <w:iCs/>
          <w:lang w:val="fr-FR"/>
        </w:rPr>
      </w:pPr>
      <w:r w:rsidRPr="00677A2B">
        <w:rPr>
          <w:lang w:val="fr-FR"/>
        </w:rPr>
        <w:t>9.2.4.4.3</w:t>
      </w:r>
      <w:r w:rsidRPr="00677A2B">
        <w:rPr>
          <w:lang w:val="fr-FR"/>
        </w:rPr>
        <w:tab/>
      </w:r>
      <w:r w:rsidRPr="00677A2B">
        <w:rPr>
          <w:i/>
          <w:iCs/>
          <w:lang w:val="fr-FR"/>
        </w:rPr>
        <w:t>Mesures de lutte contre la propagation thermique</w:t>
      </w:r>
    </w:p>
    <w:p w14:paraId="1E1DEFEA" w14:textId="7B1D41FD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En ce qui concerne les SRSEE comprenant des piles pour lesquelles il n</w:t>
      </w:r>
      <w:r w:rsidR="00281F27">
        <w:rPr>
          <w:lang w:val="fr-FR"/>
        </w:rPr>
        <w:t>’</w:t>
      </w:r>
      <w:r w:rsidRPr="00677A2B">
        <w:rPr>
          <w:lang w:val="fr-FR"/>
        </w:rPr>
        <w:t xml:space="preserve">est pas possible de garantir que la propagation thermique soit limitée au système, des mesures doivent être prises pour </w:t>
      </w:r>
      <w:r w:rsidRPr="00677A2B">
        <w:t>limiter les dangers</w:t>
      </w:r>
      <w:r w:rsidRPr="00677A2B">
        <w:rPr>
          <w:lang w:val="fr-FR"/>
        </w:rPr>
        <w:t xml:space="preserve"> pour le chargement à la suite d</w:t>
      </w:r>
      <w:r w:rsidR="00281F27">
        <w:rPr>
          <w:lang w:val="fr-FR"/>
        </w:rPr>
        <w:t>’</w:t>
      </w:r>
      <w:r w:rsidRPr="00677A2B">
        <w:rPr>
          <w:lang w:val="fr-FR"/>
        </w:rPr>
        <w:t>un échauffement ou d</w:t>
      </w:r>
      <w:r w:rsidR="00281F27">
        <w:rPr>
          <w:lang w:val="fr-FR"/>
        </w:rPr>
        <w:t>’</w:t>
      </w:r>
      <w:r w:rsidRPr="00677A2B">
        <w:rPr>
          <w:lang w:val="fr-FR"/>
        </w:rPr>
        <w:t>une inflammation.</w:t>
      </w:r>
    </w:p>
    <w:p w14:paraId="7D89B59A" w14:textId="77777777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>9.2.4.4.4</w:t>
      </w:r>
      <w:r w:rsidRPr="00677A2B">
        <w:rPr>
          <w:lang w:val="fr-FR"/>
        </w:rPr>
        <w:tab/>
      </w:r>
      <w:r w:rsidRPr="00677A2B">
        <w:rPr>
          <w:i/>
          <w:iCs/>
          <w:lang w:val="fr-FR"/>
        </w:rPr>
        <w:t>Prise de charge du véhicule</w:t>
      </w:r>
    </w:p>
    <w:p w14:paraId="2708CDBB" w14:textId="4DB4301C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La prise de charge du véhicule doit être dotée d</w:t>
      </w:r>
      <w:r w:rsidR="00281F27">
        <w:rPr>
          <w:lang w:val="fr-FR"/>
        </w:rPr>
        <w:t>’</w:t>
      </w:r>
      <w:r w:rsidRPr="00677A2B">
        <w:rPr>
          <w:lang w:val="fr-FR"/>
        </w:rPr>
        <w:t xml:space="preserve">une fonction de détection thermique qui limite ou interrompt le transfert de courant conformément à la </w:t>
      </w:r>
      <w:r w:rsidRPr="00677A2B">
        <w:rPr>
          <w:lang w:val="fr-FR"/>
        </w:rPr>
        <w:lastRenderedPageBreak/>
        <w:t>norme ISO 17409:2020, lorsque la température dépasse les valeurs nominales des composants ou les limites requises par les normes de produit applicables, voir par exemple la norme CEI 62196-3-1:2020.</w:t>
      </w:r>
      <w:r w:rsidR="00DE692C" w:rsidRPr="00677A2B">
        <w:rPr>
          <w:lang w:val="fr-FR"/>
        </w:rPr>
        <w:t> </w:t>
      </w:r>
      <w:r w:rsidRPr="00677A2B">
        <w:rPr>
          <w:lang w:val="fr-FR"/>
        </w:rPr>
        <w:t>»</w:t>
      </w:r>
    </w:p>
    <w:p w14:paraId="21400289" w14:textId="77777777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>9.2.4</w:t>
      </w:r>
      <w:r w:rsidRPr="00677A2B">
        <w:rPr>
          <w:lang w:val="fr-FR"/>
        </w:rPr>
        <w:tab/>
        <w:t>Ajouter un nouveau 9.2.4.5 pour lire comme suit :</w:t>
      </w:r>
    </w:p>
    <w:p w14:paraId="2FAE1145" w14:textId="77777777" w:rsidR="0001480D" w:rsidRPr="00677A2B" w:rsidRDefault="0001480D" w:rsidP="0001480D">
      <w:pPr>
        <w:pStyle w:val="SingleTxtG"/>
        <w:ind w:left="2268" w:hanging="1134"/>
        <w:rPr>
          <w:b/>
          <w:bCs/>
          <w:i/>
          <w:iCs/>
          <w:lang w:val="fr-FR"/>
        </w:rPr>
      </w:pPr>
      <w:r w:rsidRPr="00677A2B">
        <w:rPr>
          <w:lang w:val="fr-FR"/>
        </w:rPr>
        <w:t>« </w:t>
      </w:r>
      <w:r w:rsidRPr="00677A2B">
        <w:rPr>
          <w:b/>
          <w:bCs/>
          <w:lang w:val="fr-FR"/>
        </w:rPr>
        <w:t>9.2.4.5</w:t>
      </w:r>
      <w:r w:rsidRPr="00677A2B">
        <w:rPr>
          <w:lang w:val="fr-FR"/>
        </w:rPr>
        <w:tab/>
      </w:r>
      <w:r w:rsidRPr="00677A2B">
        <w:rPr>
          <w:b/>
          <w:bCs/>
          <w:i/>
          <w:iCs/>
          <w:lang w:val="fr-FR"/>
        </w:rPr>
        <w:t xml:space="preserve">Véhicules à pile à combustible à hydrogène </w:t>
      </w:r>
    </w:p>
    <w:p w14:paraId="43D95331" w14:textId="77777777" w:rsidR="0001480D" w:rsidRPr="00677A2B" w:rsidRDefault="0001480D" w:rsidP="0001480D">
      <w:pPr>
        <w:pStyle w:val="SingleTxtG"/>
        <w:ind w:left="2268" w:hanging="1134"/>
        <w:rPr>
          <w:lang w:val="fr-FR"/>
        </w:rPr>
      </w:pPr>
      <w:r w:rsidRPr="00677A2B">
        <w:rPr>
          <w:lang w:val="fr-FR"/>
        </w:rPr>
        <w:t>9.2.4.5.1</w:t>
      </w:r>
      <w:r w:rsidRPr="00677A2B">
        <w:rPr>
          <w:lang w:val="fr-FR"/>
        </w:rPr>
        <w:tab/>
        <w:t>Les véhicules à pile à combustible à hydrogène doivent satisfaire aux prescriptions du 9.2.4.4, relatives à la chaîne de traction électrique.</w:t>
      </w:r>
    </w:p>
    <w:p w14:paraId="03595173" w14:textId="69A1FADC" w:rsidR="0001480D" w:rsidRPr="00677A2B" w:rsidRDefault="0001480D" w:rsidP="0001480D">
      <w:pPr>
        <w:pStyle w:val="SingleTxtG"/>
        <w:ind w:left="2268" w:hanging="1134"/>
        <w:rPr>
          <w:lang w:val="fr-FR"/>
        </w:rPr>
      </w:pPr>
      <w:r w:rsidRPr="00677A2B">
        <w:rPr>
          <w:lang w:val="fr-FR"/>
        </w:rPr>
        <w:t>9.2.4.5.2</w:t>
      </w:r>
      <w:r w:rsidRPr="00677A2B">
        <w:rPr>
          <w:lang w:val="fr-FR"/>
        </w:rPr>
        <w:tab/>
        <w:t>Les véhicules à pile à combustible à hydrogène doivent satisfaire aux prescriptions pertinentes du Règlement ONU No 134</w:t>
      </w:r>
      <w:r w:rsidRPr="00677A2B">
        <w:rPr>
          <w:vertAlign w:val="superscript"/>
          <w:lang w:val="fr-FR"/>
        </w:rPr>
        <w:t>9</w:t>
      </w:r>
      <w:r w:rsidRPr="00677A2B">
        <w:rPr>
          <w:lang w:val="fr-FR"/>
        </w:rPr>
        <w:t xml:space="preserve">, tel que modifié </w:t>
      </w:r>
      <w:r w:rsidRPr="00677A2B">
        <w:t>au minimum par la série 02 d</w:t>
      </w:r>
      <w:r w:rsidR="00281F27">
        <w:t>’</w:t>
      </w:r>
      <w:r w:rsidRPr="00677A2B">
        <w:t>amendements</w:t>
      </w:r>
      <w:r w:rsidRPr="00677A2B">
        <w:rPr>
          <w:lang w:val="fr-FR"/>
        </w:rPr>
        <w:t>. Pour les véhicules utilisant de l</w:t>
      </w:r>
      <w:r w:rsidR="00281F27">
        <w:rPr>
          <w:lang w:val="fr-FR"/>
        </w:rPr>
        <w:t>’</w:t>
      </w:r>
      <w:r w:rsidRPr="00677A2B">
        <w:rPr>
          <w:lang w:val="fr-FR"/>
        </w:rPr>
        <w:t xml:space="preserve">hydrogène liquide, les prescriptions techniques </w:t>
      </w:r>
      <w:r w:rsidRPr="00677A2B">
        <w:t xml:space="preserve">du </w:t>
      </w:r>
      <w:r w:rsidRPr="00677A2B">
        <w:rPr>
          <w:lang w:val="fr-FR"/>
        </w:rPr>
        <w:t>Règlement technique mondial n° 13</w:t>
      </w:r>
      <w:r w:rsidRPr="00677A2B">
        <w:rPr>
          <w:vertAlign w:val="superscript"/>
          <w:lang w:val="fr-FR"/>
        </w:rPr>
        <w:t>10</w:t>
      </w:r>
      <w:r w:rsidRPr="00677A2B">
        <w:rPr>
          <w:lang w:val="fr-FR"/>
        </w:rPr>
        <w:t>, amendement 1</w:t>
      </w:r>
      <w:r w:rsidR="00D573C5" w:rsidRPr="00677A2B">
        <w:rPr>
          <w:lang w:val="fr-FR"/>
        </w:rPr>
        <w:t>,</w:t>
      </w:r>
      <w:r w:rsidRPr="00677A2B">
        <w:t xml:space="preserve"> s</w:t>
      </w:r>
      <w:r w:rsidR="00281F27">
        <w:t>’</w:t>
      </w:r>
      <w:r w:rsidRPr="00677A2B">
        <w:t>appliquent.</w:t>
      </w:r>
    </w:p>
    <w:p w14:paraId="149669AB" w14:textId="039CBF3E" w:rsidR="0001480D" w:rsidRPr="00677A2B" w:rsidRDefault="0001480D" w:rsidP="0001480D">
      <w:pPr>
        <w:pStyle w:val="SingleTxtG"/>
        <w:ind w:left="2268" w:hanging="1134"/>
        <w:rPr>
          <w:lang w:val="fr-FR"/>
        </w:rPr>
      </w:pPr>
      <w:r w:rsidRPr="00677A2B">
        <w:rPr>
          <w:lang w:val="fr-FR"/>
        </w:rPr>
        <w:t>9.2.4.5.3</w:t>
      </w:r>
      <w:r w:rsidRPr="00677A2B">
        <w:rPr>
          <w:lang w:val="fr-FR"/>
        </w:rPr>
        <w:tab/>
        <w:t>Les dispositifs de fermeture des réservoirs d</w:t>
      </w:r>
      <w:r w:rsidR="00281F27">
        <w:rPr>
          <w:lang w:val="fr-FR"/>
        </w:rPr>
        <w:t>’</w:t>
      </w:r>
      <w:r w:rsidRPr="00677A2B">
        <w:rPr>
          <w:lang w:val="fr-FR"/>
        </w:rPr>
        <w:t>hydrogène doivent s</w:t>
      </w:r>
      <w:r w:rsidR="00281F27">
        <w:rPr>
          <w:lang w:val="fr-FR"/>
        </w:rPr>
        <w:t>’</w:t>
      </w:r>
      <w:r w:rsidRPr="00677A2B">
        <w:rPr>
          <w:lang w:val="fr-FR"/>
        </w:rPr>
        <w:t>enclencher automatiquement :</w:t>
      </w:r>
    </w:p>
    <w:p w14:paraId="69608422" w14:textId="46D2E329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a)</w:t>
      </w:r>
      <w:r w:rsidRPr="00677A2B">
        <w:rPr>
          <w:lang w:val="fr-FR"/>
        </w:rPr>
        <w:tab/>
        <w:t>Lorsque le véhicule n</w:t>
      </w:r>
      <w:r w:rsidR="00281F27">
        <w:rPr>
          <w:lang w:val="fr-FR"/>
        </w:rPr>
        <w:t>’</w:t>
      </w:r>
      <w:r w:rsidRPr="00677A2B">
        <w:rPr>
          <w:lang w:val="fr-FR"/>
        </w:rPr>
        <w:t>est plus en mode marche ;</w:t>
      </w:r>
    </w:p>
    <w:p w14:paraId="36BA0357" w14:textId="6F6402A5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b)</w:t>
      </w:r>
      <w:r w:rsidRPr="00677A2B">
        <w:rPr>
          <w:lang w:val="fr-FR"/>
        </w:rPr>
        <w:tab/>
        <w:t>Lors d</w:t>
      </w:r>
      <w:r w:rsidR="00281F27">
        <w:rPr>
          <w:lang w:val="fr-FR"/>
        </w:rPr>
        <w:t>’</w:t>
      </w:r>
      <w:r w:rsidRPr="00677A2B">
        <w:rPr>
          <w:lang w:val="fr-FR"/>
        </w:rPr>
        <w:t>une décélération de 3,25 m.s</w:t>
      </w:r>
      <w:r w:rsidRPr="00677A2B">
        <w:rPr>
          <w:vertAlign w:val="superscript"/>
          <w:lang w:val="fr-FR"/>
        </w:rPr>
        <w:t>-2</w:t>
      </w:r>
      <w:r w:rsidRPr="00677A2B">
        <w:rPr>
          <w:lang w:val="fr-FR"/>
        </w:rPr>
        <w:t xml:space="preserve"> pour 0,7 s ;</w:t>
      </w:r>
    </w:p>
    <w:p w14:paraId="191EE52B" w14:textId="574C04AD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c)</w:t>
      </w:r>
      <w:r w:rsidRPr="00677A2B">
        <w:rPr>
          <w:lang w:val="fr-FR"/>
        </w:rPr>
        <w:tab/>
        <w:t>En cas de renversement latéral au-delà d</w:t>
      </w:r>
      <w:r w:rsidR="00281F27">
        <w:rPr>
          <w:lang w:val="fr-FR"/>
        </w:rPr>
        <w:t>’</w:t>
      </w:r>
      <w:r w:rsidRPr="00677A2B">
        <w:rPr>
          <w:lang w:val="fr-FR"/>
        </w:rPr>
        <w:t>un angle de 23°.</w:t>
      </w:r>
    </w:p>
    <w:p w14:paraId="514A5DD0" w14:textId="77777777" w:rsidR="0001480D" w:rsidRPr="00677A2B" w:rsidRDefault="0001480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Les dispositifs de fermeture peuvent être rouverts de manière délibérée par le conducteur. »</w:t>
      </w:r>
    </w:p>
    <w:p w14:paraId="44E2D661" w14:textId="77777777" w:rsidR="00BD242B" w:rsidRPr="00677A2B" w:rsidRDefault="0001480D" w:rsidP="0001480D">
      <w:pPr>
        <w:pStyle w:val="SingleTxtG"/>
        <w:tabs>
          <w:tab w:val="clear" w:pos="1701"/>
        </w:tabs>
        <w:ind w:left="2268" w:hanging="1134"/>
      </w:pPr>
      <w:r w:rsidRPr="00677A2B">
        <w:rPr>
          <w:lang w:val="fr-FR"/>
        </w:rPr>
        <w:t>9.2.4</w:t>
      </w:r>
      <w:r w:rsidR="00ED7052" w:rsidRPr="00677A2B">
        <w:rPr>
          <w:lang w:val="fr-FR"/>
        </w:rPr>
        <w:t>.8</w:t>
      </w:r>
      <w:r w:rsidRPr="00677A2B">
        <w:rPr>
          <w:lang w:val="fr-FR"/>
        </w:rPr>
        <w:tab/>
      </w:r>
      <w:r w:rsidRPr="00677A2B">
        <w:t xml:space="preserve">Renuméroter 9.2.4.8 à 9.2.4.8.6 en tant que 9.2.5 à 9.2.5.6. </w:t>
      </w:r>
    </w:p>
    <w:p w14:paraId="4E6804E7" w14:textId="335773CB" w:rsidR="00EC1F49" w:rsidRPr="00677A2B" w:rsidRDefault="00BD242B" w:rsidP="0001480D">
      <w:pPr>
        <w:pStyle w:val="SingleTxtG"/>
        <w:tabs>
          <w:tab w:val="clear" w:pos="1701"/>
        </w:tabs>
        <w:ind w:left="2268" w:hanging="1134"/>
      </w:pPr>
      <w:r w:rsidRPr="00677A2B">
        <w:tab/>
      </w:r>
      <w:r w:rsidR="00EC1F49" w:rsidRPr="00677A2B">
        <w:t xml:space="preserve">Dans le </w:t>
      </w:r>
      <w:r w:rsidR="001B6004" w:rsidRPr="00677A2B">
        <w:t xml:space="preserve">paragraphe renuméroté </w:t>
      </w:r>
      <w:r w:rsidR="00EC1F49" w:rsidRPr="00677A2B">
        <w:t xml:space="preserve">9.2.5.1 (auparavant 9.2.4.8.1), renuméroter </w:t>
      </w:r>
      <w:r w:rsidR="0001480D" w:rsidRPr="00677A2B">
        <w:t xml:space="preserve">la note de bas de page </w:t>
      </w:r>
      <w:r w:rsidR="0001480D" w:rsidRPr="00677A2B">
        <w:rPr>
          <w:vertAlign w:val="superscript"/>
        </w:rPr>
        <w:t>9</w:t>
      </w:r>
      <w:r w:rsidR="0001480D" w:rsidRPr="00677A2B">
        <w:t xml:space="preserve"> en tant que</w:t>
      </w:r>
      <w:r w:rsidR="0001480D" w:rsidRPr="00677A2B">
        <w:rPr>
          <w:vertAlign w:val="superscript"/>
        </w:rPr>
        <w:t xml:space="preserve"> 11</w:t>
      </w:r>
      <w:r w:rsidR="00EC1F49" w:rsidRPr="00677A2B">
        <w:rPr>
          <w:vertAlign w:val="superscript"/>
        </w:rPr>
        <w:t xml:space="preserve"> </w:t>
      </w:r>
      <w:r w:rsidR="00EC1F49" w:rsidRPr="00677A2B">
        <w:t>et</w:t>
      </w:r>
      <w:r w:rsidR="00234AF4" w:rsidRPr="00677A2B">
        <w:rPr>
          <w:lang w:val="fr-FR"/>
        </w:rPr>
        <w:t xml:space="preserve"> remplacer « 9.2.4.8.2 à 9.2.4.8.6 » par « 9.2.5.2 à 9.2.5.6 »</w:t>
      </w:r>
      <w:r w:rsidR="0001480D" w:rsidRPr="00677A2B">
        <w:t xml:space="preserve">. </w:t>
      </w:r>
    </w:p>
    <w:p w14:paraId="3C711ECB" w14:textId="231ECDEB" w:rsidR="001B6004" w:rsidRPr="00677A2B" w:rsidRDefault="001B6004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tab/>
        <w:t xml:space="preserve">Dans le paragraphe renuméroté 9.2.5.2 (auparavant 9.2.4.8.2), </w:t>
      </w:r>
      <w:r w:rsidR="0061345F" w:rsidRPr="00677A2B">
        <w:rPr>
          <w:lang w:val="fr-FR"/>
        </w:rPr>
        <w:t>remplacer « 9.2.4.3 et 9.2.4.5 » par « 9.2.4.2 et 9.2.4.3.2 ».</w:t>
      </w:r>
    </w:p>
    <w:p w14:paraId="31FA30FE" w14:textId="100BE64D" w:rsidR="0061345F" w:rsidRPr="00677A2B" w:rsidRDefault="0061345F" w:rsidP="0001480D">
      <w:pPr>
        <w:pStyle w:val="SingleTxtG"/>
        <w:tabs>
          <w:tab w:val="clear" w:pos="1701"/>
        </w:tabs>
        <w:ind w:left="2268" w:hanging="1134"/>
      </w:pPr>
      <w:r w:rsidRPr="00677A2B">
        <w:tab/>
        <w:t xml:space="preserve">Dans le paragraphe renuméroté 9.2.5.4 (auparavant 9.2.4.8.4), </w:t>
      </w:r>
      <w:r w:rsidRPr="00677A2B">
        <w:rPr>
          <w:lang w:val="fr-FR"/>
        </w:rPr>
        <w:t>dans la première phrase, remplacer « 9.2.4.8.3 » par « 9.2.5.3 ».</w:t>
      </w:r>
    </w:p>
    <w:p w14:paraId="38FF4F1E" w14:textId="7CB91CA0" w:rsidR="0001480D" w:rsidRPr="00677A2B" w:rsidRDefault="0061345F" w:rsidP="0001480D">
      <w:pPr>
        <w:pStyle w:val="SingleTxtG"/>
        <w:tabs>
          <w:tab w:val="clear" w:pos="1701"/>
        </w:tabs>
        <w:ind w:left="2268" w:hanging="1134"/>
      </w:pPr>
      <w:r w:rsidRPr="00677A2B">
        <w:t>9.2.5</w:t>
      </w:r>
      <w:r w:rsidRPr="00677A2B">
        <w:tab/>
      </w:r>
      <w:r w:rsidR="0001480D" w:rsidRPr="00677A2B">
        <w:t xml:space="preserve">Renuméroter en tant que 9.2.6. Renuméroter la note de bas de page </w:t>
      </w:r>
      <w:r w:rsidR="0001480D" w:rsidRPr="00677A2B">
        <w:rPr>
          <w:vertAlign w:val="superscript"/>
        </w:rPr>
        <w:t>10</w:t>
      </w:r>
      <w:r w:rsidR="0001480D" w:rsidRPr="00677A2B">
        <w:t xml:space="preserve"> en tant que</w:t>
      </w:r>
      <w:r w:rsidR="0001480D" w:rsidRPr="00677A2B">
        <w:rPr>
          <w:vertAlign w:val="superscript"/>
        </w:rPr>
        <w:t xml:space="preserve"> 12</w:t>
      </w:r>
      <w:r w:rsidR="0001480D" w:rsidRPr="00677A2B">
        <w:t>.</w:t>
      </w:r>
    </w:p>
    <w:p w14:paraId="7437E2C7" w14:textId="62773E00" w:rsidR="0007261F" w:rsidRPr="00677A2B" w:rsidRDefault="0061345F" w:rsidP="0007261F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>9.2.6</w:t>
      </w:r>
      <w:r w:rsidRPr="00677A2B">
        <w:rPr>
          <w:lang w:val="fr-FR"/>
        </w:rPr>
        <w:tab/>
        <w:t>Renuméroter en tant que 9.2.7</w:t>
      </w:r>
      <w:r w:rsidR="0007261F" w:rsidRPr="00677A2B">
        <w:rPr>
          <w:lang w:val="fr-FR"/>
        </w:rPr>
        <w:t>.</w:t>
      </w:r>
    </w:p>
    <w:p w14:paraId="2E65D057" w14:textId="6252206E" w:rsidR="0001480D" w:rsidRPr="00677A2B" w:rsidRDefault="00890ECD" w:rsidP="0001480D">
      <w:pPr>
        <w:pStyle w:val="SingleTxtG"/>
        <w:tabs>
          <w:tab w:val="clear" w:pos="1701"/>
        </w:tabs>
        <w:ind w:left="2268" w:hanging="1134"/>
        <w:rPr>
          <w:lang w:val="fr-FR"/>
        </w:rPr>
      </w:pPr>
      <w:r w:rsidRPr="00677A2B">
        <w:rPr>
          <w:lang w:val="fr-FR"/>
        </w:rPr>
        <w:t>9.2.7</w:t>
      </w:r>
      <w:r w:rsidR="0001480D" w:rsidRPr="00677A2B">
        <w:rPr>
          <w:lang w:val="fr-FR"/>
        </w:rPr>
        <w:tab/>
      </w:r>
      <w:r w:rsidR="0001480D" w:rsidRPr="00677A2B">
        <w:t>Renuméroter 9.2.7 et 9.2.7</w:t>
      </w:r>
      <w:r w:rsidRPr="00677A2B">
        <w:t>.</w:t>
      </w:r>
      <w:r w:rsidR="0001480D" w:rsidRPr="00677A2B">
        <w:t>1 en tant que 9.2.8 et 9.2.8.1. Après « GNL », ajouter « et à l</w:t>
      </w:r>
      <w:r w:rsidR="00281F27">
        <w:t>’</w:t>
      </w:r>
      <w:r w:rsidR="0001480D" w:rsidRPr="00677A2B">
        <w:t>hydrogène liquide ».</w:t>
      </w:r>
    </w:p>
    <w:p w14:paraId="00CF6667" w14:textId="77777777" w:rsidR="00BB2EC4" w:rsidRPr="00677A2B" w:rsidRDefault="00BB2EC4" w:rsidP="00BB2EC4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9.3</w:t>
      </w:r>
    </w:p>
    <w:p w14:paraId="2F9820C9" w14:textId="77777777" w:rsidR="00BB2EC4" w:rsidRPr="00677A2B" w:rsidRDefault="00BB2EC4" w:rsidP="00BB2EC4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>9.3.2.2</w:t>
      </w:r>
      <w:r w:rsidRPr="00677A2B">
        <w:rPr>
          <w:lang w:val="fr-FR"/>
        </w:rPr>
        <w:tab/>
        <w:t>Remplacer « 9.2.4.8.1, 9.2.4.8.2, 9.2.4.8.5 et 9.2.4.8.6 » par « 9.2.5.1, 9.2.5.2, 9.2.5.5 et 9.2.5.6 ».</w:t>
      </w:r>
    </w:p>
    <w:p w14:paraId="67241EAE" w14:textId="77777777" w:rsidR="00BB2EC4" w:rsidRPr="00677A2B" w:rsidRDefault="00BB2EC4" w:rsidP="00BB2EC4">
      <w:pPr>
        <w:pStyle w:val="H1G"/>
        <w:rPr>
          <w:lang w:val="fr-FR"/>
        </w:rPr>
      </w:pPr>
      <w:r w:rsidRPr="00677A2B">
        <w:rPr>
          <w:lang w:val="fr-FR"/>
        </w:rPr>
        <w:tab/>
      </w:r>
      <w:r w:rsidRPr="00677A2B">
        <w:rPr>
          <w:lang w:val="fr-FR"/>
        </w:rPr>
        <w:tab/>
        <w:t>Chapitre 9.7</w:t>
      </w:r>
    </w:p>
    <w:p w14:paraId="6FB9F8A9" w14:textId="0EE40860" w:rsidR="00BB2EC4" w:rsidRPr="00677A2B" w:rsidRDefault="00BB2EC4" w:rsidP="00BB2EC4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>9.7.7.1</w:t>
      </w:r>
      <w:r w:rsidRPr="00677A2B">
        <w:rPr>
          <w:lang w:val="fr-FR"/>
        </w:rPr>
        <w:tab/>
        <w:t>Au premier paragraphe, remplacer « 9.2.4.8.1, 9.2.4.8.2, 9.2.4.8.5</w:t>
      </w:r>
      <w:r w:rsidR="004871D5" w:rsidRPr="00677A2B">
        <w:rPr>
          <w:lang w:val="fr-FR"/>
        </w:rPr>
        <w:t xml:space="preserve"> et les</w:t>
      </w:r>
      <w:r w:rsidRPr="00677A2B">
        <w:rPr>
          <w:lang w:val="fr-FR"/>
        </w:rPr>
        <w:t> » par « 9.2.5.1, 9.2.5.2, 9.2.5.5</w:t>
      </w:r>
      <w:r w:rsidR="004871D5" w:rsidRPr="00677A2B">
        <w:rPr>
          <w:lang w:val="fr-FR"/>
        </w:rPr>
        <w:t xml:space="preserve"> et aux</w:t>
      </w:r>
      <w:r w:rsidRPr="00677A2B">
        <w:rPr>
          <w:lang w:val="fr-FR"/>
        </w:rPr>
        <w:t> ».</w:t>
      </w:r>
    </w:p>
    <w:p w14:paraId="4C856A79" w14:textId="77777777" w:rsidR="00BB2EC4" w:rsidRPr="00677A2B" w:rsidRDefault="00BB2EC4" w:rsidP="00BB2EC4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ab/>
        <w:t>Au deuxième paragraphe, remplacer « 9.2.4.8.3 et 9.2.4.8.4 » par « 9.2.5.3 et 9.2.5.4 ».</w:t>
      </w:r>
    </w:p>
    <w:p w14:paraId="390CC8A5" w14:textId="77777777" w:rsidR="00BB2EC4" w:rsidRPr="00677A2B" w:rsidRDefault="00BB2EC4" w:rsidP="00BB2EC4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>9.7.8.1</w:t>
      </w:r>
      <w:r w:rsidRPr="00677A2B">
        <w:rPr>
          <w:lang w:val="fr-FR"/>
        </w:rPr>
        <w:tab/>
        <w:t>Modifier la première phrase pour lire « Les installations électriques modifiées ou ajoutées sur les véhicules doivent satisfaire aux prescriptions pertinentes du chapitre 9.2 le cas échéant (voir le tableau du 9.2.1.1). ». Supprimer le deuxième paragraphe.</w:t>
      </w:r>
    </w:p>
    <w:p w14:paraId="7BBF1712" w14:textId="77777777" w:rsidR="00BB2EC4" w:rsidRPr="00677A2B" w:rsidRDefault="00BB2EC4" w:rsidP="00BB2EC4">
      <w:pPr>
        <w:pStyle w:val="H1G"/>
        <w:rPr>
          <w:lang w:val="fr-FR"/>
        </w:rPr>
      </w:pPr>
      <w:r w:rsidRPr="00677A2B">
        <w:rPr>
          <w:lang w:val="fr-FR"/>
        </w:rPr>
        <w:lastRenderedPageBreak/>
        <w:tab/>
      </w:r>
      <w:r w:rsidRPr="00677A2B">
        <w:rPr>
          <w:lang w:val="fr-FR"/>
        </w:rPr>
        <w:tab/>
        <w:t>Chapitre 9.8</w:t>
      </w:r>
    </w:p>
    <w:p w14:paraId="6CE5020D" w14:textId="77777777" w:rsidR="00BB2EC4" w:rsidRPr="005A76D3" w:rsidRDefault="00BB2EC4" w:rsidP="00BB2EC4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fr-FR"/>
        </w:rPr>
      </w:pPr>
      <w:r w:rsidRPr="00677A2B">
        <w:rPr>
          <w:lang w:val="fr-FR"/>
        </w:rPr>
        <w:t>9.8.6.1</w:t>
      </w:r>
      <w:r w:rsidRPr="00677A2B">
        <w:rPr>
          <w:lang w:val="fr-FR"/>
        </w:rPr>
        <w:tab/>
        <w:t>Remplacer « 9.2.4.8.1, 9.2.4.8.2, 9.2.4.8.5, 9.2.4.8.6 » par « 9.2.5.1, 9.2.5.2, 9.2.5.5, 9.2.5.6 ».</w:t>
      </w:r>
    </w:p>
    <w:p w14:paraId="5329F17B" w14:textId="66189CEE" w:rsidR="00C1626B" w:rsidRPr="00201303" w:rsidRDefault="00201303" w:rsidP="00201303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1626B" w:rsidRPr="00201303" w:rsidSect="007658F9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E23E" w14:textId="77777777" w:rsidR="0020519D" w:rsidRDefault="0020519D" w:rsidP="00F95C08">
      <w:pPr>
        <w:spacing w:line="240" w:lineRule="auto"/>
      </w:pPr>
    </w:p>
  </w:endnote>
  <w:endnote w:type="continuationSeparator" w:id="0">
    <w:p w14:paraId="6CCC8BCC" w14:textId="77777777" w:rsidR="0020519D" w:rsidRPr="00AC3823" w:rsidRDefault="0020519D" w:rsidP="00AC3823">
      <w:pPr>
        <w:pStyle w:val="Pieddepage"/>
      </w:pPr>
    </w:p>
  </w:endnote>
  <w:endnote w:type="continuationNotice" w:id="1">
    <w:p w14:paraId="11111271" w14:textId="77777777" w:rsidR="0020519D" w:rsidRDefault="002051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992C" w14:textId="77777777" w:rsidR="007658F9" w:rsidRPr="007658F9" w:rsidRDefault="007658F9" w:rsidP="007658F9">
    <w:pPr>
      <w:pStyle w:val="Pieddepage"/>
      <w:tabs>
        <w:tab w:val="right" w:pos="9638"/>
      </w:tabs>
      <w:rPr>
        <w:sz w:val="18"/>
      </w:rPr>
    </w:pPr>
    <w:r w:rsidRPr="007658F9">
      <w:rPr>
        <w:b/>
        <w:sz w:val="18"/>
      </w:rPr>
      <w:fldChar w:fldCharType="begin"/>
    </w:r>
    <w:r w:rsidRPr="007658F9">
      <w:rPr>
        <w:b/>
        <w:sz w:val="18"/>
      </w:rPr>
      <w:instrText xml:space="preserve"> PAGE  \* MERGEFORMAT </w:instrText>
    </w:r>
    <w:r w:rsidRPr="007658F9">
      <w:rPr>
        <w:b/>
        <w:sz w:val="18"/>
      </w:rPr>
      <w:fldChar w:fldCharType="separate"/>
    </w:r>
    <w:r w:rsidRPr="007658F9">
      <w:rPr>
        <w:b/>
        <w:noProof/>
        <w:sz w:val="18"/>
      </w:rPr>
      <w:t>2</w:t>
    </w:r>
    <w:r w:rsidRPr="007658F9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58C7" w14:textId="77777777" w:rsidR="007658F9" w:rsidRPr="007658F9" w:rsidRDefault="007658F9" w:rsidP="007658F9">
    <w:pPr>
      <w:pStyle w:val="Pieddepage"/>
      <w:tabs>
        <w:tab w:val="right" w:pos="9638"/>
      </w:tabs>
      <w:rPr>
        <w:b/>
        <w:sz w:val="18"/>
      </w:rPr>
    </w:pPr>
    <w:r>
      <w:tab/>
    </w:r>
    <w:r w:rsidRPr="007658F9">
      <w:rPr>
        <w:b/>
        <w:sz w:val="18"/>
      </w:rPr>
      <w:fldChar w:fldCharType="begin"/>
    </w:r>
    <w:r w:rsidRPr="007658F9">
      <w:rPr>
        <w:b/>
        <w:sz w:val="18"/>
      </w:rPr>
      <w:instrText xml:space="preserve"> PAGE  \* MERGEFORMAT </w:instrText>
    </w:r>
    <w:r w:rsidRPr="007658F9">
      <w:rPr>
        <w:b/>
        <w:sz w:val="18"/>
      </w:rPr>
      <w:fldChar w:fldCharType="separate"/>
    </w:r>
    <w:r w:rsidRPr="007658F9">
      <w:rPr>
        <w:b/>
        <w:noProof/>
        <w:sz w:val="18"/>
      </w:rPr>
      <w:t>3</w:t>
    </w:r>
    <w:r w:rsidRPr="007658F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8151" w14:textId="660E4E75" w:rsidR="000D3EE9" w:rsidRPr="00EC28B3" w:rsidRDefault="00EC28B3" w:rsidP="00EC28B3">
    <w:pPr>
      <w:pStyle w:val="Pieddepage"/>
      <w:tabs>
        <w:tab w:val="left" w:pos="6520"/>
        <w:tab w:val="right" w:pos="9638"/>
      </w:tabs>
      <w:spacing w:before="120"/>
      <w:rPr>
        <w:sz w:val="20"/>
      </w:rPr>
    </w:pPr>
    <w:r>
      <w:rPr>
        <w:sz w:val="20"/>
      </w:rPr>
      <w:t>GE.24-08768  (F)</w:t>
    </w:r>
    <w:r>
      <w:rPr>
        <w:sz w:val="20"/>
      </w:rPr>
      <w:tab/>
    </w:r>
    <w:r w:rsidRPr="00EC28B3">
      <w:rPr>
        <w:noProof/>
        <w:sz w:val="20"/>
        <w:lang w:eastAsia="fr-CH"/>
      </w:rPr>
      <w:drawing>
        <wp:inline distT="0" distB="0" distL="0" distR="0" wp14:anchorId="6D3EF812" wp14:editId="23BFC26D">
          <wp:extent cx="1105200" cy="234000"/>
          <wp:effectExtent l="0" t="0" r="0" b="0"/>
          <wp:docPr id="1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</w:rPr>
      <w:drawing>
        <wp:inline distT="0" distB="0" distL="0" distR="0" wp14:anchorId="73D3DACD" wp14:editId="397076AE">
          <wp:extent cx="628015" cy="628015"/>
          <wp:effectExtent l="0" t="0" r="635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8FF7" w14:textId="77777777" w:rsidR="0020519D" w:rsidRPr="00AC3823" w:rsidRDefault="0020519D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954B9DB" w14:textId="77777777" w:rsidR="0020519D" w:rsidRPr="00AC3823" w:rsidRDefault="0020519D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02E613D" w14:textId="77777777" w:rsidR="0020519D" w:rsidRPr="00AC3823" w:rsidRDefault="0020519D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D223" w14:textId="5E34FC09" w:rsidR="007658F9" w:rsidRPr="007658F9" w:rsidRDefault="00BD7D45">
    <w:pPr>
      <w:pStyle w:val="En-tte"/>
    </w:pPr>
    <w:fldSimple w:instr=" TITLE  \* MERGEFORMAT ">
      <w:r>
        <w:t>ECE/TRANS/WP.15/265/Add.1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1CF6" w14:textId="26B8EC98" w:rsidR="007658F9" w:rsidRPr="007658F9" w:rsidRDefault="00BD7D45" w:rsidP="007658F9">
    <w:pPr>
      <w:pStyle w:val="En-tte"/>
      <w:jc w:val="right"/>
    </w:pPr>
    <w:fldSimple w:instr=" TITLE  \* MERGEFORMAT ">
      <w:r>
        <w:t>ECE/TRANS/WP.15/265/Add.1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2439"/>
        </w:tabs>
        <w:ind w:left="2439" w:hanging="17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821"/>
        </w:tabs>
        <w:ind w:left="382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41"/>
        </w:tabs>
        <w:ind w:left="4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261"/>
        </w:tabs>
        <w:ind w:left="5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981"/>
        </w:tabs>
        <w:ind w:left="598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01"/>
        </w:tabs>
        <w:ind w:left="6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421"/>
        </w:tabs>
        <w:ind w:left="7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141"/>
        </w:tabs>
        <w:ind w:left="814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861"/>
        </w:tabs>
        <w:ind w:left="8861" w:hanging="360"/>
      </w:pPr>
      <w:rPr>
        <w:rFonts w:ascii="Wingdings" w:hAnsi="Wingdings" w:hint="default"/>
      </w:rPr>
    </w:lvl>
  </w:abstractNum>
  <w:num w:numId="1" w16cid:durableId="59445995">
    <w:abstractNumId w:val="12"/>
  </w:num>
  <w:num w:numId="2" w16cid:durableId="1664435970">
    <w:abstractNumId w:val="11"/>
  </w:num>
  <w:num w:numId="3" w16cid:durableId="1475558390">
    <w:abstractNumId w:val="10"/>
  </w:num>
  <w:num w:numId="4" w16cid:durableId="1812402062">
    <w:abstractNumId w:val="8"/>
  </w:num>
  <w:num w:numId="5" w16cid:durableId="556937596">
    <w:abstractNumId w:val="3"/>
  </w:num>
  <w:num w:numId="6" w16cid:durableId="825055298">
    <w:abstractNumId w:val="2"/>
  </w:num>
  <w:num w:numId="7" w16cid:durableId="1944339391">
    <w:abstractNumId w:val="1"/>
  </w:num>
  <w:num w:numId="8" w16cid:durableId="214320338">
    <w:abstractNumId w:val="0"/>
  </w:num>
  <w:num w:numId="9" w16cid:durableId="291330744">
    <w:abstractNumId w:val="9"/>
  </w:num>
  <w:num w:numId="10" w16cid:durableId="129518620">
    <w:abstractNumId w:val="7"/>
  </w:num>
  <w:num w:numId="11" w16cid:durableId="1850094022">
    <w:abstractNumId w:val="6"/>
  </w:num>
  <w:num w:numId="12" w16cid:durableId="1131676676">
    <w:abstractNumId w:val="5"/>
  </w:num>
  <w:num w:numId="13" w16cid:durableId="1979453657">
    <w:abstractNumId w:val="4"/>
  </w:num>
  <w:num w:numId="14" w16cid:durableId="673189918">
    <w:abstractNumId w:val="12"/>
  </w:num>
  <w:num w:numId="15" w16cid:durableId="1998217468">
    <w:abstractNumId w:val="12"/>
  </w:num>
  <w:num w:numId="16" w16cid:durableId="65953615">
    <w:abstractNumId w:val="12"/>
  </w:num>
  <w:num w:numId="17" w16cid:durableId="1333608209">
    <w:abstractNumId w:val="12"/>
  </w:num>
  <w:num w:numId="18" w16cid:durableId="1487893739">
    <w:abstractNumId w:val="12"/>
  </w:num>
  <w:num w:numId="19" w16cid:durableId="742265942">
    <w:abstractNumId w:val="12"/>
  </w:num>
  <w:num w:numId="20" w16cid:durableId="1921552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2324AE-7E1B-46E0-BE39-6171A5137F5D}"/>
    <w:docVar w:name="dgnword-eventsink" w:val="646185176"/>
  </w:docVars>
  <w:rsids>
    <w:rsidRoot w:val="007658F9"/>
    <w:rsid w:val="00002BD8"/>
    <w:rsid w:val="00003E57"/>
    <w:rsid w:val="00005C5C"/>
    <w:rsid w:val="00011685"/>
    <w:rsid w:val="0001207F"/>
    <w:rsid w:val="0001480D"/>
    <w:rsid w:val="00017120"/>
    <w:rsid w:val="00017F94"/>
    <w:rsid w:val="00020B5B"/>
    <w:rsid w:val="00023842"/>
    <w:rsid w:val="000334F9"/>
    <w:rsid w:val="000448A6"/>
    <w:rsid w:val="0004639C"/>
    <w:rsid w:val="00051928"/>
    <w:rsid w:val="00056AED"/>
    <w:rsid w:val="0007261F"/>
    <w:rsid w:val="0007796D"/>
    <w:rsid w:val="000942EE"/>
    <w:rsid w:val="000946A3"/>
    <w:rsid w:val="00097DDC"/>
    <w:rsid w:val="000A52BF"/>
    <w:rsid w:val="000B7790"/>
    <w:rsid w:val="000D3EE9"/>
    <w:rsid w:val="000D3F2C"/>
    <w:rsid w:val="000D62F3"/>
    <w:rsid w:val="000E238C"/>
    <w:rsid w:val="000F37CC"/>
    <w:rsid w:val="001115E1"/>
    <w:rsid w:val="00111F2F"/>
    <w:rsid w:val="00115518"/>
    <w:rsid w:val="001433FD"/>
    <w:rsid w:val="0014365E"/>
    <w:rsid w:val="001541D3"/>
    <w:rsid w:val="001544DE"/>
    <w:rsid w:val="00156971"/>
    <w:rsid w:val="00156B77"/>
    <w:rsid w:val="00163986"/>
    <w:rsid w:val="00166390"/>
    <w:rsid w:val="00173C76"/>
    <w:rsid w:val="00176178"/>
    <w:rsid w:val="00177140"/>
    <w:rsid w:val="00191915"/>
    <w:rsid w:val="00196311"/>
    <w:rsid w:val="001A1E95"/>
    <w:rsid w:val="001B6004"/>
    <w:rsid w:val="001C4C34"/>
    <w:rsid w:val="001D06AF"/>
    <w:rsid w:val="001D400F"/>
    <w:rsid w:val="001F3561"/>
    <w:rsid w:val="001F525A"/>
    <w:rsid w:val="001F5DA9"/>
    <w:rsid w:val="0020001E"/>
    <w:rsid w:val="00201303"/>
    <w:rsid w:val="0020519D"/>
    <w:rsid w:val="00223272"/>
    <w:rsid w:val="00234AF4"/>
    <w:rsid w:val="00240333"/>
    <w:rsid w:val="0024779E"/>
    <w:rsid w:val="00247E54"/>
    <w:rsid w:val="002538A9"/>
    <w:rsid w:val="00281F27"/>
    <w:rsid w:val="002832AC"/>
    <w:rsid w:val="002C0EC0"/>
    <w:rsid w:val="002D7C93"/>
    <w:rsid w:val="002E00DC"/>
    <w:rsid w:val="002E382B"/>
    <w:rsid w:val="002F7CC0"/>
    <w:rsid w:val="0031185C"/>
    <w:rsid w:val="003439E0"/>
    <w:rsid w:val="00362067"/>
    <w:rsid w:val="0036376B"/>
    <w:rsid w:val="0037241C"/>
    <w:rsid w:val="003819FF"/>
    <w:rsid w:val="00391FFB"/>
    <w:rsid w:val="003C473E"/>
    <w:rsid w:val="003D2AC9"/>
    <w:rsid w:val="003D5D95"/>
    <w:rsid w:val="003E14DE"/>
    <w:rsid w:val="003E5556"/>
    <w:rsid w:val="003E7DF3"/>
    <w:rsid w:val="003F3099"/>
    <w:rsid w:val="003F3355"/>
    <w:rsid w:val="004037C8"/>
    <w:rsid w:val="00407163"/>
    <w:rsid w:val="004079DF"/>
    <w:rsid w:val="00413632"/>
    <w:rsid w:val="00431D5E"/>
    <w:rsid w:val="004344B9"/>
    <w:rsid w:val="00441C3B"/>
    <w:rsid w:val="00446B0A"/>
    <w:rsid w:val="00446FE5"/>
    <w:rsid w:val="00452396"/>
    <w:rsid w:val="00457A0E"/>
    <w:rsid w:val="0046006B"/>
    <w:rsid w:val="0046756D"/>
    <w:rsid w:val="00471288"/>
    <w:rsid w:val="00471E09"/>
    <w:rsid w:val="004871D5"/>
    <w:rsid w:val="00494FD1"/>
    <w:rsid w:val="0049687C"/>
    <w:rsid w:val="004B668A"/>
    <w:rsid w:val="004B6DAB"/>
    <w:rsid w:val="004D529C"/>
    <w:rsid w:val="004E468C"/>
    <w:rsid w:val="004F6A36"/>
    <w:rsid w:val="00506839"/>
    <w:rsid w:val="005316B0"/>
    <w:rsid w:val="005505B7"/>
    <w:rsid w:val="00554B6F"/>
    <w:rsid w:val="005641FA"/>
    <w:rsid w:val="00573BE5"/>
    <w:rsid w:val="00584E4C"/>
    <w:rsid w:val="00586ED3"/>
    <w:rsid w:val="005953D2"/>
    <w:rsid w:val="00595DFB"/>
    <w:rsid w:val="005969A6"/>
    <w:rsid w:val="00596AA9"/>
    <w:rsid w:val="005A75FE"/>
    <w:rsid w:val="005B4D0F"/>
    <w:rsid w:val="006042F0"/>
    <w:rsid w:val="0061345F"/>
    <w:rsid w:val="00677A2B"/>
    <w:rsid w:val="00696D84"/>
    <w:rsid w:val="006A3ADC"/>
    <w:rsid w:val="006B0FA0"/>
    <w:rsid w:val="006B5D82"/>
    <w:rsid w:val="006D0FA3"/>
    <w:rsid w:val="006D37E9"/>
    <w:rsid w:val="006F44CD"/>
    <w:rsid w:val="00701EF7"/>
    <w:rsid w:val="00703D0F"/>
    <w:rsid w:val="0070507E"/>
    <w:rsid w:val="00706363"/>
    <w:rsid w:val="007158BB"/>
    <w:rsid w:val="0071601D"/>
    <w:rsid w:val="007376FF"/>
    <w:rsid w:val="00753BED"/>
    <w:rsid w:val="0075410D"/>
    <w:rsid w:val="00764704"/>
    <w:rsid w:val="007658F9"/>
    <w:rsid w:val="00777DA9"/>
    <w:rsid w:val="00782F17"/>
    <w:rsid w:val="00784681"/>
    <w:rsid w:val="00785E63"/>
    <w:rsid w:val="007A12DE"/>
    <w:rsid w:val="007A62E6"/>
    <w:rsid w:val="007C516A"/>
    <w:rsid w:val="007C7C22"/>
    <w:rsid w:val="007D1FE6"/>
    <w:rsid w:val="007D6C7F"/>
    <w:rsid w:val="0080684C"/>
    <w:rsid w:val="008204DA"/>
    <w:rsid w:val="00823EEE"/>
    <w:rsid w:val="00823FB3"/>
    <w:rsid w:val="00832CBD"/>
    <w:rsid w:val="008465CF"/>
    <w:rsid w:val="00847F9F"/>
    <w:rsid w:val="008535AD"/>
    <w:rsid w:val="00865B3A"/>
    <w:rsid w:val="00871C75"/>
    <w:rsid w:val="00875652"/>
    <w:rsid w:val="008767E8"/>
    <w:rsid w:val="00877505"/>
    <w:rsid w:val="008776DC"/>
    <w:rsid w:val="00880B47"/>
    <w:rsid w:val="00883605"/>
    <w:rsid w:val="00890ECD"/>
    <w:rsid w:val="008934D2"/>
    <w:rsid w:val="008A176B"/>
    <w:rsid w:val="008A256F"/>
    <w:rsid w:val="008B092A"/>
    <w:rsid w:val="008B1520"/>
    <w:rsid w:val="008B1F46"/>
    <w:rsid w:val="008C6470"/>
    <w:rsid w:val="008D64BE"/>
    <w:rsid w:val="008E6043"/>
    <w:rsid w:val="008F797E"/>
    <w:rsid w:val="00902FD3"/>
    <w:rsid w:val="009138CA"/>
    <w:rsid w:val="009171C7"/>
    <w:rsid w:val="00917A02"/>
    <w:rsid w:val="00950D22"/>
    <w:rsid w:val="00961E7B"/>
    <w:rsid w:val="009705C8"/>
    <w:rsid w:val="009957A1"/>
    <w:rsid w:val="009B4DFD"/>
    <w:rsid w:val="009C1CF4"/>
    <w:rsid w:val="009C5502"/>
    <w:rsid w:val="009F02C9"/>
    <w:rsid w:val="00A04660"/>
    <w:rsid w:val="00A06988"/>
    <w:rsid w:val="00A30353"/>
    <w:rsid w:val="00A43E9F"/>
    <w:rsid w:val="00A52551"/>
    <w:rsid w:val="00A62D91"/>
    <w:rsid w:val="00A90D54"/>
    <w:rsid w:val="00AA113A"/>
    <w:rsid w:val="00AB1C8A"/>
    <w:rsid w:val="00AC3823"/>
    <w:rsid w:val="00AC6655"/>
    <w:rsid w:val="00AE323C"/>
    <w:rsid w:val="00AE3FE5"/>
    <w:rsid w:val="00AF774C"/>
    <w:rsid w:val="00B00181"/>
    <w:rsid w:val="00B00B0D"/>
    <w:rsid w:val="00B049E4"/>
    <w:rsid w:val="00B10232"/>
    <w:rsid w:val="00B105A6"/>
    <w:rsid w:val="00B15772"/>
    <w:rsid w:val="00B15C14"/>
    <w:rsid w:val="00B15C39"/>
    <w:rsid w:val="00B247C1"/>
    <w:rsid w:val="00B37307"/>
    <w:rsid w:val="00B40927"/>
    <w:rsid w:val="00B50E25"/>
    <w:rsid w:val="00B540A0"/>
    <w:rsid w:val="00B64918"/>
    <w:rsid w:val="00B765F7"/>
    <w:rsid w:val="00B84F8C"/>
    <w:rsid w:val="00B852C8"/>
    <w:rsid w:val="00B85DCE"/>
    <w:rsid w:val="00BA0CA9"/>
    <w:rsid w:val="00BB2EC4"/>
    <w:rsid w:val="00BB73BB"/>
    <w:rsid w:val="00BD242B"/>
    <w:rsid w:val="00BD7D45"/>
    <w:rsid w:val="00C02897"/>
    <w:rsid w:val="00C15930"/>
    <w:rsid w:val="00C1626B"/>
    <w:rsid w:val="00C338D0"/>
    <w:rsid w:val="00C66A47"/>
    <w:rsid w:val="00C7176D"/>
    <w:rsid w:val="00C7616F"/>
    <w:rsid w:val="00CA5901"/>
    <w:rsid w:val="00CA5E64"/>
    <w:rsid w:val="00CB16B5"/>
    <w:rsid w:val="00CC501C"/>
    <w:rsid w:val="00CE0608"/>
    <w:rsid w:val="00CF4F23"/>
    <w:rsid w:val="00D023F3"/>
    <w:rsid w:val="00D25FD2"/>
    <w:rsid w:val="00D3439C"/>
    <w:rsid w:val="00D406B1"/>
    <w:rsid w:val="00D44CF3"/>
    <w:rsid w:val="00D46C8C"/>
    <w:rsid w:val="00D573C5"/>
    <w:rsid w:val="00DA572D"/>
    <w:rsid w:val="00DB1831"/>
    <w:rsid w:val="00DB69DB"/>
    <w:rsid w:val="00DC0041"/>
    <w:rsid w:val="00DD01E3"/>
    <w:rsid w:val="00DD3BFD"/>
    <w:rsid w:val="00DE239D"/>
    <w:rsid w:val="00DE692C"/>
    <w:rsid w:val="00DF431C"/>
    <w:rsid w:val="00DF5578"/>
    <w:rsid w:val="00DF6678"/>
    <w:rsid w:val="00E05E84"/>
    <w:rsid w:val="00E300C2"/>
    <w:rsid w:val="00E35D8A"/>
    <w:rsid w:val="00E368F7"/>
    <w:rsid w:val="00E428C8"/>
    <w:rsid w:val="00E42D21"/>
    <w:rsid w:val="00E51877"/>
    <w:rsid w:val="00E77756"/>
    <w:rsid w:val="00E935E1"/>
    <w:rsid w:val="00EA1EE1"/>
    <w:rsid w:val="00EA55C0"/>
    <w:rsid w:val="00EB4C96"/>
    <w:rsid w:val="00EC031B"/>
    <w:rsid w:val="00EC1F49"/>
    <w:rsid w:val="00EC28B3"/>
    <w:rsid w:val="00ED7052"/>
    <w:rsid w:val="00EF2E22"/>
    <w:rsid w:val="00EF69C8"/>
    <w:rsid w:val="00F0592C"/>
    <w:rsid w:val="00F06ED4"/>
    <w:rsid w:val="00F249CD"/>
    <w:rsid w:val="00F43289"/>
    <w:rsid w:val="00F56D26"/>
    <w:rsid w:val="00F57CA9"/>
    <w:rsid w:val="00F660DF"/>
    <w:rsid w:val="00F7341C"/>
    <w:rsid w:val="00F80E54"/>
    <w:rsid w:val="00F95C08"/>
    <w:rsid w:val="00FB15E1"/>
    <w:rsid w:val="00FB2140"/>
    <w:rsid w:val="00FB62E4"/>
    <w:rsid w:val="00FB6307"/>
    <w:rsid w:val="00FD1581"/>
    <w:rsid w:val="00FD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3E428"/>
  <w15:docId w15:val="{17E7ECC0-5E7C-4CD6-AB1F-AECE2F6B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F7"/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8068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DF6678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706363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706363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01207F"/>
  </w:style>
  <w:style w:type="character" w:customStyle="1" w:styleId="HChGChar">
    <w:name w:val="_ H _Ch_G Char"/>
    <w:link w:val="HChG"/>
    <w:rsid w:val="0001207F"/>
    <w:rPr>
      <w:b/>
      <w:sz w:val="28"/>
    </w:rPr>
  </w:style>
  <w:style w:type="character" w:styleId="Marquedecommentaire">
    <w:name w:val="annotation reference"/>
    <w:basedOn w:val="Policepardfaut"/>
    <w:uiPriority w:val="99"/>
    <w:unhideWhenUsed/>
    <w:rsid w:val="006B5D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5D8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6B5D8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5D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5D82"/>
    <w:rPr>
      <w:b/>
      <w:bCs/>
    </w:rPr>
  </w:style>
  <w:style w:type="paragraph" w:styleId="Rvision">
    <w:name w:val="Revision"/>
    <w:hidden/>
    <w:uiPriority w:val="99"/>
    <w:semiHidden/>
    <w:rsid w:val="00BB73BB"/>
    <w:pPr>
      <w:spacing w:line="240" w:lineRule="auto"/>
    </w:pPr>
  </w:style>
  <w:style w:type="character" w:customStyle="1" w:styleId="H1GChar">
    <w:name w:val="_ H_1_G Char"/>
    <w:link w:val="H1G"/>
    <w:qFormat/>
    <w:rsid w:val="00431D5E"/>
    <w:rPr>
      <w:b/>
      <w:sz w:val="24"/>
    </w:rPr>
  </w:style>
  <w:style w:type="character" w:customStyle="1" w:styleId="preferred">
    <w:name w:val="preferred"/>
    <w:basedOn w:val="Policepardfaut"/>
    <w:rsid w:val="0001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sion\United%20Nations\UNOG_DCM-Macros%20-%20UNECE\Templates\TRANS\TRANS_WP1_24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9165D0ED-4C90-4385-B3CC-43FC7F435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07320-C528-4032-AB5A-73B861CDA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6CC2C-DA17-47DC-82E3-C531E7437C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C14563-ACB7-44AD-B0EF-E55148CFDD3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TRANS_WP1_24_F.dotm</Template>
  <TotalTime>2</TotalTime>
  <Pages>10</Pages>
  <Words>2934</Words>
  <Characters>19076</Characters>
  <Application>Microsoft Office Word</Application>
  <DocSecurity>0</DocSecurity>
  <Lines>1907</Lines>
  <Paragraphs>1294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ECE/EX/22</vt:lpstr>
      <vt:lpstr>ECE/EX/22</vt:lpstr>
    </vt:vector>
  </TitlesOfParts>
  <Company>DCM</Company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ECE/TRANS/WP.15/265/Add.1</dc:title>
  <dc:subject>FINAL</dc:subject>
  <dc:creator>Sabrina Mansion</dc:creator>
  <cp:keywords/>
  <dc:description/>
  <cp:lastModifiedBy>Maud Dariche</cp:lastModifiedBy>
  <cp:revision>4</cp:revision>
  <cp:lastPrinted>2024-05-20T07:20:00Z</cp:lastPrinted>
  <dcterms:created xsi:type="dcterms:W3CDTF">2024-05-20T07:20:00Z</dcterms:created>
  <dcterms:modified xsi:type="dcterms:W3CDTF">2024-05-20T07:25:00Z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