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44B5AD6" w14:textId="77777777" w:rsidTr="00B20551">
        <w:trPr>
          <w:cantSplit/>
          <w:trHeight w:hRule="exact" w:val="851"/>
        </w:trPr>
        <w:tc>
          <w:tcPr>
            <w:tcW w:w="1276" w:type="dxa"/>
            <w:tcBorders>
              <w:bottom w:val="single" w:sz="4" w:space="0" w:color="auto"/>
            </w:tcBorders>
            <w:vAlign w:val="bottom"/>
          </w:tcPr>
          <w:p w14:paraId="6F269ADF" w14:textId="77777777" w:rsidR="009E6CB7" w:rsidRDefault="009E6CB7" w:rsidP="00B20551">
            <w:pPr>
              <w:spacing w:after="80"/>
            </w:pPr>
          </w:p>
        </w:tc>
        <w:tc>
          <w:tcPr>
            <w:tcW w:w="2268" w:type="dxa"/>
            <w:tcBorders>
              <w:bottom w:val="single" w:sz="4" w:space="0" w:color="auto"/>
            </w:tcBorders>
            <w:vAlign w:val="bottom"/>
          </w:tcPr>
          <w:p w14:paraId="37105D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9F19770" w14:textId="76B4D9A8" w:rsidR="009E6CB7" w:rsidRPr="00D47EEA" w:rsidRDefault="00BE16A0" w:rsidP="00BE16A0">
            <w:pPr>
              <w:jc w:val="right"/>
            </w:pPr>
            <w:r w:rsidRPr="00BE16A0">
              <w:rPr>
                <w:sz w:val="40"/>
              </w:rPr>
              <w:t>ECE</w:t>
            </w:r>
            <w:r>
              <w:t>/TRANS/WP.15/265/Add.1</w:t>
            </w:r>
          </w:p>
        </w:tc>
      </w:tr>
      <w:tr w:rsidR="009E6CB7" w14:paraId="30F19712" w14:textId="77777777" w:rsidTr="00B20551">
        <w:trPr>
          <w:cantSplit/>
          <w:trHeight w:hRule="exact" w:val="2835"/>
        </w:trPr>
        <w:tc>
          <w:tcPr>
            <w:tcW w:w="1276" w:type="dxa"/>
            <w:tcBorders>
              <w:top w:val="single" w:sz="4" w:space="0" w:color="auto"/>
              <w:bottom w:val="single" w:sz="12" w:space="0" w:color="auto"/>
            </w:tcBorders>
          </w:tcPr>
          <w:p w14:paraId="29E89198" w14:textId="77777777" w:rsidR="009E6CB7" w:rsidRDefault="00686A48" w:rsidP="00B20551">
            <w:pPr>
              <w:spacing w:before="120"/>
            </w:pPr>
            <w:r>
              <w:rPr>
                <w:noProof/>
                <w:lang w:val="fr-CH" w:eastAsia="fr-CH"/>
              </w:rPr>
              <w:drawing>
                <wp:inline distT="0" distB="0" distL="0" distR="0" wp14:anchorId="2DCB72EB" wp14:editId="7104631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26437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A4E2BFA" w14:textId="77777777" w:rsidR="009E6CB7" w:rsidRDefault="00BE16A0" w:rsidP="00BE16A0">
            <w:pPr>
              <w:spacing w:before="240" w:line="240" w:lineRule="exact"/>
            </w:pPr>
            <w:r>
              <w:t>Distr.: General</w:t>
            </w:r>
          </w:p>
          <w:p w14:paraId="21A4C713" w14:textId="6E7867AC" w:rsidR="00BE16A0" w:rsidRDefault="002203BD" w:rsidP="00BE16A0">
            <w:pPr>
              <w:spacing w:line="240" w:lineRule="exact"/>
            </w:pPr>
            <w:r>
              <w:t>16</w:t>
            </w:r>
            <w:r w:rsidR="00BE16A0">
              <w:t xml:space="preserve"> May 2024</w:t>
            </w:r>
          </w:p>
          <w:p w14:paraId="4E29D87B" w14:textId="299087E3" w:rsidR="00BE16A0" w:rsidRDefault="00BE16A0" w:rsidP="00BE16A0">
            <w:pPr>
              <w:spacing w:line="240" w:lineRule="exact"/>
            </w:pPr>
            <w:r>
              <w:t>English</w:t>
            </w:r>
          </w:p>
          <w:p w14:paraId="08F8195C" w14:textId="38779747" w:rsidR="00BE16A0" w:rsidRDefault="00BE16A0" w:rsidP="00BE16A0">
            <w:pPr>
              <w:spacing w:line="240" w:lineRule="exact"/>
            </w:pPr>
            <w:r>
              <w:t>Original: English and French</w:t>
            </w:r>
          </w:p>
        </w:tc>
      </w:tr>
    </w:tbl>
    <w:p w14:paraId="016B2BC1" w14:textId="77777777" w:rsidR="00D869D7" w:rsidRPr="003A4E5F" w:rsidRDefault="00D869D7" w:rsidP="00D869D7">
      <w:pPr>
        <w:spacing w:before="120"/>
        <w:rPr>
          <w:b/>
          <w:sz w:val="28"/>
          <w:szCs w:val="28"/>
        </w:rPr>
      </w:pPr>
      <w:r w:rsidRPr="003A4E5F">
        <w:rPr>
          <w:b/>
          <w:sz w:val="28"/>
          <w:szCs w:val="28"/>
        </w:rPr>
        <w:t>Economic Commission for Europe</w:t>
      </w:r>
    </w:p>
    <w:p w14:paraId="077A4A22" w14:textId="77777777" w:rsidR="00D869D7" w:rsidRPr="003A4E5F" w:rsidRDefault="00D869D7" w:rsidP="00D869D7">
      <w:pPr>
        <w:spacing w:before="120"/>
        <w:rPr>
          <w:sz w:val="28"/>
          <w:szCs w:val="28"/>
        </w:rPr>
      </w:pPr>
      <w:r w:rsidRPr="003A4E5F">
        <w:rPr>
          <w:sz w:val="28"/>
          <w:szCs w:val="28"/>
        </w:rPr>
        <w:t>Inland Transport Committee</w:t>
      </w:r>
    </w:p>
    <w:p w14:paraId="797AA49C" w14:textId="77777777" w:rsidR="00D869D7" w:rsidRPr="003A4E5F" w:rsidRDefault="00D869D7" w:rsidP="00D869D7">
      <w:pPr>
        <w:spacing w:before="120"/>
        <w:rPr>
          <w:b/>
          <w:sz w:val="24"/>
          <w:szCs w:val="24"/>
        </w:rPr>
      </w:pPr>
      <w:r w:rsidRPr="003A4E5F">
        <w:rPr>
          <w:b/>
          <w:sz w:val="24"/>
          <w:szCs w:val="24"/>
        </w:rPr>
        <w:t>Working Party on the Transport of Dangerous Goods</w:t>
      </w:r>
    </w:p>
    <w:p w14:paraId="7109EB18" w14:textId="77777777" w:rsidR="00D869D7" w:rsidRPr="003A4E5F" w:rsidRDefault="00D869D7" w:rsidP="00D869D7">
      <w:pPr>
        <w:pStyle w:val="HChG"/>
        <w:rPr>
          <w:bCs/>
        </w:rPr>
      </w:pPr>
      <w:r w:rsidRPr="003A4E5F">
        <w:tab/>
      </w:r>
      <w:r w:rsidRPr="003A4E5F">
        <w:tab/>
      </w:r>
      <w:r w:rsidRPr="003A4E5F">
        <w:rPr>
          <w:bCs/>
        </w:rPr>
        <w:t>Agreement concerning the International Carriage of Dangerous Goods by Road (ADR)</w:t>
      </w:r>
    </w:p>
    <w:p w14:paraId="248CE80A" w14:textId="77777777" w:rsidR="00D869D7" w:rsidRPr="003A4E5F" w:rsidRDefault="00D869D7" w:rsidP="00D869D7">
      <w:pPr>
        <w:pStyle w:val="H1G"/>
      </w:pPr>
      <w:r w:rsidRPr="003A4E5F">
        <w:tab/>
      </w:r>
      <w:r w:rsidRPr="003A4E5F">
        <w:tab/>
        <w:t>Draft amendments to annexes A and B of ADR</w:t>
      </w:r>
    </w:p>
    <w:p w14:paraId="2864DC30" w14:textId="77777777" w:rsidR="0089340A" w:rsidRPr="00111F90" w:rsidRDefault="0089340A" w:rsidP="0089340A">
      <w:pPr>
        <w:keepNext/>
        <w:keepLines/>
        <w:tabs>
          <w:tab w:val="right" w:pos="851"/>
        </w:tabs>
        <w:spacing w:before="240" w:after="120" w:line="240" w:lineRule="exact"/>
        <w:ind w:left="1134" w:right="1134" w:hanging="1134"/>
        <w:rPr>
          <w:b/>
          <w:lang w:eastAsia="en-US"/>
        </w:rPr>
      </w:pPr>
      <w:r w:rsidRPr="00111F90">
        <w:rPr>
          <w:b/>
          <w:lang w:eastAsia="en-US"/>
        </w:rPr>
        <w:tab/>
      </w:r>
      <w:r w:rsidRPr="00111F90">
        <w:rPr>
          <w:b/>
          <w:lang w:eastAsia="en-US"/>
        </w:rPr>
        <w:tab/>
        <w:t>Addendum</w:t>
      </w:r>
    </w:p>
    <w:p w14:paraId="405FD8DB" w14:textId="133428A2" w:rsidR="0089340A" w:rsidRPr="00111F90" w:rsidRDefault="0089340A" w:rsidP="0089340A">
      <w:pPr>
        <w:spacing w:after="120"/>
        <w:ind w:left="1134" w:right="1134" w:firstLine="567"/>
        <w:jc w:val="both"/>
        <w:rPr>
          <w:lang w:eastAsia="en-US"/>
        </w:rPr>
      </w:pPr>
      <w:r w:rsidRPr="00111F90">
        <w:rPr>
          <w:lang w:eastAsia="en-US"/>
        </w:rPr>
        <w:t>At its 11</w:t>
      </w:r>
      <w:r w:rsidR="00B27FAE">
        <w:rPr>
          <w:lang w:eastAsia="en-US"/>
        </w:rPr>
        <w:t>5</w:t>
      </w:r>
      <w:r w:rsidR="00B356EA">
        <w:rPr>
          <w:lang w:eastAsia="en-US"/>
        </w:rPr>
        <w:t>th</w:t>
      </w:r>
      <w:r w:rsidRPr="00111F90">
        <w:rPr>
          <w:lang w:eastAsia="en-US"/>
        </w:rPr>
        <w:t xml:space="preserve"> session, the Working Party on the Transport of Dangerous Goods requested the secretariat to circulate an additional list of amendments for which the entry into force is scheduled for 1 January </w:t>
      </w:r>
      <w:r w:rsidR="006C2F7D">
        <w:rPr>
          <w:lang w:eastAsia="en-US"/>
        </w:rPr>
        <w:t>2025</w:t>
      </w:r>
      <w:r w:rsidR="006C2F7D" w:rsidRPr="00111F90">
        <w:rPr>
          <w:lang w:eastAsia="en-US"/>
        </w:rPr>
        <w:t xml:space="preserve"> </w:t>
      </w:r>
      <w:r w:rsidRPr="00111F90">
        <w:rPr>
          <w:lang w:eastAsia="en-US"/>
        </w:rPr>
        <w:t>in the form of an addendum to document ECE/TRANS/WP.15/</w:t>
      </w:r>
      <w:r w:rsidR="00F6231D">
        <w:rPr>
          <w:lang w:eastAsia="en-US"/>
        </w:rPr>
        <w:t>2</w:t>
      </w:r>
      <w:r w:rsidR="00075640">
        <w:rPr>
          <w:lang w:eastAsia="en-US"/>
        </w:rPr>
        <w:t>65</w:t>
      </w:r>
      <w:r w:rsidRPr="00111F90">
        <w:rPr>
          <w:lang w:eastAsia="en-US"/>
        </w:rPr>
        <w:t>, which the Chairperson will transmit to Contracting Parties through his Government for acceptance in accordance with the procedure set out in article 14 of ADR (see ECE/TRANS/WP.15/2</w:t>
      </w:r>
      <w:r w:rsidR="00075640">
        <w:rPr>
          <w:lang w:eastAsia="en-US"/>
        </w:rPr>
        <w:t>67</w:t>
      </w:r>
      <w:r w:rsidRPr="00111F90">
        <w:rPr>
          <w:lang w:eastAsia="en-US"/>
        </w:rPr>
        <w:t xml:space="preserve">, paragraph </w:t>
      </w:r>
      <w:r w:rsidR="00075640">
        <w:rPr>
          <w:lang w:eastAsia="en-US"/>
        </w:rPr>
        <w:t>72</w:t>
      </w:r>
      <w:r w:rsidRPr="00111F90">
        <w:rPr>
          <w:lang w:eastAsia="en-US"/>
        </w:rPr>
        <w:t>).</w:t>
      </w:r>
    </w:p>
    <w:p w14:paraId="380F24F9" w14:textId="541843DC" w:rsidR="0089340A" w:rsidRPr="00111F90" w:rsidRDefault="0089340A" w:rsidP="0089340A">
      <w:pPr>
        <w:spacing w:after="120"/>
        <w:ind w:left="1134" w:right="1134"/>
        <w:jc w:val="both"/>
        <w:rPr>
          <w:lang w:eastAsia="en-US"/>
        </w:rPr>
      </w:pPr>
      <w:r>
        <w:rPr>
          <w:lang w:eastAsia="en-US"/>
        </w:rPr>
        <w:tab/>
      </w:r>
      <w:r w:rsidRPr="00111F90">
        <w:rPr>
          <w:lang w:eastAsia="en-US"/>
        </w:rPr>
        <w:tab/>
        <w:t>This document contains the requested additional list of amendments adopted by the Working Party at its 11</w:t>
      </w:r>
      <w:r w:rsidR="00075640">
        <w:rPr>
          <w:lang w:eastAsia="en-US"/>
        </w:rPr>
        <w:t>5</w:t>
      </w:r>
      <w:r w:rsidR="00B356EA">
        <w:rPr>
          <w:lang w:eastAsia="en-US"/>
        </w:rPr>
        <w:t>th</w:t>
      </w:r>
      <w:r w:rsidR="00075640">
        <w:rPr>
          <w:lang w:eastAsia="en-US"/>
        </w:rPr>
        <w:t xml:space="preserve"> </w:t>
      </w:r>
      <w:r w:rsidRPr="00111F90">
        <w:rPr>
          <w:lang w:eastAsia="en-US"/>
        </w:rPr>
        <w:t>session.</w:t>
      </w:r>
    </w:p>
    <w:p w14:paraId="555F747C" w14:textId="68AA38B3" w:rsidR="00DC5D97" w:rsidRDefault="00DC5D97">
      <w:r>
        <w:br w:type="page"/>
      </w:r>
    </w:p>
    <w:p w14:paraId="6318692A" w14:textId="77777777" w:rsidR="0051660D" w:rsidRPr="00625218" w:rsidRDefault="0051660D" w:rsidP="0051660D">
      <w:pPr>
        <w:pStyle w:val="H1G"/>
      </w:pPr>
      <w:r w:rsidRPr="00625218">
        <w:lastRenderedPageBreak/>
        <w:tab/>
      </w:r>
      <w:r w:rsidRPr="00625218">
        <w:tab/>
        <w:t>Chapter 1.1</w:t>
      </w:r>
    </w:p>
    <w:p w14:paraId="3A874EBE"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1.1.3.7</w:t>
      </w:r>
      <w:r w:rsidRPr="00625218">
        <w:rPr>
          <w:bCs/>
        </w:rPr>
        <w:tab/>
        <w:t>The amendment to sub-paragraph (b) in the French version does not apply to the English text.</w:t>
      </w:r>
    </w:p>
    <w:p w14:paraId="73E4AABC" w14:textId="77777777" w:rsidR="0051660D" w:rsidRPr="00625218" w:rsidRDefault="0051660D" w:rsidP="0051660D">
      <w:pPr>
        <w:pStyle w:val="H1G"/>
      </w:pPr>
      <w:r w:rsidRPr="00625218">
        <w:tab/>
      </w:r>
      <w:r w:rsidRPr="00625218">
        <w:tab/>
        <w:t>Chapter 1.2</w:t>
      </w:r>
    </w:p>
    <w:p w14:paraId="2676D4BA"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1.2.1</w:t>
      </w:r>
      <w:r w:rsidRPr="00625218">
        <w:rPr>
          <w:bCs/>
        </w:rPr>
        <w:tab/>
        <w:t>The amendment in the French version does not apply to the English text.</w:t>
      </w:r>
    </w:p>
    <w:p w14:paraId="37CBA2BC"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1.2.2.1</w:t>
      </w:r>
      <w:r w:rsidRPr="00625218">
        <w:rPr>
          <w:bCs/>
        </w:rPr>
        <w:tab/>
        <w:t>In the table, in the row for “Mass”, in the third column, replace “t (ton)” by “t (tonne)”.</w:t>
      </w:r>
    </w:p>
    <w:p w14:paraId="1A2EE4DC" w14:textId="77777777" w:rsidR="0051660D" w:rsidRPr="00625218" w:rsidRDefault="0051660D" w:rsidP="0051660D">
      <w:pPr>
        <w:pStyle w:val="H1G"/>
      </w:pPr>
      <w:r w:rsidRPr="00625218">
        <w:tab/>
      </w:r>
      <w:r w:rsidRPr="00625218">
        <w:tab/>
        <w:t>Chapter 1.4</w:t>
      </w:r>
    </w:p>
    <w:p w14:paraId="140E883E"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1.4.2.1.1</w:t>
      </w:r>
      <w:r w:rsidRPr="00625218">
        <w:rPr>
          <w:bCs/>
        </w:rPr>
        <w:tab/>
        <w:t>At the end of sub-paragraph (e), replace the full stop by a</w:t>
      </w:r>
      <w:r w:rsidRPr="001F65FE">
        <w:rPr>
          <w:bCs/>
        </w:rPr>
        <w:t xml:space="preserve"> </w:t>
      </w:r>
      <w:r w:rsidRPr="00625218">
        <w:rPr>
          <w:bCs/>
        </w:rPr>
        <w:t>semicolon.</w:t>
      </w:r>
    </w:p>
    <w:p w14:paraId="0C8D6E78" w14:textId="77777777" w:rsidR="0051660D" w:rsidRPr="00625218" w:rsidRDefault="0051660D" w:rsidP="0051660D">
      <w:pPr>
        <w:pStyle w:val="SingleTxtG"/>
        <w:tabs>
          <w:tab w:val="clear" w:pos="1701"/>
          <w:tab w:val="clear" w:pos="2268"/>
          <w:tab w:val="clear" w:pos="2835"/>
        </w:tabs>
        <w:ind w:left="2268" w:hanging="1134"/>
      </w:pPr>
      <w:r>
        <w:tab/>
      </w:r>
      <w:r w:rsidRPr="00625218">
        <w:t>Add the following new sub-paragraph (f):</w:t>
      </w:r>
    </w:p>
    <w:p w14:paraId="28D3B10F" w14:textId="77777777" w:rsidR="0051660D" w:rsidRPr="00625218" w:rsidRDefault="0051660D" w:rsidP="0051660D">
      <w:pPr>
        <w:pStyle w:val="SingleTxtG"/>
        <w:tabs>
          <w:tab w:val="clear" w:pos="1701"/>
          <w:tab w:val="clear" w:pos="2268"/>
          <w:tab w:val="clear" w:pos="2835"/>
        </w:tabs>
        <w:ind w:left="2268" w:hanging="1134"/>
      </w:pPr>
      <w:r w:rsidRPr="00625218">
        <w:t>“(f)</w:t>
      </w:r>
      <w:r w:rsidRPr="00625218">
        <w:tab/>
        <w:t xml:space="preserve">In the case of tank-containers and portable tanks carrying refrigerated liquefied gases ensure that the actual holding time </w:t>
      </w:r>
      <w:r w:rsidRPr="00BE047D">
        <w:rPr>
          <w:bCs/>
        </w:rPr>
        <w:t>is</w:t>
      </w:r>
      <w:r w:rsidRPr="00625218">
        <w:t xml:space="preserve"> determined if applicable or, in the case of empty, uncleaned tank-containers and portable tanks, ensure that the pressure is sufficiently reduced.”</w:t>
      </w:r>
    </w:p>
    <w:p w14:paraId="5C3C6084" w14:textId="77777777" w:rsidR="0051660D" w:rsidRPr="00625218" w:rsidRDefault="0051660D" w:rsidP="0051660D">
      <w:pPr>
        <w:pStyle w:val="H1G"/>
      </w:pPr>
      <w:r w:rsidRPr="00625218">
        <w:tab/>
      </w:r>
      <w:r w:rsidRPr="00625218">
        <w:tab/>
        <w:t>Chapter 1.6</w:t>
      </w:r>
    </w:p>
    <w:p w14:paraId="134FA084"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1.6.1.51</w:t>
      </w:r>
      <w:r w:rsidRPr="00625218">
        <w:rPr>
          <w:bCs/>
        </w:rPr>
        <w:tab/>
        <w:t>In the paragraph after the three indents, replace “30 June 2025” by “30 June 2027”.</w:t>
      </w:r>
    </w:p>
    <w:p w14:paraId="70CDA564"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1.6.4</w:t>
      </w:r>
      <w:r w:rsidRPr="00625218">
        <w:rPr>
          <w:bCs/>
        </w:rPr>
        <w:tab/>
      </w:r>
      <w:r w:rsidRPr="0038459B">
        <w:t>Add the following new transitional measure</w:t>
      </w:r>
      <w:r w:rsidRPr="00625218">
        <w:rPr>
          <w:bCs/>
        </w:rPr>
        <w:t>:</w:t>
      </w:r>
    </w:p>
    <w:p w14:paraId="1C4EEB6F"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“1.6.4.66</w:t>
      </w:r>
      <w:r w:rsidRPr="00625218">
        <w:rPr>
          <w:bCs/>
        </w:rPr>
        <w:tab/>
        <w:t>Portable tanks constructed before 1 January 2027 in accordance with the requirements in force up to 31 December 2024, but which do not, however, conform to the requirements of 6.7.4.15.1 (</w:t>
      </w:r>
      <w:proofErr w:type="spellStart"/>
      <w:r w:rsidRPr="00625218">
        <w:rPr>
          <w:bCs/>
        </w:rPr>
        <w:t>i</w:t>
      </w:r>
      <w:proofErr w:type="spellEnd"/>
      <w:r w:rsidRPr="00625218">
        <w:rPr>
          <w:bCs/>
        </w:rPr>
        <w:t>) (iv) applicable as from 1 January 2025 may continue to be used.”</w:t>
      </w:r>
    </w:p>
    <w:p w14:paraId="1AAACFC7" w14:textId="77777777" w:rsidR="0051660D" w:rsidRPr="0038459B" w:rsidRDefault="0051660D" w:rsidP="0051660D">
      <w:pPr>
        <w:pStyle w:val="SingleTxtG"/>
        <w:tabs>
          <w:tab w:val="clear" w:pos="1701"/>
          <w:tab w:val="clear" w:pos="2268"/>
          <w:tab w:val="clear" w:pos="2835"/>
        </w:tabs>
        <w:ind w:left="2268" w:hanging="1134"/>
      </w:pPr>
      <w:r w:rsidRPr="0038459B">
        <w:t>1.6.5.4</w:t>
      </w:r>
      <w:r w:rsidRPr="0038459B">
        <w:tab/>
        <w:t>Replace “</w:t>
      </w:r>
      <w:r w:rsidRPr="0038459B">
        <w:rPr>
          <w:i/>
          <w:iCs/>
        </w:rPr>
        <w:t>(Reserved)</w:t>
      </w:r>
      <w:r w:rsidRPr="0038459B">
        <w:t>” by “As regards the construction of AT vehicles, the requirements of Part 9 in force up to 31 December 2024 may be applied until 31 December 2026.”.</w:t>
      </w:r>
    </w:p>
    <w:p w14:paraId="25F1BF97" w14:textId="77777777" w:rsidR="0051660D" w:rsidRPr="0038459B" w:rsidRDefault="0051660D" w:rsidP="0051660D">
      <w:pPr>
        <w:pStyle w:val="SingleTxtG"/>
        <w:tabs>
          <w:tab w:val="clear" w:pos="1701"/>
          <w:tab w:val="clear" w:pos="2268"/>
          <w:tab w:val="clear" w:pos="2835"/>
        </w:tabs>
        <w:ind w:left="2268" w:hanging="1134"/>
      </w:pPr>
      <w:r w:rsidRPr="0038459B">
        <w:t>1.6.5</w:t>
      </w:r>
      <w:r w:rsidRPr="0038459B">
        <w:tab/>
        <w:t>Add the following new transitional measure</w:t>
      </w:r>
      <w:r>
        <w:t>s</w:t>
      </w:r>
      <w:r w:rsidRPr="0038459B">
        <w:t>:</w:t>
      </w:r>
    </w:p>
    <w:p w14:paraId="464FC378" w14:textId="77777777" w:rsidR="0051660D" w:rsidRDefault="0051660D" w:rsidP="0051660D">
      <w:pPr>
        <w:pStyle w:val="SingleTxtG"/>
        <w:tabs>
          <w:tab w:val="clear" w:pos="1701"/>
          <w:tab w:val="clear" w:pos="2268"/>
          <w:tab w:val="clear" w:pos="2835"/>
        </w:tabs>
        <w:ind w:left="2268" w:hanging="1134"/>
      </w:pPr>
      <w:r w:rsidRPr="000764C4">
        <w:t>“1.6.5.</w:t>
      </w:r>
      <w:r>
        <w:t>26</w:t>
      </w:r>
      <w:r w:rsidRPr="000764C4">
        <w:tab/>
        <w:t xml:space="preserve">Vehicles first registered (or which entered into service if registration is not mandatory) before </w:t>
      </w:r>
      <w:r w:rsidRPr="0038459B">
        <w:t>1 January 2027</w:t>
      </w:r>
      <w:r w:rsidRPr="000764C4">
        <w:t>, approved as AT vehicle not in compliance with the provisions of 9.2.4.2 concerning fuel tanks may continue to be used.”</w:t>
      </w:r>
    </w:p>
    <w:p w14:paraId="7D0AB499" w14:textId="77777777" w:rsidR="0051660D" w:rsidRDefault="0051660D" w:rsidP="0051660D">
      <w:pPr>
        <w:pStyle w:val="SingleTxtG"/>
        <w:tabs>
          <w:tab w:val="clear" w:pos="1701"/>
          <w:tab w:val="clear" w:pos="2268"/>
          <w:tab w:val="clear" w:pos="2835"/>
        </w:tabs>
        <w:ind w:left="2268" w:hanging="1134"/>
      </w:pPr>
      <w:r w:rsidRPr="000764C4">
        <w:t>“1.6.5.</w:t>
      </w:r>
      <w:r>
        <w:t>27</w:t>
      </w:r>
      <w:r w:rsidRPr="000764C4">
        <w:tab/>
        <w:t xml:space="preserve">Vehicles first registered (or which entered into service if registration is not mandatory) before </w:t>
      </w:r>
      <w:r w:rsidRPr="0038459B">
        <w:t>1 January 2027</w:t>
      </w:r>
      <w:r w:rsidRPr="000764C4">
        <w:t xml:space="preserve">, approved as AT vehicle not in compliance with the provisions of 9.2.4.4.2 concerning the evaluation of the </w:t>
      </w:r>
      <w:r>
        <w:t>r</w:t>
      </w:r>
      <w:r w:rsidRPr="00EB1E07">
        <w:t>echargeable electrical energy storage system</w:t>
      </w:r>
      <w:r w:rsidRPr="000764C4">
        <w:t xml:space="preserve"> may continue to be used.”</w:t>
      </w:r>
    </w:p>
    <w:p w14:paraId="1EBF41E7" w14:textId="77777777" w:rsidR="0051660D" w:rsidRPr="0038459B" w:rsidRDefault="0051660D" w:rsidP="0051660D">
      <w:pPr>
        <w:pStyle w:val="SingleTxtG"/>
        <w:tabs>
          <w:tab w:val="clear" w:pos="1701"/>
          <w:tab w:val="clear" w:pos="2268"/>
          <w:tab w:val="clear" w:pos="2835"/>
        </w:tabs>
        <w:ind w:left="2268" w:hanging="1134"/>
      </w:pPr>
      <w:r w:rsidRPr="0038459B">
        <w:t>“1.6.5.28</w:t>
      </w:r>
      <w:r w:rsidRPr="0038459B">
        <w:tab/>
        <w:t>Vehicles first registered (or which entered into service if registration is not mandatory) before 1 January 2027, approved as AT vehicles, not in compliance with the provisions of 9.2.4.3.1 concerning engines, may continue to be used.”</w:t>
      </w:r>
    </w:p>
    <w:p w14:paraId="2A4FF92F" w14:textId="77777777" w:rsidR="0051660D" w:rsidRPr="00625218" w:rsidRDefault="0051660D" w:rsidP="0051660D">
      <w:pPr>
        <w:pStyle w:val="H1G"/>
      </w:pPr>
      <w:r w:rsidRPr="00625218">
        <w:tab/>
      </w:r>
      <w:r w:rsidRPr="00625218">
        <w:tab/>
        <w:t>Chapter 1.8</w:t>
      </w:r>
    </w:p>
    <w:p w14:paraId="591757BD" w14:textId="77777777" w:rsidR="0051660D" w:rsidRPr="00625218" w:rsidRDefault="0051660D" w:rsidP="0051660D">
      <w:pPr>
        <w:pStyle w:val="SingleTxtG"/>
        <w:tabs>
          <w:tab w:val="clear" w:pos="1701"/>
          <w:tab w:val="clear" w:pos="2268"/>
          <w:tab w:val="clear" w:pos="2835"/>
        </w:tabs>
        <w:ind w:left="2268" w:hanging="1134"/>
      </w:pPr>
      <w:r w:rsidRPr="00625218">
        <w:rPr>
          <w:bCs/>
        </w:rPr>
        <w:t>1.8.6.2.1</w:t>
      </w:r>
      <w:r w:rsidRPr="00625218">
        <w:rPr>
          <w:bCs/>
        </w:rPr>
        <w:tab/>
      </w:r>
      <w:r w:rsidRPr="00625218">
        <w:t>Amend the last paragraph to read:</w:t>
      </w:r>
    </w:p>
    <w:p w14:paraId="6F8DDB6D" w14:textId="77777777" w:rsidR="0051660D" w:rsidRPr="00625218" w:rsidRDefault="0051660D" w:rsidP="0051660D">
      <w:pPr>
        <w:pStyle w:val="SingleTxtG"/>
      </w:pPr>
      <w:r w:rsidRPr="00625218">
        <w:t xml:space="preserve">“When the competent authority performs the tasks of the inspection body itself, the competent authority shall comply with the provisions of 1.8.6.3. However, when a competent authority designates an inspection body to act as the competent authority the designated body </w:t>
      </w:r>
      <w:r w:rsidRPr="00625218">
        <w:lastRenderedPageBreak/>
        <w:t>shall be accredited according to the standard EN ISO/IEC 17020:2012 (except clause 8.1.3) type A.”</w:t>
      </w:r>
    </w:p>
    <w:p w14:paraId="3027E8C6" w14:textId="77777777" w:rsidR="0051660D" w:rsidRPr="00625218" w:rsidRDefault="0051660D" w:rsidP="0051660D">
      <w:pPr>
        <w:pStyle w:val="SingleTxtG"/>
        <w:tabs>
          <w:tab w:val="clear" w:pos="1701"/>
          <w:tab w:val="clear" w:pos="2268"/>
          <w:tab w:val="clear" w:pos="2835"/>
        </w:tabs>
        <w:ind w:left="2268" w:hanging="1134"/>
      </w:pPr>
      <w:r w:rsidRPr="00625218">
        <w:t xml:space="preserve">1.8.6.3.1 </w:t>
      </w:r>
      <w:r w:rsidRPr="00625218">
        <w:tab/>
        <w:t>Amend the last sentence to read: “The requirements above are deemed to be met in the case of accreditation according to the standard EN ISO/IEC 17020:2012 (except clause 8.1.3).”</w:t>
      </w:r>
    </w:p>
    <w:p w14:paraId="0619B74B" w14:textId="77777777" w:rsidR="0051660D" w:rsidRPr="0038459B" w:rsidRDefault="0051660D" w:rsidP="0051660D">
      <w:pPr>
        <w:pStyle w:val="H1G"/>
      </w:pPr>
      <w:r w:rsidRPr="0038459B">
        <w:tab/>
      </w:r>
      <w:r w:rsidRPr="0038459B">
        <w:tab/>
        <w:t>Chapter 4.1</w:t>
      </w:r>
    </w:p>
    <w:p w14:paraId="2399770A"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4.1.4.1, P200</w:t>
      </w:r>
      <w:r w:rsidRPr="0075474C">
        <w:rPr>
          <w:lang w:eastAsia="en-US"/>
        </w:rPr>
        <w:tab/>
        <w:t>Throughout the packing instruction, including tables 1 to 3, place the footnotes directly below the packing instruction, on those pages on which they appear and renumber them sequentially, as (a) to (</w:t>
      </w:r>
      <w:proofErr w:type="spellStart"/>
      <w:r w:rsidRPr="0075474C">
        <w:rPr>
          <w:lang w:eastAsia="en-US"/>
        </w:rPr>
        <w:t>i</w:t>
      </w:r>
      <w:proofErr w:type="spellEnd"/>
      <w:r w:rsidRPr="0075474C">
        <w:rPr>
          <w:lang w:eastAsia="en-US"/>
        </w:rPr>
        <w:t>).</w:t>
      </w:r>
    </w:p>
    <w:p w14:paraId="5178765A"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(5) (b), under the first and second formulas, after “where”, add a colon and start a new line after that.</w:t>
      </w:r>
    </w:p>
    <w:p w14:paraId="15612B9F"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(5) (c), under the formula, after “where”, add a colon and start a new line after that.</w:t>
      </w:r>
    </w:p>
    <w:p w14:paraId="4BD32CD5"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(10) z, under the first formula, replace “in which” by “where:” and start a new line after that. Under the second formula, after “where”, add a colon and start a new line after that.</w:t>
      </w:r>
    </w:p>
    <w:p w14:paraId="7F6BB873"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(10) ab, renumber (</w:t>
      </w:r>
      <w:proofErr w:type="spellStart"/>
      <w:r w:rsidRPr="0075474C">
        <w:rPr>
          <w:lang w:eastAsia="en-US"/>
        </w:rPr>
        <w:t>i</w:t>
      </w:r>
      <w:proofErr w:type="spellEnd"/>
      <w:r w:rsidRPr="0075474C">
        <w:rPr>
          <w:lang w:eastAsia="en-US"/>
        </w:rPr>
        <w:t>) to (iii) as (a) to (c).</w:t>
      </w:r>
    </w:p>
    <w:p w14:paraId="62900225"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(10) ad, renumber (</w:t>
      </w:r>
      <w:proofErr w:type="spellStart"/>
      <w:r w:rsidRPr="0075474C">
        <w:rPr>
          <w:lang w:eastAsia="en-US"/>
        </w:rPr>
        <w:t>i</w:t>
      </w:r>
      <w:proofErr w:type="spellEnd"/>
      <w:r w:rsidRPr="0075474C">
        <w:rPr>
          <w:lang w:eastAsia="en-US"/>
        </w:rPr>
        <w:t>) and (ii) as (a) and (b) and renumber the list with dashes as (</w:t>
      </w:r>
      <w:proofErr w:type="spellStart"/>
      <w:r w:rsidRPr="0075474C">
        <w:rPr>
          <w:lang w:eastAsia="en-US"/>
        </w:rPr>
        <w:t>i</w:t>
      </w:r>
      <w:proofErr w:type="spellEnd"/>
      <w:r w:rsidRPr="0075474C">
        <w:rPr>
          <w:lang w:eastAsia="en-US"/>
        </w:rPr>
        <w:t>) and (ii).</w:t>
      </w:r>
    </w:p>
    <w:p w14:paraId="49AF34B6"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tab/>
        <w:t>In (11), at the end of the table, delete the row for standard “EN 14794:2005”.</w:t>
      </w:r>
    </w:p>
    <w:p w14:paraId="6185F9D7"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(13) 2.2, renumber the list with bullets as (a) to (e).</w:t>
      </w:r>
    </w:p>
    <w:p w14:paraId="6BCE9122" w14:textId="77777777" w:rsidR="0051660D" w:rsidRPr="0075474C" w:rsidRDefault="0051660D" w:rsidP="0051660D">
      <w:pPr>
        <w:pStyle w:val="SingleTxtG"/>
        <w:tabs>
          <w:tab w:val="clear" w:pos="1701"/>
          <w:tab w:val="clear" w:pos="2268"/>
          <w:tab w:val="clear" w:pos="2835"/>
        </w:tabs>
        <w:suppressAutoHyphens/>
        <w:ind w:left="2268" w:hanging="1134"/>
        <w:rPr>
          <w:lang w:eastAsia="en-US"/>
        </w:rPr>
      </w:pPr>
      <w:r w:rsidRPr="0075474C">
        <w:rPr>
          <w:lang w:eastAsia="en-US"/>
        </w:rPr>
        <w:tab/>
        <w:t>In (13) 2.3, renumber the list with bullets as (a) to (e) and renumber the list with dashes as (</w:t>
      </w:r>
      <w:proofErr w:type="spellStart"/>
      <w:r w:rsidRPr="0075474C">
        <w:rPr>
          <w:lang w:eastAsia="en-US"/>
        </w:rPr>
        <w:t>i</w:t>
      </w:r>
      <w:proofErr w:type="spellEnd"/>
      <w:r w:rsidRPr="0075474C">
        <w:rPr>
          <w:lang w:eastAsia="en-US"/>
        </w:rPr>
        <w:t>) and (ii).</w:t>
      </w:r>
    </w:p>
    <w:p w14:paraId="6EA2B1FF" w14:textId="77777777" w:rsidR="0051660D" w:rsidRPr="0075474C" w:rsidRDefault="0051660D" w:rsidP="0051660D">
      <w:pPr>
        <w:pStyle w:val="SingleTxtG"/>
        <w:ind w:left="2268"/>
      </w:pPr>
      <w:r w:rsidRPr="0075474C">
        <w:t xml:space="preserve">Below </w:t>
      </w:r>
      <w:r>
        <w:t>t</w:t>
      </w:r>
      <w:r w:rsidRPr="0075474C">
        <w:t xml:space="preserve">able 2, in the </w:t>
      </w:r>
      <w:r>
        <w:t xml:space="preserve">graph in the </w:t>
      </w:r>
      <w:r w:rsidRPr="0075474C">
        <w:t xml:space="preserve">footnote related to the filling ratio for UN No. 1965, </w:t>
      </w:r>
      <w:r>
        <w:t xml:space="preserve">as amended by </w:t>
      </w:r>
      <w:r w:rsidRPr="001769BE">
        <w:t>ECE/TRANS/WP.15/265</w:t>
      </w:r>
      <w:r w:rsidRPr="0075474C">
        <w:t>, insert the following new note:</w:t>
      </w:r>
    </w:p>
    <w:p w14:paraId="72936C29" w14:textId="77777777" w:rsidR="0051660D" w:rsidRPr="0038459B" w:rsidRDefault="0051660D" w:rsidP="0051660D">
      <w:pPr>
        <w:pStyle w:val="SingleTxtG"/>
        <w:tabs>
          <w:tab w:val="clear" w:pos="1701"/>
          <w:tab w:val="clear" w:pos="2268"/>
          <w:tab w:val="clear" w:pos="2835"/>
        </w:tabs>
        <w:suppressAutoHyphens/>
        <w:ind w:left="2268" w:hanging="1134"/>
        <w:rPr>
          <w:lang w:eastAsia="en-US"/>
        </w:rPr>
      </w:pPr>
      <w:r w:rsidRPr="0075474C">
        <w:rPr>
          <w:i/>
          <w:iCs/>
        </w:rPr>
        <w:t>“</w:t>
      </w:r>
      <w:r w:rsidRPr="0075474C">
        <w:rPr>
          <w:b/>
          <w:i/>
          <w:iCs/>
        </w:rPr>
        <w:t>NOTE:</w:t>
      </w:r>
      <w:r w:rsidRPr="0075474C">
        <w:rPr>
          <w:i/>
          <w:iCs/>
        </w:rPr>
        <w:tab/>
        <w:t> The graph above can be used to determine the correct filling ratios for the mixtures listed in 2.2.2.3.”</w:t>
      </w:r>
    </w:p>
    <w:p w14:paraId="1CA949B9" w14:textId="77777777" w:rsidR="0051660D" w:rsidRPr="00625218" w:rsidRDefault="0051660D" w:rsidP="0051660D">
      <w:pPr>
        <w:pStyle w:val="SingleTxtG"/>
        <w:ind w:left="2268" w:hanging="1134"/>
      </w:pPr>
      <w:r w:rsidRPr="00625218">
        <w:rPr>
          <w:bCs/>
        </w:rPr>
        <w:t>4.1.6.15</w:t>
      </w:r>
      <w:r w:rsidRPr="00625218">
        <w:rPr>
          <w:bCs/>
        </w:rPr>
        <w:tab/>
      </w:r>
      <w:r w:rsidRPr="00625218">
        <w:rPr>
          <w:rFonts w:eastAsia="Calibri"/>
          <w:bCs/>
        </w:rPr>
        <w:t xml:space="preserve">In table 4.1.6.15.1, in the first line </w:t>
      </w:r>
      <w:r w:rsidRPr="00625218">
        <w:t>for “4.1.6.8 Valves with inherent protection”, in the second column, after</w:t>
      </w:r>
      <w:r w:rsidRPr="00625218">
        <w:rPr>
          <w:rFonts w:cs="Arial"/>
        </w:rPr>
        <w:t xml:space="preserve"> “EN ISO 10297:2014 + A1:2017” add </w:t>
      </w:r>
      <w:r w:rsidRPr="00625218">
        <w:t xml:space="preserve">“or </w:t>
      </w:r>
      <w:r>
        <w:t>c</w:t>
      </w:r>
      <w:r w:rsidRPr="00625218">
        <w:t>lause 5.4.2 of EN ISO 10297:2024</w:t>
      </w:r>
      <w:r w:rsidRPr="00625218">
        <w:rPr>
          <w:rFonts w:cs="Arial"/>
        </w:rPr>
        <w:t>”.</w:t>
      </w:r>
    </w:p>
    <w:p w14:paraId="257DF62E" w14:textId="77777777" w:rsidR="0051660D" w:rsidRPr="00625218" w:rsidRDefault="0051660D" w:rsidP="0051660D">
      <w:pPr>
        <w:pStyle w:val="H1G"/>
      </w:pPr>
      <w:r w:rsidRPr="00625218">
        <w:tab/>
      </w:r>
      <w:r w:rsidRPr="00625218">
        <w:tab/>
        <w:t>Chapter 4.2</w:t>
      </w:r>
    </w:p>
    <w:p w14:paraId="6C5A107C" w14:textId="77777777" w:rsidR="0051660D" w:rsidRPr="00625218" w:rsidRDefault="0051660D" w:rsidP="0051660D">
      <w:pPr>
        <w:pStyle w:val="SingleTxtG"/>
      </w:pPr>
      <w:r w:rsidRPr="00625218">
        <w:t>After the heading of Chapter 4.2, in Note 2 after “</w:t>
      </w:r>
      <w:r w:rsidRPr="005F56C7">
        <w:rPr>
          <w:i/>
          <w:iCs/>
        </w:rPr>
        <w:t>which is not a Contracting Party to ADR</w:t>
      </w:r>
      <w:r w:rsidRPr="00625218">
        <w:t>”, insert “</w:t>
      </w:r>
      <w:r w:rsidRPr="00625218">
        <w:rPr>
          <w:i/>
          <w:iCs/>
        </w:rPr>
        <w:t>or approved in accordance with Chapter 6.7 of the IMDG Code</w:t>
      </w:r>
      <w:r w:rsidRPr="00625218">
        <w:t>”.</w:t>
      </w:r>
    </w:p>
    <w:p w14:paraId="563753B7" w14:textId="77777777" w:rsidR="0051660D" w:rsidRPr="00625218" w:rsidRDefault="0051660D" w:rsidP="0051660D">
      <w:pPr>
        <w:pStyle w:val="SingleTxtG"/>
        <w:rPr>
          <w:bCs/>
        </w:rPr>
      </w:pPr>
      <w:r w:rsidRPr="00625218">
        <w:rPr>
          <w:bCs/>
        </w:rPr>
        <w:t>4.2.3.7.1</w:t>
      </w:r>
      <w:r w:rsidRPr="00625218">
        <w:rPr>
          <w:bCs/>
        </w:rPr>
        <w:tab/>
        <w:t xml:space="preserve">At the end, </w:t>
      </w:r>
      <w:r>
        <w:rPr>
          <w:bCs/>
        </w:rPr>
        <w:t xml:space="preserve">after the subparagraphs, </w:t>
      </w:r>
      <w:r w:rsidRPr="00625218">
        <w:rPr>
          <w:bCs/>
        </w:rPr>
        <w:t>add a new paragraph to read:</w:t>
      </w:r>
    </w:p>
    <w:p w14:paraId="23937843" w14:textId="77777777" w:rsidR="0051660D" w:rsidRPr="00625218" w:rsidRDefault="0051660D" w:rsidP="0051660D">
      <w:pPr>
        <w:pStyle w:val="SingleTxtG"/>
      </w:pPr>
      <w:r w:rsidRPr="00625218">
        <w:t>“The calculation of the actual holding time may be waived when the whole journey takes place by road only, without trans-shipment onto another vehicle and without intermediate temporary storage. When the calculation of the actual holding time is waived the provisions of 4.2.3.7.2, 4.2.3.7.3 and 4.2.3.8 (e) and (f) shall not apply.”</w:t>
      </w:r>
    </w:p>
    <w:p w14:paraId="6B796194" w14:textId="77777777" w:rsidR="0051660D" w:rsidRPr="00625218" w:rsidRDefault="0051660D" w:rsidP="0051660D">
      <w:pPr>
        <w:pStyle w:val="H1G"/>
      </w:pPr>
      <w:r w:rsidRPr="00625218">
        <w:tab/>
      </w:r>
      <w:r w:rsidRPr="00625218">
        <w:tab/>
        <w:t>Chapter 4.3</w:t>
      </w:r>
    </w:p>
    <w:p w14:paraId="2AA1504C" w14:textId="77777777" w:rsidR="0051660D" w:rsidRPr="00D40974" w:rsidRDefault="0051660D" w:rsidP="0051660D">
      <w:pPr>
        <w:pStyle w:val="SingleTxtG"/>
        <w:ind w:left="2268" w:hanging="1134"/>
      </w:pPr>
      <w:r w:rsidRPr="00D40974">
        <w:t>4.3.3.5</w:t>
      </w:r>
      <w:r w:rsidRPr="00D40974">
        <w:tab/>
      </w:r>
      <w:r w:rsidRPr="00D40974">
        <w:tab/>
        <w:t>In the right hand column, at the end, before the sentence to be added in accordance with document ECE/TRANS/WP.15/265, add the following paragraph:</w:t>
      </w:r>
    </w:p>
    <w:p w14:paraId="09922BE2" w14:textId="77777777" w:rsidR="0051660D" w:rsidRPr="00625218" w:rsidRDefault="0051660D" w:rsidP="0051660D">
      <w:pPr>
        <w:pStyle w:val="SingleTxtG"/>
      </w:pPr>
      <w:r w:rsidRPr="00625218">
        <w:t>“The calculation of the actual holding time may be waived when the whole journey takes place by road only, without trans-shipment onto another vehicle and without intermediate temporary storage. When the calculation of the actual holding time is waived the provisions of 4.3.3.6 (e), (f) and (g) shall not apply.”</w:t>
      </w:r>
    </w:p>
    <w:p w14:paraId="47AA4063" w14:textId="77777777" w:rsidR="0051660D" w:rsidRPr="0038459B" w:rsidRDefault="0051660D" w:rsidP="0051660D">
      <w:pPr>
        <w:pStyle w:val="H1G"/>
      </w:pPr>
      <w:r w:rsidRPr="0038459B">
        <w:tab/>
      </w:r>
      <w:r w:rsidRPr="0038459B">
        <w:tab/>
        <w:t>Chapter 5.3</w:t>
      </w:r>
    </w:p>
    <w:p w14:paraId="6974F426" w14:textId="1980BFFA" w:rsidR="0051660D" w:rsidRPr="0038459B" w:rsidRDefault="0051660D" w:rsidP="0051660D">
      <w:pPr>
        <w:pStyle w:val="SingleTxtG"/>
        <w:tabs>
          <w:tab w:val="clear" w:pos="1701"/>
          <w:tab w:val="clear" w:pos="2268"/>
          <w:tab w:val="clear" w:pos="2835"/>
        </w:tabs>
        <w:ind w:left="2268" w:hanging="1134"/>
      </w:pPr>
      <w:r w:rsidRPr="0038459B">
        <w:t>5.3.2.1.1</w:t>
      </w:r>
      <w:r w:rsidRPr="0038459B">
        <w:tab/>
      </w:r>
      <w:r>
        <w:t>A</w:t>
      </w:r>
      <w:r w:rsidRPr="0038459B">
        <w:t>t the end</w:t>
      </w:r>
      <w:r w:rsidR="004B17B5">
        <w:t xml:space="preserve"> of the second paragraph</w:t>
      </w:r>
      <w:r w:rsidRPr="0038459B">
        <w:t xml:space="preserve">, add “or to UN </w:t>
      </w:r>
      <w:r w:rsidR="0006262C">
        <w:t xml:space="preserve">No. </w:t>
      </w:r>
      <w:r w:rsidRPr="0038459B">
        <w:t>3475, as appropriate”.</w:t>
      </w:r>
    </w:p>
    <w:p w14:paraId="46C73C02" w14:textId="77777777" w:rsidR="0051660D" w:rsidRPr="0038459B" w:rsidRDefault="0051660D" w:rsidP="0051660D">
      <w:pPr>
        <w:pStyle w:val="SingleTxtG"/>
        <w:tabs>
          <w:tab w:val="clear" w:pos="1701"/>
          <w:tab w:val="clear" w:pos="2268"/>
          <w:tab w:val="clear" w:pos="2835"/>
        </w:tabs>
        <w:ind w:left="2268" w:hanging="1134"/>
      </w:pPr>
      <w:r w:rsidRPr="0038459B">
        <w:t>5.3.2.1.3</w:t>
      </w:r>
      <w:r w:rsidRPr="0038459B">
        <w:tab/>
        <w:t>Replace “1203 or 1223” by “1203, 1223 or 3475” and amend the end of the paragraph to read as follows:</w:t>
      </w:r>
    </w:p>
    <w:p w14:paraId="6455E946" w14:textId="77777777" w:rsidR="0051660D" w:rsidRPr="0038459B" w:rsidRDefault="0051660D" w:rsidP="0051660D">
      <w:pPr>
        <w:pStyle w:val="SingleTxtG"/>
        <w:tabs>
          <w:tab w:val="clear" w:pos="1701"/>
          <w:tab w:val="clear" w:pos="2268"/>
          <w:tab w:val="clear" w:pos="2835"/>
        </w:tabs>
        <w:ind w:left="2268" w:hanging="1134"/>
      </w:pPr>
      <w:r w:rsidRPr="0038459B">
        <w:t>“… and the UN number prescribed:</w:t>
      </w:r>
    </w:p>
    <w:p w14:paraId="4EE30662" w14:textId="77777777" w:rsidR="0051660D" w:rsidRPr="0038459B" w:rsidRDefault="0051660D" w:rsidP="0051660D">
      <w:pPr>
        <w:pStyle w:val="SingleTxtG"/>
        <w:tabs>
          <w:tab w:val="clear" w:pos="1701"/>
          <w:tab w:val="clear" w:pos="2268"/>
          <w:tab w:val="clear" w:pos="2835"/>
        </w:tabs>
        <w:ind w:left="2268" w:hanging="1134"/>
      </w:pPr>
      <w:r w:rsidRPr="0038459B">
        <w:t>(a)</w:t>
      </w:r>
      <w:r w:rsidRPr="0038459B">
        <w:tab/>
        <w:t>For UN No. 3475; or</w:t>
      </w:r>
    </w:p>
    <w:p w14:paraId="7678C347" w14:textId="77777777" w:rsidR="0051660D" w:rsidRPr="0038459B" w:rsidRDefault="0051660D" w:rsidP="0051660D">
      <w:pPr>
        <w:pStyle w:val="SingleTxtG"/>
        <w:tabs>
          <w:tab w:val="clear" w:pos="1701"/>
          <w:tab w:val="clear" w:pos="2268"/>
          <w:tab w:val="clear" w:pos="2835"/>
        </w:tabs>
        <w:ind w:left="2268" w:hanging="1134"/>
      </w:pPr>
      <w:r w:rsidRPr="0038459B">
        <w:t>(b)</w:t>
      </w:r>
      <w:r w:rsidRPr="0038459B">
        <w:tab/>
        <w:t>For the most hazardous substance carried, i.e. the substance with the lowest flash-point in the absence of any substance assigned to UN No. 3475.”</w:t>
      </w:r>
    </w:p>
    <w:p w14:paraId="11E8674B" w14:textId="77777777" w:rsidR="0051660D" w:rsidRPr="00625218" w:rsidRDefault="0051660D" w:rsidP="0051660D">
      <w:pPr>
        <w:pStyle w:val="H1G"/>
      </w:pPr>
      <w:r w:rsidRPr="00625218">
        <w:tab/>
      </w:r>
      <w:r w:rsidRPr="00625218">
        <w:tab/>
        <w:t>Chapter 5.4</w:t>
      </w:r>
    </w:p>
    <w:p w14:paraId="1BCF5C53" w14:textId="77777777" w:rsidR="0051660D" w:rsidRPr="00625218" w:rsidRDefault="0051660D" w:rsidP="0051660D">
      <w:pPr>
        <w:pStyle w:val="SingleTxtG"/>
        <w:rPr>
          <w:bCs/>
        </w:rPr>
      </w:pPr>
      <w:r w:rsidRPr="00625218">
        <w:rPr>
          <w:bCs/>
        </w:rPr>
        <w:t>5.4.1.1.3.1</w:t>
      </w:r>
      <w:r w:rsidRPr="00625218">
        <w:rPr>
          <w:bCs/>
        </w:rPr>
        <w:tab/>
        <w:t>Amend the last paragraph to read:</w:t>
      </w:r>
    </w:p>
    <w:p w14:paraId="7D1598D7" w14:textId="77777777" w:rsidR="0051660D" w:rsidRPr="00625218" w:rsidRDefault="0051660D" w:rsidP="0051660D">
      <w:pPr>
        <w:pStyle w:val="SingleTxtG"/>
      </w:pPr>
      <w:r w:rsidRPr="00625218">
        <w:t>“If the provision for waste as set out in 2.1.3.5.5 is applied, the technical name, as prescribed in Chapter 3.3, special provision 274, need not be added.”</w:t>
      </w:r>
    </w:p>
    <w:p w14:paraId="40957541" w14:textId="77777777" w:rsidR="0051660D" w:rsidRPr="00625218" w:rsidRDefault="0051660D" w:rsidP="0051660D">
      <w:pPr>
        <w:pStyle w:val="SingleTxtG"/>
        <w:rPr>
          <w:bCs/>
        </w:rPr>
      </w:pPr>
      <w:r w:rsidRPr="00625218">
        <w:rPr>
          <w:bCs/>
        </w:rPr>
        <w:t>5.4.1.2.2</w:t>
      </w:r>
      <w:r w:rsidRPr="00625218">
        <w:rPr>
          <w:bCs/>
        </w:rPr>
        <w:tab/>
        <w:t>In sub-paragraph (d), at the end, add the following paragraph:</w:t>
      </w:r>
    </w:p>
    <w:p w14:paraId="40C00FE9" w14:textId="77777777" w:rsidR="0051660D" w:rsidRPr="00625218" w:rsidRDefault="0051660D" w:rsidP="0051660D">
      <w:pPr>
        <w:pStyle w:val="SingleTxtG"/>
      </w:pPr>
      <w:r w:rsidRPr="00625218">
        <w:t>“When the calculation of the actual holding time is waived in accordance with 4.2.3.7.1 or 4.3.3.5</w:t>
      </w:r>
      <w:r>
        <w:t>,</w:t>
      </w:r>
      <w:r w:rsidRPr="00625218">
        <w:t xml:space="preserve"> this provision shall not apply;”</w:t>
      </w:r>
    </w:p>
    <w:p w14:paraId="232F3A8F" w14:textId="77777777" w:rsidR="0051660D" w:rsidRPr="00625218" w:rsidRDefault="0051660D" w:rsidP="0051660D">
      <w:pPr>
        <w:pStyle w:val="H1G"/>
      </w:pPr>
      <w:r w:rsidRPr="00625218">
        <w:tab/>
      </w:r>
      <w:r w:rsidRPr="00625218">
        <w:tab/>
        <w:t>Chapter 5.5</w:t>
      </w:r>
    </w:p>
    <w:p w14:paraId="65E63C6A"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5.5.4</w:t>
      </w:r>
      <w:r w:rsidRPr="00625218">
        <w:rPr>
          <w:bCs/>
        </w:rPr>
        <w:tab/>
      </w:r>
      <w:r w:rsidRPr="00B460F3">
        <w:t>The</w:t>
      </w:r>
      <w:r w:rsidRPr="00625218">
        <w:rPr>
          <w:bCs/>
        </w:rPr>
        <w:t xml:space="preserve"> amendment in the French version does not apply to the English text.</w:t>
      </w:r>
    </w:p>
    <w:p w14:paraId="4CA89EC0"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5.5.4.1</w:t>
      </w:r>
      <w:r w:rsidRPr="00625218">
        <w:rPr>
          <w:bCs/>
        </w:rPr>
        <w:tab/>
        <w:t xml:space="preserve">The </w:t>
      </w:r>
      <w:r w:rsidRPr="00B460F3">
        <w:t>amendment</w:t>
      </w:r>
      <w:r w:rsidRPr="00625218">
        <w:rPr>
          <w:bCs/>
        </w:rPr>
        <w:t xml:space="preserve"> in the French version does not apply to the English text.</w:t>
      </w:r>
    </w:p>
    <w:p w14:paraId="7BDF0955" w14:textId="77777777" w:rsidR="0051660D" w:rsidRPr="00625218" w:rsidRDefault="0051660D" w:rsidP="0051660D">
      <w:pPr>
        <w:pStyle w:val="H1G"/>
      </w:pPr>
      <w:r w:rsidRPr="00625218">
        <w:tab/>
      </w:r>
      <w:r w:rsidRPr="00625218">
        <w:tab/>
        <w:t>Chapter 6.2</w:t>
      </w:r>
    </w:p>
    <w:p w14:paraId="3675FD10" w14:textId="77777777" w:rsidR="0051660D" w:rsidRPr="00625218" w:rsidRDefault="0051660D" w:rsidP="0051660D">
      <w:pPr>
        <w:pStyle w:val="SingleTxtG"/>
        <w:tabs>
          <w:tab w:val="clear" w:pos="1701"/>
          <w:tab w:val="clear" w:pos="2268"/>
          <w:tab w:val="clear" w:pos="2835"/>
        </w:tabs>
        <w:ind w:left="2268" w:hanging="1134"/>
      </w:pPr>
      <w:r w:rsidRPr="00625218">
        <w:t>6.2.4.1</w:t>
      </w:r>
      <w:r w:rsidRPr="00625218">
        <w:tab/>
      </w:r>
      <w:r w:rsidRPr="00625218">
        <w:tab/>
        <w:t>In the table, under “</w:t>
      </w:r>
      <w:r w:rsidRPr="00A800AD">
        <w:rPr>
          <w:b/>
          <w:bCs/>
          <w:i/>
          <w:iCs/>
        </w:rPr>
        <w:t>for design and construction of pressure receptacles or pressure receptacle shells</w:t>
      </w:r>
      <w:r w:rsidRPr="00625218">
        <w:t>”, amend the following:</w:t>
      </w:r>
    </w:p>
    <w:p w14:paraId="677A19F7" w14:textId="77777777" w:rsidR="0051660D" w:rsidRPr="00625218" w:rsidRDefault="0051660D" w:rsidP="0051660D">
      <w:pPr>
        <w:pStyle w:val="Bullet1G"/>
        <w:tabs>
          <w:tab w:val="clear" w:pos="1701"/>
          <w:tab w:val="num" w:pos="2381"/>
        </w:tabs>
        <w:ind w:left="2381"/>
      </w:pPr>
      <w:r w:rsidRPr="00625218">
        <w:t>In the row for EN 1964-3:2000, in column (4), replace “Until further notice” by “Until 31 December 2026”.</w:t>
      </w:r>
    </w:p>
    <w:p w14:paraId="5242F9B0" w14:textId="77777777" w:rsidR="0051660D" w:rsidRPr="00625218" w:rsidRDefault="0051660D" w:rsidP="0051660D">
      <w:pPr>
        <w:pStyle w:val="Bullet1G"/>
        <w:tabs>
          <w:tab w:val="clear" w:pos="1701"/>
          <w:tab w:val="num" w:pos="2381"/>
        </w:tabs>
        <w:ind w:left="2381"/>
      </w:pPr>
      <w:r w:rsidRPr="00625218">
        <w:t>In the row for EN 13322-1:2003 + A1:2006, in column (4), replace “Until further notice” by “Between 1 January 2007 and 31 December 2026”.</w:t>
      </w:r>
      <w:r>
        <w:t xml:space="preserve"> </w:t>
      </w:r>
    </w:p>
    <w:p w14:paraId="6E71B06C" w14:textId="77777777" w:rsidR="0051660D" w:rsidRPr="00625218" w:rsidRDefault="0051660D" w:rsidP="0051660D">
      <w:pPr>
        <w:pStyle w:val="Bullet1G"/>
        <w:tabs>
          <w:tab w:val="clear" w:pos="1701"/>
          <w:tab w:val="num" w:pos="2381"/>
        </w:tabs>
        <w:ind w:left="2381"/>
      </w:pPr>
      <w:r w:rsidRPr="00625218">
        <w:t>After the row for EN 13322-1:2003 + A1:2006, insert the following new row:</w:t>
      </w:r>
    </w:p>
    <w:tbl>
      <w:tblPr>
        <w:tblW w:w="788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3261"/>
        <w:gridCol w:w="1012"/>
        <w:gridCol w:w="956"/>
        <w:gridCol w:w="664"/>
      </w:tblGrid>
      <w:tr w:rsidR="0051660D" w:rsidRPr="000324AD" w14:paraId="481D2D06" w14:textId="77777777" w:rsidTr="00DE4125">
        <w:trPr>
          <w:trHeight w:val="115"/>
        </w:trPr>
        <w:tc>
          <w:tcPr>
            <w:tcW w:w="1991" w:type="dxa"/>
          </w:tcPr>
          <w:p w14:paraId="1A8A171F" w14:textId="77777777" w:rsidR="0051660D" w:rsidRPr="00A800AD" w:rsidRDefault="0051660D" w:rsidP="00DE4125">
            <w:pPr>
              <w:widowControl w:val="0"/>
              <w:jc w:val="center"/>
              <w:rPr>
                <w:rFonts w:cs="Arial"/>
                <w:b/>
                <w:bCs/>
                <w:szCs w:val="22"/>
              </w:rPr>
            </w:pPr>
            <w:r w:rsidRPr="00A800AD">
              <w:rPr>
                <w:rFonts w:cs="Arial"/>
                <w:b/>
                <w:bCs/>
                <w:szCs w:val="22"/>
              </w:rPr>
              <w:t>(1)</w:t>
            </w:r>
          </w:p>
        </w:tc>
        <w:tc>
          <w:tcPr>
            <w:tcW w:w="3261" w:type="dxa"/>
          </w:tcPr>
          <w:p w14:paraId="3EA5CBB7" w14:textId="77777777" w:rsidR="0051660D" w:rsidRPr="00A800AD" w:rsidRDefault="0051660D" w:rsidP="00DE4125">
            <w:pPr>
              <w:widowControl w:val="0"/>
              <w:jc w:val="center"/>
              <w:rPr>
                <w:rFonts w:cs="Arial"/>
                <w:b/>
                <w:bCs/>
                <w:szCs w:val="22"/>
              </w:rPr>
            </w:pPr>
            <w:r w:rsidRPr="00A800AD">
              <w:rPr>
                <w:rFonts w:cs="Arial"/>
                <w:b/>
                <w:bCs/>
                <w:szCs w:val="22"/>
              </w:rPr>
              <w:t>(2)</w:t>
            </w:r>
          </w:p>
        </w:tc>
        <w:tc>
          <w:tcPr>
            <w:tcW w:w="1012" w:type="dxa"/>
          </w:tcPr>
          <w:p w14:paraId="798501F2" w14:textId="77777777" w:rsidR="0051660D" w:rsidRPr="00A800AD" w:rsidRDefault="0051660D" w:rsidP="00DE4125">
            <w:pPr>
              <w:widowControl w:val="0"/>
              <w:jc w:val="center"/>
              <w:rPr>
                <w:rFonts w:cs="Arial"/>
                <w:b/>
                <w:bCs/>
                <w:szCs w:val="22"/>
              </w:rPr>
            </w:pPr>
            <w:r w:rsidRPr="00A800AD">
              <w:rPr>
                <w:rFonts w:cs="Arial"/>
                <w:b/>
                <w:bCs/>
                <w:szCs w:val="22"/>
              </w:rPr>
              <w:t>(3)</w:t>
            </w:r>
          </w:p>
        </w:tc>
        <w:tc>
          <w:tcPr>
            <w:tcW w:w="956" w:type="dxa"/>
          </w:tcPr>
          <w:p w14:paraId="7EA89247" w14:textId="77777777" w:rsidR="0051660D" w:rsidRPr="00A800AD" w:rsidRDefault="0051660D" w:rsidP="00DE4125">
            <w:pPr>
              <w:widowControl w:val="0"/>
              <w:jc w:val="center"/>
              <w:rPr>
                <w:rFonts w:cs="Arial"/>
                <w:b/>
                <w:bCs/>
                <w:szCs w:val="22"/>
              </w:rPr>
            </w:pPr>
            <w:r w:rsidRPr="00A800AD">
              <w:rPr>
                <w:rFonts w:cs="Arial"/>
                <w:b/>
                <w:bCs/>
                <w:szCs w:val="22"/>
              </w:rPr>
              <w:t>(4)</w:t>
            </w:r>
          </w:p>
        </w:tc>
        <w:tc>
          <w:tcPr>
            <w:tcW w:w="664" w:type="dxa"/>
          </w:tcPr>
          <w:p w14:paraId="2400A741" w14:textId="77777777" w:rsidR="0051660D" w:rsidRPr="00A800AD" w:rsidRDefault="0051660D" w:rsidP="00DE4125">
            <w:pPr>
              <w:widowControl w:val="0"/>
              <w:jc w:val="center"/>
              <w:rPr>
                <w:rFonts w:cs="Arial"/>
                <w:b/>
                <w:bCs/>
                <w:szCs w:val="22"/>
              </w:rPr>
            </w:pPr>
            <w:r w:rsidRPr="00A800AD">
              <w:rPr>
                <w:rFonts w:cs="Arial"/>
                <w:b/>
                <w:bCs/>
                <w:szCs w:val="22"/>
              </w:rPr>
              <w:t>(5)</w:t>
            </w:r>
          </w:p>
        </w:tc>
      </w:tr>
      <w:tr w:rsidR="0051660D" w:rsidRPr="00625218" w14:paraId="3E553CEA" w14:textId="77777777" w:rsidTr="00DE4125">
        <w:tc>
          <w:tcPr>
            <w:tcW w:w="1991" w:type="dxa"/>
            <w:vAlign w:val="center"/>
          </w:tcPr>
          <w:p w14:paraId="225512CD" w14:textId="77777777" w:rsidR="0051660D" w:rsidRPr="00625218" w:rsidRDefault="0051660D" w:rsidP="00DE4125">
            <w:pPr>
              <w:widowControl w:val="0"/>
              <w:rPr>
                <w:szCs w:val="22"/>
              </w:rPr>
            </w:pPr>
            <w:r w:rsidRPr="00625218">
              <w:rPr>
                <w:szCs w:val="22"/>
              </w:rPr>
              <w:t xml:space="preserve">EN </w:t>
            </w:r>
          </w:p>
          <w:p w14:paraId="34BF1139" w14:textId="77777777" w:rsidR="0051660D" w:rsidRPr="00625218" w:rsidRDefault="0051660D" w:rsidP="00DE4125">
            <w:pPr>
              <w:widowControl w:val="0"/>
              <w:rPr>
                <w:rFonts w:cs="Arial"/>
                <w:szCs w:val="22"/>
              </w:rPr>
            </w:pPr>
            <w:r w:rsidRPr="00625218">
              <w:rPr>
                <w:szCs w:val="22"/>
              </w:rPr>
              <w:t>13322-1:2024</w:t>
            </w:r>
          </w:p>
        </w:tc>
        <w:tc>
          <w:tcPr>
            <w:tcW w:w="3261" w:type="dxa"/>
            <w:vAlign w:val="center"/>
          </w:tcPr>
          <w:p w14:paraId="21048DE0" w14:textId="77777777" w:rsidR="0051660D" w:rsidRPr="00625218" w:rsidRDefault="0051660D" w:rsidP="00DE4125">
            <w:pPr>
              <w:widowControl w:val="0"/>
              <w:rPr>
                <w:rFonts w:cs="Arial"/>
                <w:szCs w:val="22"/>
              </w:rPr>
            </w:pPr>
            <w:r w:rsidRPr="00625218">
              <w:rPr>
                <w:rFonts w:cs="Arial"/>
                <w:szCs w:val="22"/>
              </w:rPr>
              <w:t>Transportable gas cylinders – Refillable welded steel gas cylinders – Design and construction – Part 1: Welded steel</w:t>
            </w:r>
          </w:p>
        </w:tc>
        <w:tc>
          <w:tcPr>
            <w:tcW w:w="1012" w:type="dxa"/>
            <w:vAlign w:val="center"/>
          </w:tcPr>
          <w:p w14:paraId="46C39FDE" w14:textId="77777777" w:rsidR="0051660D" w:rsidRPr="00625218" w:rsidRDefault="0051660D" w:rsidP="00DE4125">
            <w:pPr>
              <w:widowControl w:val="0"/>
              <w:rPr>
                <w:rFonts w:cs="Arial"/>
                <w:szCs w:val="22"/>
              </w:rPr>
            </w:pPr>
            <w:r w:rsidRPr="00625218">
              <w:rPr>
                <w:rFonts w:cs="Arial"/>
                <w:szCs w:val="22"/>
              </w:rPr>
              <w:t>6.2.3.1 and 6.2.3.4</w:t>
            </w:r>
          </w:p>
        </w:tc>
        <w:tc>
          <w:tcPr>
            <w:tcW w:w="956" w:type="dxa"/>
            <w:vAlign w:val="center"/>
          </w:tcPr>
          <w:p w14:paraId="59D8EB27" w14:textId="77777777" w:rsidR="0051660D" w:rsidRPr="00625218" w:rsidRDefault="0051660D" w:rsidP="00DE4125">
            <w:pPr>
              <w:widowControl w:val="0"/>
              <w:jc w:val="center"/>
              <w:rPr>
                <w:rFonts w:cs="Arial"/>
                <w:szCs w:val="22"/>
              </w:rPr>
            </w:pPr>
            <w:r w:rsidRPr="00625218">
              <w:rPr>
                <w:rFonts w:cs="Arial"/>
                <w:szCs w:val="22"/>
              </w:rPr>
              <w:t>Until further notice</w:t>
            </w:r>
          </w:p>
        </w:tc>
        <w:tc>
          <w:tcPr>
            <w:tcW w:w="664" w:type="dxa"/>
            <w:vAlign w:val="center"/>
          </w:tcPr>
          <w:p w14:paraId="71C21965" w14:textId="77777777" w:rsidR="0051660D" w:rsidRPr="00625218" w:rsidRDefault="0051660D" w:rsidP="00DE4125">
            <w:pPr>
              <w:widowControl w:val="0"/>
              <w:rPr>
                <w:rFonts w:cs="Arial"/>
                <w:szCs w:val="22"/>
              </w:rPr>
            </w:pPr>
          </w:p>
        </w:tc>
      </w:tr>
    </w:tbl>
    <w:p w14:paraId="670EB559" w14:textId="77777777" w:rsidR="0051660D" w:rsidRPr="00625218" w:rsidRDefault="0051660D" w:rsidP="00DE1FC2">
      <w:pPr>
        <w:pStyle w:val="Bullet1G"/>
        <w:tabs>
          <w:tab w:val="clear" w:pos="1701"/>
          <w:tab w:val="num" w:pos="2381"/>
        </w:tabs>
        <w:spacing w:before="120"/>
        <w:ind w:left="2381"/>
      </w:pPr>
      <w:r w:rsidRPr="00625218">
        <w:t>In the table, under “</w:t>
      </w:r>
      <w:r w:rsidRPr="00F669B8">
        <w:rPr>
          <w:b/>
          <w:bCs/>
          <w:i/>
        </w:rPr>
        <w:t>for design and construction of closures</w:t>
      </w:r>
      <w:r w:rsidRPr="00625218">
        <w:t>”, In the row for EN ISO 10297:2014 + A1:2017, in column (4), replace “Until further notice” by “Between 1 January 2019 and 31 December 2026”.</w:t>
      </w:r>
      <w:r>
        <w:t xml:space="preserve"> </w:t>
      </w:r>
    </w:p>
    <w:p w14:paraId="3A4FF717" w14:textId="77777777" w:rsidR="0051660D" w:rsidRPr="00625218" w:rsidRDefault="0051660D" w:rsidP="0051660D">
      <w:pPr>
        <w:pStyle w:val="Bullet1G"/>
        <w:tabs>
          <w:tab w:val="clear" w:pos="1701"/>
          <w:tab w:val="num" w:pos="2381"/>
        </w:tabs>
        <w:ind w:left="2381"/>
      </w:pPr>
      <w:r w:rsidRPr="00625218">
        <w:t>After the row for EN ISO 10297:2014 +A1:2017, insert the following new row:</w:t>
      </w:r>
    </w:p>
    <w:tbl>
      <w:tblPr>
        <w:tblW w:w="788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3261"/>
        <w:gridCol w:w="1012"/>
        <w:gridCol w:w="956"/>
        <w:gridCol w:w="664"/>
      </w:tblGrid>
      <w:tr w:rsidR="0051660D" w:rsidRPr="000324AD" w14:paraId="171F0BA3" w14:textId="77777777" w:rsidTr="00DE4125">
        <w:tc>
          <w:tcPr>
            <w:tcW w:w="1991" w:type="dxa"/>
          </w:tcPr>
          <w:p w14:paraId="28C70C71" w14:textId="77777777" w:rsidR="0051660D" w:rsidRPr="00765913" w:rsidRDefault="0051660D" w:rsidP="00E06AB2">
            <w:pPr>
              <w:keepNext/>
              <w:widowControl w:val="0"/>
              <w:jc w:val="center"/>
              <w:rPr>
                <w:rFonts w:cs="Arial"/>
                <w:b/>
                <w:bCs/>
                <w:szCs w:val="22"/>
              </w:rPr>
            </w:pPr>
            <w:r w:rsidRPr="00765913">
              <w:rPr>
                <w:rFonts w:cs="Arial"/>
                <w:b/>
                <w:bCs/>
                <w:szCs w:val="22"/>
              </w:rPr>
              <w:t>(1)</w:t>
            </w:r>
          </w:p>
        </w:tc>
        <w:tc>
          <w:tcPr>
            <w:tcW w:w="3261" w:type="dxa"/>
          </w:tcPr>
          <w:p w14:paraId="773511C8" w14:textId="77777777" w:rsidR="0051660D" w:rsidRPr="00765913" w:rsidRDefault="0051660D" w:rsidP="00E06AB2">
            <w:pPr>
              <w:keepNext/>
              <w:widowControl w:val="0"/>
              <w:jc w:val="center"/>
              <w:rPr>
                <w:rFonts w:cs="Arial"/>
                <w:b/>
                <w:bCs/>
                <w:szCs w:val="22"/>
              </w:rPr>
            </w:pPr>
            <w:r w:rsidRPr="00765913">
              <w:rPr>
                <w:rFonts w:cs="Arial"/>
                <w:b/>
                <w:bCs/>
                <w:szCs w:val="22"/>
              </w:rPr>
              <w:t>(2)</w:t>
            </w:r>
          </w:p>
        </w:tc>
        <w:tc>
          <w:tcPr>
            <w:tcW w:w="1012" w:type="dxa"/>
          </w:tcPr>
          <w:p w14:paraId="49F8117A" w14:textId="77777777" w:rsidR="0051660D" w:rsidRPr="00765913" w:rsidRDefault="0051660D" w:rsidP="00DE4125">
            <w:pPr>
              <w:widowControl w:val="0"/>
              <w:jc w:val="center"/>
              <w:rPr>
                <w:rFonts w:cs="Arial"/>
                <w:b/>
                <w:bCs/>
                <w:szCs w:val="22"/>
              </w:rPr>
            </w:pPr>
            <w:r w:rsidRPr="00765913">
              <w:rPr>
                <w:rFonts w:cs="Arial"/>
                <w:b/>
                <w:bCs/>
                <w:szCs w:val="22"/>
              </w:rPr>
              <w:t>(3)</w:t>
            </w:r>
          </w:p>
        </w:tc>
        <w:tc>
          <w:tcPr>
            <w:tcW w:w="956" w:type="dxa"/>
          </w:tcPr>
          <w:p w14:paraId="4CC35DD8" w14:textId="77777777" w:rsidR="0051660D" w:rsidRPr="00765913" w:rsidRDefault="0051660D" w:rsidP="00DE4125">
            <w:pPr>
              <w:widowControl w:val="0"/>
              <w:jc w:val="center"/>
              <w:rPr>
                <w:rFonts w:cs="Arial"/>
                <w:b/>
                <w:bCs/>
                <w:szCs w:val="22"/>
              </w:rPr>
            </w:pPr>
            <w:r w:rsidRPr="00765913">
              <w:rPr>
                <w:rFonts w:cs="Arial"/>
                <w:b/>
                <w:bCs/>
                <w:szCs w:val="22"/>
              </w:rPr>
              <w:t>(4)</w:t>
            </w:r>
          </w:p>
        </w:tc>
        <w:tc>
          <w:tcPr>
            <w:tcW w:w="664" w:type="dxa"/>
          </w:tcPr>
          <w:p w14:paraId="7DF41037" w14:textId="77777777" w:rsidR="0051660D" w:rsidRPr="00765913" w:rsidRDefault="0051660D" w:rsidP="00DE4125">
            <w:pPr>
              <w:widowControl w:val="0"/>
              <w:jc w:val="center"/>
              <w:rPr>
                <w:rFonts w:cs="Arial"/>
                <w:b/>
                <w:bCs/>
                <w:szCs w:val="22"/>
              </w:rPr>
            </w:pPr>
            <w:r w:rsidRPr="00765913">
              <w:rPr>
                <w:rFonts w:cs="Arial"/>
                <w:b/>
                <w:bCs/>
                <w:szCs w:val="22"/>
              </w:rPr>
              <w:t>(5)</w:t>
            </w:r>
          </w:p>
        </w:tc>
      </w:tr>
      <w:tr w:rsidR="0051660D" w:rsidRPr="00625218" w14:paraId="6B77183B" w14:textId="77777777" w:rsidTr="00DE4125">
        <w:tc>
          <w:tcPr>
            <w:tcW w:w="1991" w:type="dxa"/>
            <w:vAlign w:val="center"/>
          </w:tcPr>
          <w:p w14:paraId="1D0E3738" w14:textId="77777777" w:rsidR="0051660D" w:rsidRPr="00625218" w:rsidRDefault="0051660D" w:rsidP="00DE4125">
            <w:pPr>
              <w:widowControl w:val="0"/>
              <w:rPr>
                <w:rFonts w:cs="Arial"/>
                <w:szCs w:val="22"/>
              </w:rPr>
            </w:pPr>
            <w:r w:rsidRPr="00625218">
              <w:rPr>
                <w:szCs w:val="22"/>
              </w:rPr>
              <w:t>EN ISO 10297:2024</w:t>
            </w:r>
          </w:p>
        </w:tc>
        <w:tc>
          <w:tcPr>
            <w:tcW w:w="3261" w:type="dxa"/>
            <w:vAlign w:val="center"/>
          </w:tcPr>
          <w:p w14:paraId="4569325D" w14:textId="77777777" w:rsidR="0051660D" w:rsidRPr="00625218" w:rsidRDefault="0051660D" w:rsidP="00DE4125">
            <w:pPr>
              <w:widowControl w:val="0"/>
              <w:rPr>
                <w:rFonts w:cs="Arial"/>
                <w:bCs/>
                <w:szCs w:val="22"/>
              </w:rPr>
            </w:pPr>
            <w:bookmarkStart w:id="0" w:name="_Hlk158206034"/>
            <w:r w:rsidRPr="00625218">
              <w:rPr>
                <w:bCs/>
                <w:iCs/>
              </w:rPr>
              <w:t>Gas cylinders – Cylinder valves – Specification and type testing</w:t>
            </w:r>
            <w:bookmarkEnd w:id="0"/>
          </w:p>
        </w:tc>
        <w:tc>
          <w:tcPr>
            <w:tcW w:w="1012" w:type="dxa"/>
            <w:vAlign w:val="center"/>
          </w:tcPr>
          <w:p w14:paraId="6FBDFD83" w14:textId="77777777" w:rsidR="0051660D" w:rsidRPr="00625218" w:rsidRDefault="0051660D" w:rsidP="00DE4125">
            <w:pPr>
              <w:widowControl w:val="0"/>
              <w:rPr>
                <w:rFonts w:cs="Arial"/>
                <w:szCs w:val="22"/>
              </w:rPr>
            </w:pPr>
            <w:r w:rsidRPr="00625218">
              <w:rPr>
                <w:rFonts w:cs="Arial"/>
                <w:szCs w:val="22"/>
              </w:rPr>
              <w:t>6.2.3.1 and 6.2.3.3</w:t>
            </w:r>
          </w:p>
        </w:tc>
        <w:tc>
          <w:tcPr>
            <w:tcW w:w="956" w:type="dxa"/>
            <w:vAlign w:val="center"/>
          </w:tcPr>
          <w:p w14:paraId="66B381B9" w14:textId="77777777" w:rsidR="0051660D" w:rsidRPr="00625218" w:rsidRDefault="0051660D" w:rsidP="00DE4125">
            <w:pPr>
              <w:widowControl w:val="0"/>
              <w:jc w:val="center"/>
              <w:rPr>
                <w:rFonts w:cs="Arial"/>
                <w:szCs w:val="22"/>
              </w:rPr>
            </w:pPr>
            <w:r w:rsidRPr="00625218">
              <w:rPr>
                <w:rFonts w:cs="Arial"/>
                <w:szCs w:val="22"/>
              </w:rPr>
              <w:t>Until further notice</w:t>
            </w:r>
          </w:p>
        </w:tc>
        <w:tc>
          <w:tcPr>
            <w:tcW w:w="664" w:type="dxa"/>
            <w:vAlign w:val="center"/>
          </w:tcPr>
          <w:p w14:paraId="0F848F38" w14:textId="77777777" w:rsidR="0051660D" w:rsidRPr="00625218" w:rsidRDefault="0051660D" w:rsidP="00DE4125">
            <w:pPr>
              <w:widowControl w:val="0"/>
              <w:rPr>
                <w:rFonts w:cs="Arial"/>
                <w:szCs w:val="22"/>
              </w:rPr>
            </w:pPr>
          </w:p>
        </w:tc>
      </w:tr>
    </w:tbl>
    <w:p w14:paraId="52E974D0" w14:textId="77777777" w:rsidR="0051660D" w:rsidRPr="00625218" w:rsidRDefault="0051660D" w:rsidP="0051660D">
      <w:pPr>
        <w:pStyle w:val="H1G"/>
      </w:pPr>
      <w:r w:rsidRPr="00625218">
        <w:tab/>
      </w:r>
      <w:r w:rsidRPr="00625218">
        <w:tab/>
        <w:t>Chapter 6.8</w:t>
      </w:r>
    </w:p>
    <w:p w14:paraId="61332042" w14:textId="77777777" w:rsidR="0051660D" w:rsidRPr="00625218" w:rsidRDefault="0051660D" w:rsidP="0051660D">
      <w:pPr>
        <w:pStyle w:val="SingleTxtG"/>
        <w:tabs>
          <w:tab w:val="clear" w:pos="1701"/>
          <w:tab w:val="clear" w:pos="2268"/>
          <w:tab w:val="clear" w:pos="2835"/>
        </w:tabs>
        <w:ind w:left="2268" w:hanging="1134"/>
      </w:pPr>
      <w:r w:rsidRPr="00625218">
        <w:rPr>
          <w:bCs/>
        </w:rPr>
        <w:t>6.8.2.3.2</w:t>
      </w:r>
      <w:r w:rsidRPr="00625218">
        <w:rPr>
          <w:bCs/>
        </w:rPr>
        <w:tab/>
        <w:t xml:space="preserve">In the Note, </w:t>
      </w:r>
      <w:r>
        <w:rPr>
          <w:bCs/>
        </w:rPr>
        <w:t>after</w:t>
      </w:r>
      <w:r w:rsidRPr="00625218">
        <w:rPr>
          <w:bCs/>
        </w:rPr>
        <w:t xml:space="preserve"> “</w:t>
      </w:r>
      <w:r w:rsidRPr="00F669B8">
        <w:rPr>
          <w:bCs/>
          <w:i/>
          <w:iCs/>
        </w:rPr>
        <w:t>Annex B of EN 12972:2018</w:t>
      </w:r>
      <w:r w:rsidRPr="00625218">
        <w:rPr>
          <w:bCs/>
        </w:rPr>
        <w:t>”</w:t>
      </w:r>
      <w:r>
        <w:rPr>
          <w:bCs/>
        </w:rPr>
        <w:t>, add</w:t>
      </w:r>
      <w:r w:rsidRPr="00625218">
        <w:rPr>
          <w:bCs/>
        </w:rPr>
        <w:t xml:space="preserve"> </w:t>
      </w:r>
      <w:r w:rsidRPr="00625218">
        <w:t>“</w:t>
      </w:r>
      <w:r w:rsidRPr="00F669B8">
        <w:rPr>
          <w:i/>
          <w:iCs/>
        </w:rPr>
        <w:t>+ A1:</w:t>
      </w:r>
      <w:r w:rsidRPr="00F669B8">
        <w:rPr>
          <w:bCs/>
          <w:i/>
          <w:iCs/>
        </w:rPr>
        <w:t>2024</w:t>
      </w:r>
      <w:r w:rsidRPr="00625218">
        <w:rPr>
          <w:bCs/>
        </w:rPr>
        <w:t>”.</w:t>
      </w:r>
    </w:p>
    <w:p w14:paraId="016975DF"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6.8.2.6.1</w:t>
      </w:r>
      <w:r w:rsidRPr="00625218">
        <w:rPr>
          <w:bCs/>
        </w:rPr>
        <w:tab/>
        <w:t>In the table, under “</w:t>
      </w:r>
      <w:r w:rsidRPr="00765913">
        <w:rPr>
          <w:b/>
          <w:i/>
          <w:iCs/>
        </w:rPr>
        <w:t>For equipment</w:t>
      </w:r>
      <w:r w:rsidRPr="00625218">
        <w:rPr>
          <w:bCs/>
        </w:rPr>
        <w:t>”, for standards EN 14432:2014 and EN 14433:2014, in column (3), replace “6.8.2.3.2” by “6.8.2.3.1”.</w:t>
      </w:r>
    </w:p>
    <w:p w14:paraId="45DBA316"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6.8.2.6.2</w:t>
      </w:r>
      <w:r w:rsidRPr="00625218">
        <w:rPr>
          <w:bCs/>
        </w:rPr>
        <w:tab/>
        <w:t>In the table, amend the following:</w:t>
      </w:r>
    </w:p>
    <w:p w14:paraId="160C49E1" w14:textId="13D8D15F" w:rsidR="0051660D" w:rsidRPr="001929BA" w:rsidRDefault="0051660D" w:rsidP="0051660D">
      <w:pPr>
        <w:pStyle w:val="Bullet1G"/>
        <w:tabs>
          <w:tab w:val="clear" w:pos="1701"/>
          <w:tab w:val="num" w:pos="2381"/>
        </w:tabs>
        <w:ind w:left="2381"/>
      </w:pPr>
      <w:r w:rsidRPr="001929BA">
        <w:t>In the row for EN 12972:2018, in column (4), replace “Until further notice” by “Until 31 December 2026”.</w:t>
      </w:r>
    </w:p>
    <w:p w14:paraId="707AF53B" w14:textId="424BDD0F" w:rsidR="0051660D" w:rsidRPr="001929BA" w:rsidRDefault="0051660D" w:rsidP="0051660D">
      <w:pPr>
        <w:pStyle w:val="Bullet1G"/>
        <w:tabs>
          <w:tab w:val="clear" w:pos="1701"/>
          <w:tab w:val="num" w:pos="2381"/>
        </w:tabs>
        <w:ind w:left="2381"/>
      </w:pPr>
      <w:r w:rsidRPr="001929BA">
        <w:t>After the row for EN 12972:2018, insert the following new row:</w:t>
      </w:r>
    </w:p>
    <w:tbl>
      <w:tblPr>
        <w:tblW w:w="723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3119"/>
        <w:gridCol w:w="1276"/>
        <w:gridCol w:w="992"/>
      </w:tblGrid>
      <w:tr w:rsidR="0051660D" w:rsidRPr="00141410" w14:paraId="7A068EDB" w14:textId="77777777" w:rsidTr="00DE4125">
        <w:tc>
          <w:tcPr>
            <w:tcW w:w="1849" w:type="dxa"/>
          </w:tcPr>
          <w:p w14:paraId="381ED6FD" w14:textId="77777777" w:rsidR="0051660D" w:rsidRPr="00765913" w:rsidRDefault="0051660D" w:rsidP="00DE4125">
            <w:pPr>
              <w:widowControl w:val="0"/>
              <w:jc w:val="center"/>
              <w:rPr>
                <w:rFonts w:cs="Arial"/>
                <w:b/>
                <w:bCs/>
                <w:sz w:val="18"/>
                <w:szCs w:val="18"/>
              </w:rPr>
            </w:pPr>
            <w:r w:rsidRPr="00765913">
              <w:rPr>
                <w:rFonts w:cs="Arial"/>
                <w:b/>
                <w:bCs/>
                <w:sz w:val="18"/>
                <w:szCs w:val="18"/>
              </w:rPr>
              <w:t>(1)</w:t>
            </w:r>
          </w:p>
        </w:tc>
        <w:tc>
          <w:tcPr>
            <w:tcW w:w="3119" w:type="dxa"/>
          </w:tcPr>
          <w:p w14:paraId="122A79CF" w14:textId="77777777" w:rsidR="0051660D" w:rsidRPr="00765913" w:rsidRDefault="0051660D" w:rsidP="00DE4125">
            <w:pPr>
              <w:widowControl w:val="0"/>
              <w:jc w:val="center"/>
              <w:rPr>
                <w:rFonts w:cs="Arial"/>
                <w:b/>
                <w:bCs/>
                <w:sz w:val="18"/>
                <w:szCs w:val="18"/>
              </w:rPr>
            </w:pPr>
            <w:r w:rsidRPr="00765913">
              <w:rPr>
                <w:rFonts w:cs="Arial"/>
                <w:b/>
                <w:bCs/>
                <w:sz w:val="18"/>
                <w:szCs w:val="18"/>
              </w:rPr>
              <w:t>(2)</w:t>
            </w:r>
          </w:p>
        </w:tc>
        <w:tc>
          <w:tcPr>
            <w:tcW w:w="1276" w:type="dxa"/>
          </w:tcPr>
          <w:p w14:paraId="028FC222" w14:textId="77777777" w:rsidR="0051660D" w:rsidRPr="00765913" w:rsidRDefault="0051660D" w:rsidP="00DE4125">
            <w:pPr>
              <w:widowControl w:val="0"/>
              <w:jc w:val="center"/>
              <w:rPr>
                <w:rFonts w:cs="Arial"/>
                <w:b/>
                <w:bCs/>
                <w:sz w:val="18"/>
                <w:szCs w:val="18"/>
              </w:rPr>
            </w:pPr>
            <w:r w:rsidRPr="00765913">
              <w:rPr>
                <w:rFonts w:cs="Arial"/>
                <w:b/>
                <w:bCs/>
                <w:sz w:val="18"/>
                <w:szCs w:val="18"/>
              </w:rPr>
              <w:t>(3)</w:t>
            </w:r>
          </w:p>
        </w:tc>
        <w:tc>
          <w:tcPr>
            <w:tcW w:w="992" w:type="dxa"/>
          </w:tcPr>
          <w:p w14:paraId="60175436" w14:textId="77777777" w:rsidR="0051660D" w:rsidRPr="00765913" w:rsidRDefault="0051660D" w:rsidP="00DE4125">
            <w:pPr>
              <w:widowControl w:val="0"/>
              <w:jc w:val="center"/>
              <w:rPr>
                <w:rFonts w:cs="Arial"/>
                <w:b/>
                <w:bCs/>
                <w:sz w:val="18"/>
                <w:szCs w:val="18"/>
              </w:rPr>
            </w:pPr>
            <w:r w:rsidRPr="00765913">
              <w:rPr>
                <w:rFonts w:cs="Arial"/>
                <w:b/>
                <w:bCs/>
                <w:sz w:val="18"/>
                <w:szCs w:val="18"/>
              </w:rPr>
              <w:t>(4)</w:t>
            </w:r>
          </w:p>
        </w:tc>
      </w:tr>
      <w:tr w:rsidR="0051660D" w:rsidRPr="00625218" w14:paraId="706B7DE2" w14:textId="77777777" w:rsidTr="00DE4125">
        <w:tc>
          <w:tcPr>
            <w:tcW w:w="1849" w:type="dxa"/>
            <w:vAlign w:val="center"/>
          </w:tcPr>
          <w:p w14:paraId="68A36656" w14:textId="77777777" w:rsidR="0051660D" w:rsidRPr="00625218" w:rsidRDefault="0051660D" w:rsidP="00DE4125">
            <w:pPr>
              <w:widowControl w:val="0"/>
              <w:rPr>
                <w:rFonts w:cs="Arial"/>
                <w:szCs w:val="22"/>
              </w:rPr>
            </w:pPr>
            <w:r w:rsidRPr="00625218">
              <w:rPr>
                <w:bCs/>
                <w:iCs/>
              </w:rPr>
              <w:t>EN 12972:2018 + A1:</w:t>
            </w:r>
            <w:r w:rsidRPr="00625218">
              <w:rPr>
                <w:iCs/>
              </w:rPr>
              <w:t>2024</w:t>
            </w:r>
          </w:p>
        </w:tc>
        <w:tc>
          <w:tcPr>
            <w:tcW w:w="3119" w:type="dxa"/>
            <w:vAlign w:val="center"/>
          </w:tcPr>
          <w:p w14:paraId="5F99D7F8" w14:textId="77777777" w:rsidR="0051660D" w:rsidRPr="00625218" w:rsidRDefault="0051660D" w:rsidP="00DE4125">
            <w:pPr>
              <w:autoSpaceDE w:val="0"/>
              <w:autoSpaceDN w:val="0"/>
              <w:adjustRightInd w:val="0"/>
              <w:rPr>
                <w:rFonts w:cs="Arial"/>
                <w:bCs/>
                <w:szCs w:val="22"/>
              </w:rPr>
            </w:pPr>
            <w:r w:rsidRPr="00625218">
              <w:rPr>
                <w:rFonts w:cs="Arial"/>
                <w:bCs/>
                <w:szCs w:val="22"/>
              </w:rPr>
              <w:t>Tanks for transport of dangerous goods – Testing, inspection and marking of metallic tanks</w:t>
            </w:r>
          </w:p>
        </w:tc>
        <w:tc>
          <w:tcPr>
            <w:tcW w:w="1276" w:type="dxa"/>
            <w:vAlign w:val="center"/>
          </w:tcPr>
          <w:p w14:paraId="2BFF200F" w14:textId="77777777" w:rsidR="0051660D" w:rsidRPr="00625218" w:rsidRDefault="0051660D" w:rsidP="00DE4125">
            <w:pPr>
              <w:widowControl w:val="0"/>
              <w:rPr>
                <w:rFonts w:cs="Arial"/>
                <w:szCs w:val="22"/>
              </w:rPr>
            </w:pPr>
            <w:r w:rsidRPr="00625218">
              <w:t xml:space="preserve">6.8.2.1.23, </w:t>
            </w:r>
            <w:r>
              <w:t xml:space="preserve">6.8.2.3, </w:t>
            </w:r>
            <w:r w:rsidRPr="00625218">
              <w:t>6.8.2.4 and 6.8.3.4</w:t>
            </w:r>
          </w:p>
        </w:tc>
        <w:tc>
          <w:tcPr>
            <w:tcW w:w="992" w:type="dxa"/>
            <w:vAlign w:val="center"/>
          </w:tcPr>
          <w:p w14:paraId="757DA68E" w14:textId="77777777" w:rsidR="0051660D" w:rsidRPr="00625218" w:rsidRDefault="0051660D" w:rsidP="00DE4125">
            <w:pPr>
              <w:widowControl w:val="0"/>
              <w:jc w:val="center"/>
              <w:rPr>
                <w:rFonts w:cs="Arial"/>
                <w:szCs w:val="22"/>
              </w:rPr>
            </w:pPr>
            <w:r w:rsidRPr="00625218">
              <w:rPr>
                <w:rFonts w:cs="Arial"/>
                <w:szCs w:val="22"/>
              </w:rPr>
              <w:t>Until further notice</w:t>
            </w:r>
          </w:p>
        </w:tc>
      </w:tr>
    </w:tbl>
    <w:p w14:paraId="66C9414F" w14:textId="77777777" w:rsidR="0051660D" w:rsidRPr="00625218" w:rsidRDefault="0051660D" w:rsidP="0051660D">
      <w:pPr>
        <w:pStyle w:val="SingleTxtG"/>
        <w:tabs>
          <w:tab w:val="clear" w:pos="1701"/>
          <w:tab w:val="clear" w:pos="2268"/>
          <w:tab w:val="clear" w:pos="2835"/>
        </w:tabs>
        <w:spacing w:before="120"/>
        <w:ind w:left="2268" w:hanging="1134"/>
        <w:rPr>
          <w:bCs/>
        </w:rPr>
      </w:pPr>
      <w:r w:rsidRPr="00625218">
        <w:rPr>
          <w:bCs/>
        </w:rPr>
        <w:t>6.8.3.2.9.4</w:t>
      </w:r>
      <w:r w:rsidRPr="00625218">
        <w:rPr>
          <w:bCs/>
        </w:rPr>
        <w:tab/>
        <w:t>Amend the first sentence to read</w:t>
      </w:r>
      <w:bookmarkStart w:id="1" w:name="_Hlk159919567"/>
      <w:r>
        <w:rPr>
          <w:bCs/>
        </w:rPr>
        <w:t xml:space="preserve"> </w:t>
      </w:r>
      <w:r w:rsidRPr="00625218">
        <w:rPr>
          <w:bCs/>
        </w:rPr>
        <w:t>“Each safety valve inlet shall be situated on top of the shell as close as practicable to the top generating line.”</w:t>
      </w:r>
    </w:p>
    <w:bookmarkEnd w:id="1"/>
    <w:p w14:paraId="51DB576E"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6.8.4</w:t>
      </w:r>
      <w:r>
        <w:rPr>
          <w:bCs/>
        </w:rPr>
        <w:tab/>
        <w:t>In</w:t>
      </w:r>
      <w:r w:rsidRPr="00625218">
        <w:rPr>
          <w:bCs/>
        </w:rPr>
        <w:t xml:space="preserve"> (d)</w:t>
      </w:r>
      <w:r>
        <w:rPr>
          <w:bCs/>
        </w:rPr>
        <w:t xml:space="preserve">, </w:t>
      </w:r>
      <w:r w:rsidRPr="00625218">
        <w:rPr>
          <w:bCs/>
        </w:rPr>
        <w:t xml:space="preserve"> TT8, amend the last paragraph to read:</w:t>
      </w:r>
    </w:p>
    <w:p w14:paraId="66B5E7BB" w14:textId="77777777" w:rsidR="0051660D" w:rsidRPr="00625218" w:rsidRDefault="0051660D" w:rsidP="0051660D">
      <w:pPr>
        <w:pStyle w:val="SingleTxtG"/>
        <w:rPr>
          <w:bCs/>
        </w:rPr>
      </w:pPr>
      <w:r w:rsidRPr="00625218">
        <w:rPr>
          <w:bCs/>
        </w:rPr>
        <w:t>“Such magnetic particle inspections shall be performed in accordance with EN 12972:2018 + A1:2024.”</w:t>
      </w:r>
    </w:p>
    <w:p w14:paraId="14BC5584" w14:textId="3DE2A0E5" w:rsidR="009D7EFF" w:rsidRDefault="0051660D" w:rsidP="0051660D">
      <w:pPr>
        <w:pStyle w:val="SingleTxtG"/>
        <w:tabs>
          <w:tab w:val="clear" w:pos="1701"/>
          <w:tab w:val="clear" w:pos="2268"/>
          <w:tab w:val="clear" w:pos="2835"/>
        </w:tabs>
        <w:ind w:left="2268" w:hanging="1134"/>
        <w:rPr>
          <w:bCs/>
        </w:rPr>
      </w:pPr>
      <w:r w:rsidRPr="00625218">
        <w:rPr>
          <w:bCs/>
        </w:rPr>
        <w:tab/>
        <w:t xml:space="preserve">In </w:t>
      </w:r>
      <w:r>
        <w:rPr>
          <w:bCs/>
        </w:rPr>
        <w:t xml:space="preserve">(d), </w:t>
      </w:r>
      <w:r w:rsidRPr="00625218">
        <w:rPr>
          <w:bCs/>
        </w:rPr>
        <w:t>TT11</w:t>
      </w:r>
      <w:r w:rsidRPr="00821217">
        <w:rPr>
          <w:bCs/>
        </w:rPr>
        <w:t>, second indent, before</w:t>
      </w:r>
      <w:r>
        <w:rPr>
          <w:bCs/>
        </w:rPr>
        <w:t xml:space="preserve"> “</w:t>
      </w:r>
      <w:r w:rsidRPr="00625218">
        <w:rPr>
          <w:bCs/>
        </w:rPr>
        <w:t>EN ISO 23278:2015</w:t>
      </w:r>
      <w:r w:rsidRPr="00EA3968">
        <w:rPr>
          <w:bCs/>
        </w:rPr>
        <w:t>”, add “level 2X</w:t>
      </w:r>
      <w:r w:rsidR="00EA3968" w:rsidRPr="00EA3968">
        <w:rPr>
          <w:bCs/>
        </w:rPr>
        <w:t xml:space="preserve"> of</w:t>
      </w:r>
      <w:r>
        <w:rPr>
          <w:bCs/>
        </w:rPr>
        <w:t xml:space="preserve">”. </w:t>
      </w:r>
    </w:p>
    <w:p w14:paraId="6B87E9CA" w14:textId="78B883E3" w:rsidR="0051660D" w:rsidRPr="00625218" w:rsidRDefault="009D7EFF" w:rsidP="0051660D">
      <w:pPr>
        <w:pStyle w:val="SingleTxtG"/>
        <w:tabs>
          <w:tab w:val="clear" w:pos="1701"/>
          <w:tab w:val="clear" w:pos="2268"/>
          <w:tab w:val="clear" w:pos="2835"/>
        </w:tabs>
        <w:ind w:left="2268" w:hanging="1134"/>
        <w:rPr>
          <w:bCs/>
        </w:rPr>
      </w:pPr>
      <w:r>
        <w:rPr>
          <w:bCs/>
        </w:rPr>
        <w:tab/>
      </w:r>
      <w:r w:rsidRPr="00821217">
        <w:rPr>
          <w:bCs/>
        </w:rPr>
        <w:t>In (d), TT11, a</w:t>
      </w:r>
      <w:r w:rsidR="0051660D" w:rsidRPr="00821217">
        <w:rPr>
          <w:bCs/>
        </w:rPr>
        <w:t>mend the paragraph after the fourth indent, including</w:t>
      </w:r>
      <w:r w:rsidR="0051660D" w:rsidRPr="00625218">
        <w:rPr>
          <w:bCs/>
        </w:rPr>
        <w:t xml:space="preserve"> the indent of this paragraph to read:</w:t>
      </w:r>
    </w:p>
    <w:p w14:paraId="5820EA0F" w14:textId="77777777" w:rsidR="0051660D" w:rsidRPr="00625218" w:rsidRDefault="0051660D" w:rsidP="0051660D">
      <w:pPr>
        <w:pStyle w:val="SingleTxtG"/>
        <w:rPr>
          <w:bCs/>
        </w:rPr>
      </w:pPr>
      <w:r w:rsidRPr="00625218">
        <w:rPr>
          <w:bCs/>
        </w:rPr>
        <w:t>“Non-destructive checks shall be performed by personnel in accordance with EN 12972:2018 + A1:2024 or EN 14334:2014.”</w:t>
      </w:r>
    </w:p>
    <w:p w14:paraId="01C02F13" w14:textId="77777777" w:rsidR="0051660D" w:rsidRPr="00625218" w:rsidRDefault="0051660D" w:rsidP="0051660D">
      <w:pPr>
        <w:pStyle w:val="H1G"/>
      </w:pPr>
      <w:r w:rsidRPr="00625218">
        <w:tab/>
      </w:r>
      <w:r w:rsidRPr="00625218">
        <w:tab/>
        <w:t>Chapter 6.11</w:t>
      </w:r>
    </w:p>
    <w:p w14:paraId="44DA956A" w14:textId="77777777" w:rsidR="0051660D" w:rsidRPr="00625218" w:rsidRDefault="0051660D" w:rsidP="0051660D">
      <w:pPr>
        <w:pStyle w:val="SingleTxtG"/>
        <w:tabs>
          <w:tab w:val="clear" w:pos="1701"/>
          <w:tab w:val="clear" w:pos="2268"/>
          <w:tab w:val="clear" w:pos="2835"/>
        </w:tabs>
        <w:ind w:left="2268" w:hanging="1134"/>
        <w:rPr>
          <w:bCs/>
        </w:rPr>
      </w:pPr>
      <w:r w:rsidRPr="00625218">
        <w:rPr>
          <w:bCs/>
        </w:rPr>
        <w:t>6.11.4</w:t>
      </w:r>
      <w:r>
        <w:rPr>
          <w:bCs/>
        </w:rPr>
        <w:t>.1</w:t>
      </w:r>
      <w:r w:rsidRPr="00625218">
        <w:rPr>
          <w:bCs/>
        </w:rPr>
        <w:tab/>
        <w:t>The first amendment in the French version does not apply to the English text.</w:t>
      </w:r>
    </w:p>
    <w:p w14:paraId="10A2CF1E" w14:textId="77777777" w:rsidR="0051660D" w:rsidRPr="005E4A53" w:rsidRDefault="0051660D" w:rsidP="0051660D">
      <w:pPr>
        <w:pStyle w:val="SingleTxtG"/>
        <w:tabs>
          <w:tab w:val="clear" w:pos="1701"/>
          <w:tab w:val="clear" w:pos="2268"/>
          <w:tab w:val="clear" w:pos="2835"/>
        </w:tabs>
        <w:ind w:left="2268" w:hanging="1134"/>
        <w:rPr>
          <w:rFonts w:cs="Arial"/>
          <w:szCs w:val="22"/>
        </w:rPr>
      </w:pPr>
      <w:r w:rsidRPr="00625218">
        <w:rPr>
          <w:bCs/>
        </w:rPr>
        <w:tab/>
      </w:r>
      <w:r w:rsidRPr="005E4A53">
        <w:rPr>
          <w:bCs/>
        </w:rPr>
        <w:t xml:space="preserve">In footnote </w:t>
      </w:r>
      <w:r w:rsidRPr="005E4A53">
        <w:rPr>
          <w:bCs/>
          <w:vertAlign w:val="superscript"/>
        </w:rPr>
        <w:t>2</w:t>
      </w:r>
      <w:r w:rsidRPr="005E4A53">
        <w:rPr>
          <w:bCs/>
        </w:rPr>
        <w:t>, replace “Second” by “Third” and “2020” by “2023”.</w:t>
      </w:r>
    </w:p>
    <w:p w14:paraId="50F06094" w14:textId="77777777" w:rsidR="0051660D" w:rsidRPr="005E4A53" w:rsidRDefault="0051660D" w:rsidP="0051660D">
      <w:pPr>
        <w:pStyle w:val="H1G"/>
      </w:pPr>
      <w:r w:rsidRPr="005E4A53">
        <w:tab/>
      </w:r>
      <w:r w:rsidRPr="005E4A53">
        <w:tab/>
        <w:t>Chapter 7.1</w:t>
      </w:r>
    </w:p>
    <w:p w14:paraId="30B5EDD3" w14:textId="77777777" w:rsidR="0051660D" w:rsidRPr="00625218" w:rsidRDefault="0051660D" w:rsidP="0051660D">
      <w:pPr>
        <w:pStyle w:val="SingleTxtG"/>
        <w:tabs>
          <w:tab w:val="clear" w:pos="1701"/>
          <w:tab w:val="clear" w:pos="2268"/>
          <w:tab w:val="clear" w:pos="2835"/>
        </w:tabs>
        <w:ind w:left="2268" w:hanging="1134"/>
        <w:rPr>
          <w:rFonts w:cs="Arial"/>
          <w:i/>
          <w:iCs/>
          <w:szCs w:val="22"/>
        </w:rPr>
      </w:pPr>
      <w:r w:rsidRPr="005E4A53">
        <w:rPr>
          <w:bCs/>
        </w:rPr>
        <w:t>7.1.3</w:t>
      </w:r>
      <w:r w:rsidRPr="005E4A53">
        <w:rPr>
          <w:bCs/>
        </w:rPr>
        <w:tab/>
        <w:t xml:space="preserve">In footnote </w:t>
      </w:r>
      <w:r w:rsidRPr="005E4A53">
        <w:rPr>
          <w:bCs/>
          <w:vertAlign w:val="superscript"/>
        </w:rPr>
        <w:t>2</w:t>
      </w:r>
      <w:r w:rsidRPr="005E4A53">
        <w:rPr>
          <w:bCs/>
        </w:rPr>
        <w:t>, replace “Second</w:t>
      </w:r>
      <w:r>
        <w:rPr>
          <w:bCs/>
        </w:rPr>
        <w:t>” by “Third” and “2020” by “2023”.</w:t>
      </w:r>
    </w:p>
    <w:p w14:paraId="4E718C3F" w14:textId="77777777" w:rsidR="0051660D" w:rsidRPr="00625218" w:rsidRDefault="0051660D" w:rsidP="0051660D">
      <w:pPr>
        <w:pStyle w:val="H1G"/>
      </w:pPr>
      <w:r w:rsidRPr="00625218">
        <w:tab/>
      </w:r>
      <w:r w:rsidRPr="00625218">
        <w:tab/>
        <w:t>Chapter 7.3</w:t>
      </w:r>
    </w:p>
    <w:p w14:paraId="751E297F" w14:textId="77777777" w:rsidR="0051660D" w:rsidRPr="00625218" w:rsidRDefault="0051660D" w:rsidP="0051660D">
      <w:pPr>
        <w:pStyle w:val="SingleTxtG"/>
        <w:tabs>
          <w:tab w:val="clear" w:pos="1701"/>
          <w:tab w:val="clear" w:pos="2268"/>
          <w:tab w:val="clear" w:pos="2835"/>
        </w:tabs>
        <w:ind w:left="2268" w:hanging="1134"/>
        <w:rPr>
          <w:bCs/>
        </w:rPr>
      </w:pPr>
      <w:r w:rsidRPr="003D67B0">
        <w:rPr>
          <w:bCs/>
        </w:rPr>
        <w:t>7.3.3.2.6</w:t>
      </w:r>
      <w:r w:rsidRPr="003D67B0">
        <w:rPr>
          <w:bCs/>
        </w:rPr>
        <w:tab/>
        <w:t>The amendments in the French version do not apply to the English text.</w:t>
      </w:r>
    </w:p>
    <w:p w14:paraId="212ADA76" w14:textId="77777777" w:rsidR="0051660D" w:rsidRPr="0038459B" w:rsidRDefault="0051660D" w:rsidP="0051660D">
      <w:pPr>
        <w:pStyle w:val="H1G"/>
      </w:pPr>
      <w:r w:rsidRPr="0038459B">
        <w:tab/>
      </w:r>
      <w:r w:rsidRPr="0038459B">
        <w:tab/>
        <w:t>Chapter 9.2</w:t>
      </w:r>
    </w:p>
    <w:p w14:paraId="75B6E697" w14:textId="15388028" w:rsidR="006C2F7D" w:rsidRDefault="0051660D" w:rsidP="0051660D">
      <w:pPr>
        <w:pStyle w:val="SingleTxtG"/>
        <w:tabs>
          <w:tab w:val="clear" w:pos="1701"/>
          <w:tab w:val="clear" w:pos="2268"/>
          <w:tab w:val="clear" w:pos="2835"/>
        </w:tabs>
        <w:ind w:left="2268" w:hanging="1134"/>
      </w:pPr>
      <w:r>
        <w:t>9.2.1.1</w:t>
      </w:r>
      <w:r w:rsidR="006C2F7D">
        <w:tab/>
      </w:r>
      <w:r w:rsidR="006C2F7D" w:rsidRPr="006C2F7D">
        <w:t xml:space="preserve">In the second indent of the second paragraph, replace </w:t>
      </w:r>
      <w:r w:rsidR="006C2F7D">
        <w:t>“</w:t>
      </w:r>
      <w:r w:rsidR="006C2F7D" w:rsidRPr="006C2F7D">
        <w:t>9.2.5</w:t>
      </w:r>
      <w:r w:rsidR="006C2F7D">
        <w:t>”</w:t>
      </w:r>
      <w:r w:rsidR="006C2F7D" w:rsidRPr="006C2F7D">
        <w:t xml:space="preserve"> </w:t>
      </w:r>
      <w:r w:rsidR="006C2F7D">
        <w:t>by “</w:t>
      </w:r>
      <w:r w:rsidR="006C2F7D" w:rsidRPr="006C2F7D">
        <w:t>9.2.6</w:t>
      </w:r>
      <w:r w:rsidR="006C2F7D">
        <w:t>”</w:t>
      </w:r>
      <w:r w:rsidR="006C2F7D" w:rsidRPr="006C2F7D">
        <w:t>.</w:t>
      </w:r>
    </w:p>
    <w:p w14:paraId="040B94F2" w14:textId="41124A3D" w:rsidR="0051660D" w:rsidRDefault="0051660D" w:rsidP="0051660D">
      <w:pPr>
        <w:pStyle w:val="SingleTxtG"/>
        <w:tabs>
          <w:tab w:val="clear" w:pos="1701"/>
          <w:tab w:val="clear" w:pos="2268"/>
          <w:tab w:val="clear" w:pos="2835"/>
        </w:tabs>
        <w:ind w:left="2268" w:hanging="1134"/>
      </w:pPr>
      <w:r>
        <w:tab/>
      </w:r>
      <w:r w:rsidRPr="002D45F3">
        <w:t xml:space="preserve">Amend the following </w:t>
      </w:r>
      <w:r>
        <w:t>rows</w:t>
      </w:r>
      <w:r w:rsidRPr="002D45F3">
        <w:t xml:space="preserve"> in the table</w:t>
      </w:r>
      <w:r>
        <w:t>:</w:t>
      </w:r>
    </w:p>
    <w:p w14:paraId="4B5DC49B" w14:textId="77777777" w:rsidR="0051660D" w:rsidRPr="00456698" w:rsidRDefault="0051660D" w:rsidP="0051660D">
      <w:pPr>
        <w:pStyle w:val="Bullet1G"/>
        <w:tabs>
          <w:tab w:val="clear" w:pos="1701"/>
          <w:tab w:val="num" w:pos="2381"/>
        </w:tabs>
        <w:ind w:left="2381"/>
      </w:pPr>
      <w:r w:rsidRPr="00456698">
        <w:t>For 9.2.4, replace “</w:t>
      </w:r>
      <w:r w:rsidRPr="00F669B8">
        <w:t>PREVENTION OF FIRE RISKS</w:t>
      </w:r>
      <w:r w:rsidRPr="00456698">
        <w:t>” by “</w:t>
      </w:r>
      <w:r w:rsidRPr="00F669B8">
        <w:t>VEHICLE PROPULSION SYSTEM</w:t>
      </w:r>
      <w:r w:rsidRPr="00456698">
        <w:t>”.</w:t>
      </w:r>
    </w:p>
    <w:p w14:paraId="674C4D17" w14:textId="77777777" w:rsidR="0051660D" w:rsidRDefault="0051660D" w:rsidP="0051660D">
      <w:pPr>
        <w:pStyle w:val="Bullet1G"/>
        <w:tabs>
          <w:tab w:val="clear" w:pos="1701"/>
          <w:tab w:val="num" w:pos="2381"/>
        </w:tabs>
        <w:ind w:left="2381"/>
      </w:pPr>
      <w:r>
        <w:t xml:space="preserve">For </w:t>
      </w:r>
      <w:r w:rsidRPr="009122B2">
        <w:t>9.2.4.3</w:t>
      </w:r>
      <w:r>
        <w:rPr>
          <w:lang w:val="en-US"/>
        </w:rPr>
        <w:t>,</w:t>
      </w:r>
      <w:r>
        <w:t xml:space="preserve"> r</w:t>
      </w:r>
      <w:r w:rsidRPr="009122B2">
        <w:t>enumber as 9.2.4.2, in the column for “AT”</w:t>
      </w:r>
      <w:r>
        <w:t>, add “</w:t>
      </w:r>
      <w:proofErr w:type="spellStart"/>
      <w:r>
        <w:t>X</w:t>
      </w:r>
      <w:r>
        <w:rPr>
          <w:vertAlign w:val="superscript"/>
        </w:rPr>
        <w:t>h</w:t>
      </w:r>
      <w:proofErr w:type="spellEnd"/>
      <w:r>
        <w:t>”</w:t>
      </w:r>
      <w:r w:rsidRPr="009122B2">
        <w:t xml:space="preserve"> and </w:t>
      </w:r>
      <w:r>
        <w:t>in</w:t>
      </w:r>
      <w:r w:rsidRPr="009122B2">
        <w:t xml:space="preserve"> column “COMMENTS”</w:t>
      </w:r>
      <w:r>
        <w:t>,</w:t>
      </w:r>
      <w:r w:rsidRPr="009122B2">
        <w:t xml:space="preserve"> add “</w:t>
      </w:r>
      <w:r>
        <w:rPr>
          <w:vertAlign w:val="superscript"/>
        </w:rPr>
        <w:t xml:space="preserve">h </w:t>
      </w:r>
      <w:r w:rsidRPr="009122B2">
        <w:t xml:space="preserve">Applicable to motor </w:t>
      </w:r>
      <w:r w:rsidRPr="0038459B">
        <w:t xml:space="preserve">vehicles using </w:t>
      </w:r>
      <w:r w:rsidRPr="00AF2221">
        <w:t>fuels</w:t>
      </w:r>
      <w:r w:rsidRPr="0038459B">
        <w:t xml:space="preserve"> other than hydrogen, first registered after 31 December 2026</w:t>
      </w:r>
      <w:r w:rsidRPr="009122B2">
        <w:t>”.</w:t>
      </w:r>
    </w:p>
    <w:p w14:paraId="753662F0" w14:textId="77777777" w:rsidR="0051660D" w:rsidRDefault="0051660D" w:rsidP="0051660D">
      <w:pPr>
        <w:pStyle w:val="Bullet1G"/>
        <w:tabs>
          <w:tab w:val="clear" w:pos="1701"/>
          <w:tab w:val="num" w:pos="2381"/>
        </w:tabs>
        <w:ind w:left="2381"/>
      </w:pPr>
      <w:r w:rsidRPr="0038459B">
        <w:t>Replace the row</w:t>
      </w:r>
      <w:r>
        <w:t>s</w:t>
      </w:r>
      <w:r w:rsidRPr="0038459B">
        <w:t xml:space="preserve"> for 9.2.4.4</w:t>
      </w:r>
      <w:r>
        <w:t xml:space="preserve"> to 9.2.4.7 </w:t>
      </w:r>
      <w:r w:rsidRPr="0038459B">
        <w:t>by</w:t>
      </w:r>
      <w:r>
        <w:t>:</w:t>
      </w:r>
    </w:p>
    <w:tbl>
      <w:tblPr>
        <w:tblStyle w:val="TableGrid"/>
        <w:tblW w:w="8505" w:type="dxa"/>
        <w:tblInd w:w="1129" w:type="dxa"/>
        <w:tblCellMar>
          <w:top w:w="28" w:type="dxa"/>
          <w:left w:w="57" w:type="dxa"/>
          <w:bottom w:w="28" w:type="dxa"/>
          <w:right w:w="57" w:type="dxa"/>
        </w:tblCellMar>
        <w:tblLook w:val="04A0" w:firstRow="1" w:lastRow="0" w:firstColumn="1" w:lastColumn="0" w:noHBand="0" w:noVBand="1"/>
      </w:tblPr>
      <w:tblGrid>
        <w:gridCol w:w="987"/>
        <w:gridCol w:w="2238"/>
        <w:gridCol w:w="434"/>
        <w:gridCol w:w="434"/>
        <w:gridCol w:w="414"/>
        <w:gridCol w:w="434"/>
        <w:gridCol w:w="3564"/>
      </w:tblGrid>
      <w:tr w:rsidR="0051660D" w:rsidRPr="0038459B" w14:paraId="4F1596C3" w14:textId="77777777" w:rsidTr="008A79F5">
        <w:tc>
          <w:tcPr>
            <w:tcW w:w="987" w:type="dxa"/>
            <w:tcBorders>
              <w:top w:val="single" w:sz="4" w:space="0" w:color="auto"/>
              <w:left w:val="single" w:sz="4" w:space="0" w:color="auto"/>
              <w:bottom w:val="single" w:sz="4" w:space="0" w:color="auto"/>
              <w:right w:val="single" w:sz="4" w:space="0" w:color="auto"/>
            </w:tcBorders>
          </w:tcPr>
          <w:p w14:paraId="427E8D7E" w14:textId="77777777" w:rsidR="0051660D" w:rsidRPr="0038459B" w:rsidRDefault="0051660D" w:rsidP="005542FE">
            <w:pPr>
              <w:adjustRightInd w:val="0"/>
              <w:snapToGrid w:val="0"/>
            </w:pPr>
            <w:r w:rsidRPr="0038459B">
              <w:t>9.2.4.3</w:t>
            </w:r>
          </w:p>
        </w:tc>
        <w:tc>
          <w:tcPr>
            <w:tcW w:w="2238" w:type="dxa"/>
            <w:tcBorders>
              <w:top w:val="single" w:sz="4" w:space="0" w:color="auto"/>
              <w:left w:val="single" w:sz="4" w:space="0" w:color="auto"/>
              <w:bottom w:val="single" w:sz="4" w:space="0" w:color="auto"/>
              <w:right w:val="single" w:sz="4" w:space="0" w:color="auto"/>
            </w:tcBorders>
          </w:tcPr>
          <w:p w14:paraId="0C0701CE" w14:textId="77777777" w:rsidR="0051660D" w:rsidRPr="0038459B" w:rsidRDefault="0051660D" w:rsidP="008A79F5">
            <w:pPr>
              <w:adjustRightInd w:val="0"/>
              <w:snapToGrid w:val="0"/>
            </w:pPr>
            <w:r w:rsidRPr="0038459B">
              <w:t>Internal combustion engine</w:t>
            </w:r>
          </w:p>
        </w:tc>
        <w:tc>
          <w:tcPr>
            <w:tcW w:w="434" w:type="dxa"/>
            <w:tcBorders>
              <w:top w:val="single" w:sz="4" w:space="0" w:color="auto"/>
              <w:left w:val="single" w:sz="4" w:space="0" w:color="auto"/>
              <w:bottom w:val="single" w:sz="4" w:space="0" w:color="auto"/>
              <w:right w:val="single" w:sz="4" w:space="0" w:color="auto"/>
            </w:tcBorders>
          </w:tcPr>
          <w:p w14:paraId="03DCE5F3" w14:textId="77777777" w:rsidR="0051660D" w:rsidRPr="0038459B" w:rsidRDefault="0051660D" w:rsidP="008A79F5">
            <w:pPr>
              <w:adjustRightInd w:val="0"/>
              <w:snapToGrid w:val="0"/>
              <w:jc w:val="center"/>
            </w:pPr>
            <w:r w:rsidRPr="0038459B">
              <w:t>X</w:t>
            </w:r>
          </w:p>
        </w:tc>
        <w:tc>
          <w:tcPr>
            <w:tcW w:w="434" w:type="dxa"/>
            <w:tcBorders>
              <w:top w:val="single" w:sz="4" w:space="0" w:color="auto"/>
              <w:left w:val="single" w:sz="4" w:space="0" w:color="auto"/>
              <w:bottom w:val="single" w:sz="4" w:space="0" w:color="auto"/>
              <w:right w:val="single" w:sz="4" w:space="0" w:color="auto"/>
            </w:tcBorders>
          </w:tcPr>
          <w:p w14:paraId="4C6E51E6" w14:textId="77777777" w:rsidR="0051660D" w:rsidRPr="0038459B" w:rsidRDefault="0051660D" w:rsidP="008A79F5">
            <w:pPr>
              <w:adjustRightInd w:val="0"/>
              <w:snapToGrid w:val="0"/>
              <w:jc w:val="center"/>
            </w:pPr>
            <w:r w:rsidRPr="0038459B">
              <w:t>X</w:t>
            </w:r>
          </w:p>
        </w:tc>
        <w:tc>
          <w:tcPr>
            <w:tcW w:w="414" w:type="dxa"/>
            <w:tcBorders>
              <w:top w:val="single" w:sz="4" w:space="0" w:color="auto"/>
              <w:left w:val="single" w:sz="4" w:space="0" w:color="auto"/>
              <w:bottom w:val="single" w:sz="4" w:space="0" w:color="auto"/>
              <w:right w:val="single" w:sz="4" w:space="0" w:color="auto"/>
            </w:tcBorders>
          </w:tcPr>
          <w:p w14:paraId="3F48CE5B" w14:textId="77777777" w:rsidR="0051660D" w:rsidRPr="0038459B" w:rsidRDefault="0051660D" w:rsidP="008A79F5">
            <w:pPr>
              <w:adjustRightInd w:val="0"/>
              <w:snapToGrid w:val="0"/>
              <w:jc w:val="center"/>
            </w:pPr>
            <w:r w:rsidRPr="0038459B">
              <w:t>X</w:t>
            </w:r>
            <w:r w:rsidRPr="008A79F5">
              <w:rPr>
                <w:vertAlign w:val="superscript"/>
              </w:rPr>
              <w:t>i</w:t>
            </w:r>
          </w:p>
        </w:tc>
        <w:tc>
          <w:tcPr>
            <w:tcW w:w="434" w:type="dxa"/>
            <w:tcBorders>
              <w:top w:val="single" w:sz="4" w:space="0" w:color="auto"/>
              <w:left w:val="single" w:sz="4" w:space="0" w:color="auto"/>
              <w:bottom w:val="single" w:sz="4" w:space="0" w:color="auto"/>
              <w:right w:val="single" w:sz="4" w:space="0" w:color="auto"/>
            </w:tcBorders>
          </w:tcPr>
          <w:p w14:paraId="67213ED1" w14:textId="77777777" w:rsidR="0051660D" w:rsidRPr="0038459B" w:rsidRDefault="0051660D" w:rsidP="008A79F5">
            <w:pPr>
              <w:adjustRightInd w:val="0"/>
              <w:snapToGrid w:val="0"/>
              <w:jc w:val="center"/>
            </w:pPr>
            <w:r w:rsidRPr="0038459B">
              <w:t>X</w:t>
            </w:r>
          </w:p>
        </w:tc>
        <w:tc>
          <w:tcPr>
            <w:tcW w:w="3564" w:type="dxa"/>
            <w:tcBorders>
              <w:top w:val="single" w:sz="4" w:space="0" w:color="auto"/>
              <w:left w:val="single" w:sz="4" w:space="0" w:color="auto"/>
              <w:bottom w:val="single" w:sz="4" w:space="0" w:color="auto"/>
              <w:right w:val="single" w:sz="4" w:space="0" w:color="auto"/>
            </w:tcBorders>
          </w:tcPr>
          <w:p w14:paraId="0173B5E4" w14:textId="77777777" w:rsidR="0051660D" w:rsidRPr="0038459B" w:rsidRDefault="0051660D" w:rsidP="008A79F5">
            <w:pPr>
              <w:adjustRightInd w:val="0"/>
              <w:snapToGrid w:val="0"/>
              <w:rPr>
                <w:vertAlign w:val="superscript"/>
              </w:rPr>
            </w:pPr>
            <w:proofErr w:type="spellStart"/>
            <w:r>
              <w:rPr>
                <w:vertAlign w:val="superscript"/>
              </w:rPr>
              <w:t>i</w:t>
            </w:r>
            <w:proofErr w:type="spellEnd"/>
            <w:r w:rsidRPr="0038459B">
              <w:rPr>
                <w:vertAlign w:val="superscript"/>
              </w:rPr>
              <w:t xml:space="preserve"> </w:t>
            </w:r>
            <w:r w:rsidRPr="0038459B">
              <w:t>Applicable to motor vehicles first registered after 31 December 2026.</w:t>
            </w:r>
          </w:p>
        </w:tc>
      </w:tr>
      <w:tr w:rsidR="0051660D" w:rsidRPr="0038459B" w14:paraId="73344728" w14:textId="77777777" w:rsidTr="008A79F5">
        <w:tc>
          <w:tcPr>
            <w:tcW w:w="987" w:type="dxa"/>
            <w:tcBorders>
              <w:top w:val="single" w:sz="4" w:space="0" w:color="auto"/>
              <w:left w:val="single" w:sz="4" w:space="0" w:color="auto"/>
              <w:bottom w:val="single" w:sz="4" w:space="0" w:color="auto"/>
              <w:right w:val="single" w:sz="4" w:space="0" w:color="auto"/>
            </w:tcBorders>
          </w:tcPr>
          <w:p w14:paraId="0A4593C1" w14:textId="77777777" w:rsidR="0051660D" w:rsidRPr="0038459B" w:rsidRDefault="0051660D" w:rsidP="005542FE">
            <w:pPr>
              <w:adjustRightInd w:val="0"/>
              <w:snapToGrid w:val="0"/>
            </w:pPr>
            <w:r w:rsidRPr="0038459B">
              <w:t>9.2.4.3.1</w:t>
            </w:r>
          </w:p>
        </w:tc>
        <w:tc>
          <w:tcPr>
            <w:tcW w:w="2238" w:type="dxa"/>
            <w:tcBorders>
              <w:top w:val="single" w:sz="4" w:space="0" w:color="auto"/>
              <w:left w:val="single" w:sz="4" w:space="0" w:color="auto"/>
              <w:bottom w:val="single" w:sz="4" w:space="0" w:color="auto"/>
              <w:right w:val="single" w:sz="4" w:space="0" w:color="auto"/>
            </w:tcBorders>
          </w:tcPr>
          <w:p w14:paraId="2A421B0C" w14:textId="77777777" w:rsidR="0051660D" w:rsidRPr="0038459B" w:rsidRDefault="0051660D" w:rsidP="008A79F5">
            <w:pPr>
              <w:adjustRightInd w:val="0"/>
              <w:snapToGrid w:val="0"/>
            </w:pPr>
            <w:r w:rsidRPr="0038459B">
              <w:t>Engine</w:t>
            </w:r>
          </w:p>
        </w:tc>
        <w:tc>
          <w:tcPr>
            <w:tcW w:w="434" w:type="dxa"/>
            <w:tcBorders>
              <w:top w:val="single" w:sz="4" w:space="0" w:color="auto"/>
              <w:left w:val="single" w:sz="4" w:space="0" w:color="auto"/>
              <w:bottom w:val="single" w:sz="4" w:space="0" w:color="auto"/>
              <w:right w:val="single" w:sz="4" w:space="0" w:color="auto"/>
            </w:tcBorders>
            <w:hideMark/>
          </w:tcPr>
          <w:p w14:paraId="45145D39" w14:textId="77777777" w:rsidR="0051660D" w:rsidRPr="0038459B" w:rsidRDefault="0051660D" w:rsidP="008A79F5">
            <w:pPr>
              <w:adjustRightInd w:val="0"/>
              <w:snapToGrid w:val="0"/>
              <w:jc w:val="center"/>
            </w:pPr>
            <w:r w:rsidRPr="0038459B">
              <w:t>X</w:t>
            </w:r>
          </w:p>
        </w:tc>
        <w:tc>
          <w:tcPr>
            <w:tcW w:w="434" w:type="dxa"/>
            <w:tcBorders>
              <w:top w:val="single" w:sz="4" w:space="0" w:color="auto"/>
              <w:left w:val="single" w:sz="4" w:space="0" w:color="auto"/>
              <w:bottom w:val="single" w:sz="4" w:space="0" w:color="auto"/>
              <w:right w:val="single" w:sz="4" w:space="0" w:color="auto"/>
            </w:tcBorders>
            <w:hideMark/>
          </w:tcPr>
          <w:p w14:paraId="39492096" w14:textId="77777777" w:rsidR="0051660D" w:rsidRPr="0038459B" w:rsidRDefault="0051660D" w:rsidP="008A79F5">
            <w:pPr>
              <w:adjustRightInd w:val="0"/>
              <w:snapToGrid w:val="0"/>
              <w:jc w:val="center"/>
            </w:pPr>
            <w:r w:rsidRPr="0038459B">
              <w:t>X</w:t>
            </w:r>
          </w:p>
        </w:tc>
        <w:tc>
          <w:tcPr>
            <w:tcW w:w="414" w:type="dxa"/>
            <w:tcBorders>
              <w:top w:val="single" w:sz="4" w:space="0" w:color="auto"/>
              <w:left w:val="single" w:sz="4" w:space="0" w:color="auto"/>
              <w:bottom w:val="single" w:sz="4" w:space="0" w:color="auto"/>
              <w:right w:val="single" w:sz="4" w:space="0" w:color="auto"/>
            </w:tcBorders>
            <w:hideMark/>
          </w:tcPr>
          <w:p w14:paraId="4573DBE8" w14:textId="77777777" w:rsidR="0051660D" w:rsidRPr="0038459B" w:rsidRDefault="0051660D" w:rsidP="008A79F5">
            <w:pPr>
              <w:adjustRightInd w:val="0"/>
              <w:snapToGrid w:val="0"/>
              <w:jc w:val="center"/>
            </w:pPr>
            <w:r w:rsidRPr="0038459B">
              <w:t>X</w:t>
            </w:r>
            <w:r w:rsidRPr="008A79F5">
              <w:rPr>
                <w:vertAlign w:val="superscript"/>
              </w:rPr>
              <w:t>i</w:t>
            </w:r>
          </w:p>
        </w:tc>
        <w:tc>
          <w:tcPr>
            <w:tcW w:w="434" w:type="dxa"/>
            <w:tcBorders>
              <w:top w:val="single" w:sz="4" w:space="0" w:color="auto"/>
              <w:left w:val="single" w:sz="4" w:space="0" w:color="auto"/>
              <w:bottom w:val="single" w:sz="4" w:space="0" w:color="auto"/>
              <w:right w:val="single" w:sz="4" w:space="0" w:color="auto"/>
            </w:tcBorders>
            <w:hideMark/>
          </w:tcPr>
          <w:p w14:paraId="08C81CB7" w14:textId="77777777" w:rsidR="0051660D" w:rsidRPr="0038459B" w:rsidRDefault="0051660D" w:rsidP="008A79F5">
            <w:pPr>
              <w:adjustRightInd w:val="0"/>
              <w:snapToGrid w:val="0"/>
              <w:jc w:val="center"/>
            </w:pPr>
            <w:r w:rsidRPr="0038459B">
              <w:t>X</w:t>
            </w:r>
          </w:p>
        </w:tc>
        <w:tc>
          <w:tcPr>
            <w:tcW w:w="3564" w:type="dxa"/>
            <w:tcBorders>
              <w:top w:val="single" w:sz="4" w:space="0" w:color="auto"/>
              <w:left w:val="single" w:sz="4" w:space="0" w:color="auto"/>
              <w:bottom w:val="single" w:sz="4" w:space="0" w:color="auto"/>
              <w:right w:val="single" w:sz="4" w:space="0" w:color="auto"/>
            </w:tcBorders>
            <w:hideMark/>
          </w:tcPr>
          <w:p w14:paraId="00024C43" w14:textId="77777777" w:rsidR="0051660D" w:rsidRPr="0038459B" w:rsidRDefault="0051660D" w:rsidP="008A79F5">
            <w:pPr>
              <w:adjustRightInd w:val="0"/>
              <w:snapToGrid w:val="0"/>
              <w:rPr>
                <w:i/>
                <w:iCs/>
              </w:rPr>
            </w:pPr>
            <w:proofErr w:type="spellStart"/>
            <w:r>
              <w:rPr>
                <w:vertAlign w:val="superscript"/>
              </w:rPr>
              <w:t>i</w:t>
            </w:r>
            <w:proofErr w:type="spellEnd"/>
            <w:r w:rsidRPr="0038459B">
              <w:rPr>
                <w:vertAlign w:val="superscript"/>
              </w:rPr>
              <w:t xml:space="preserve"> </w:t>
            </w:r>
            <w:r w:rsidRPr="0038459B">
              <w:t>Applicable to motor vehicles first registered after 31 December 2026.</w:t>
            </w:r>
          </w:p>
        </w:tc>
      </w:tr>
      <w:tr w:rsidR="0051660D" w:rsidRPr="0038459B" w14:paraId="23475C20" w14:textId="77777777" w:rsidTr="008A79F5">
        <w:tc>
          <w:tcPr>
            <w:tcW w:w="987" w:type="dxa"/>
            <w:tcBorders>
              <w:top w:val="single" w:sz="4" w:space="0" w:color="auto"/>
              <w:left w:val="single" w:sz="4" w:space="0" w:color="auto"/>
              <w:bottom w:val="single" w:sz="4" w:space="0" w:color="auto"/>
              <w:right w:val="single" w:sz="4" w:space="0" w:color="auto"/>
            </w:tcBorders>
          </w:tcPr>
          <w:p w14:paraId="379AB8CD" w14:textId="77777777" w:rsidR="0051660D" w:rsidRPr="0038459B" w:rsidRDefault="0051660D" w:rsidP="005542FE">
            <w:pPr>
              <w:adjustRightInd w:val="0"/>
              <w:snapToGrid w:val="0"/>
            </w:pPr>
            <w:r w:rsidRPr="0038459B">
              <w:t>9.2.4.3.2</w:t>
            </w:r>
          </w:p>
          <w:p w14:paraId="45B06E0F" w14:textId="77777777" w:rsidR="0051660D" w:rsidRPr="0038459B" w:rsidRDefault="0051660D" w:rsidP="005542FE">
            <w:pPr>
              <w:adjustRightInd w:val="0"/>
              <w:snapToGrid w:val="0"/>
              <w:ind w:left="139"/>
            </w:pPr>
          </w:p>
        </w:tc>
        <w:tc>
          <w:tcPr>
            <w:tcW w:w="2238" w:type="dxa"/>
            <w:tcBorders>
              <w:top w:val="single" w:sz="4" w:space="0" w:color="auto"/>
              <w:left w:val="single" w:sz="4" w:space="0" w:color="auto"/>
              <w:bottom w:val="single" w:sz="4" w:space="0" w:color="auto"/>
              <w:right w:val="single" w:sz="4" w:space="0" w:color="auto"/>
            </w:tcBorders>
          </w:tcPr>
          <w:p w14:paraId="1C7B0A45" w14:textId="77777777" w:rsidR="0051660D" w:rsidRPr="0038459B" w:rsidRDefault="0051660D" w:rsidP="008A79F5">
            <w:pPr>
              <w:adjustRightInd w:val="0"/>
              <w:snapToGrid w:val="0"/>
            </w:pPr>
            <w:r w:rsidRPr="0038459B">
              <w:t>Exhaust system</w:t>
            </w:r>
          </w:p>
        </w:tc>
        <w:tc>
          <w:tcPr>
            <w:tcW w:w="434" w:type="dxa"/>
            <w:tcBorders>
              <w:top w:val="single" w:sz="4" w:space="0" w:color="auto"/>
              <w:left w:val="single" w:sz="4" w:space="0" w:color="auto"/>
              <w:bottom w:val="single" w:sz="4" w:space="0" w:color="auto"/>
              <w:right w:val="single" w:sz="4" w:space="0" w:color="auto"/>
            </w:tcBorders>
          </w:tcPr>
          <w:p w14:paraId="3745C438" w14:textId="77777777" w:rsidR="0051660D" w:rsidRPr="0038459B" w:rsidRDefault="0051660D" w:rsidP="008A79F5">
            <w:pPr>
              <w:adjustRightInd w:val="0"/>
              <w:snapToGrid w:val="0"/>
              <w:jc w:val="center"/>
            </w:pPr>
            <w:r w:rsidRPr="0038459B">
              <w:t>X</w:t>
            </w:r>
          </w:p>
        </w:tc>
        <w:tc>
          <w:tcPr>
            <w:tcW w:w="434" w:type="dxa"/>
            <w:tcBorders>
              <w:top w:val="single" w:sz="4" w:space="0" w:color="auto"/>
              <w:left w:val="single" w:sz="4" w:space="0" w:color="auto"/>
              <w:bottom w:val="single" w:sz="4" w:space="0" w:color="auto"/>
              <w:right w:val="single" w:sz="4" w:space="0" w:color="auto"/>
            </w:tcBorders>
          </w:tcPr>
          <w:p w14:paraId="0A85794E" w14:textId="77777777" w:rsidR="0051660D" w:rsidRPr="0038459B" w:rsidRDefault="0051660D" w:rsidP="008A79F5">
            <w:pPr>
              <w:adjustRightInd w:val="0"/>
              <w:snapToGrid w:val="0"/>
              <w:jc w:val="center"/>
            </w:pPr>
            <w:r w:rsidRPr="0038459B">
              <w:t>X</w:t>
            </w:r>
          </w:p>
        </w:tc>
        <w:tc>
          <w:tcPr>
            <w:tcW w:w="414" w:type="dxa"/>
            <w:tcBorders>
              <w:top w:val="single" w:sz="4" w:space="0" w:color="auto"/>
              <w:left w:val="single" w:sz="4" w:space="0" w:color="auto"/>
              <w:bottom w:val="single" w:sz="4" w:space="0" w:color="auto"/>
              <w:right w:val="single" w:sz="4" w:space="0" w:color="auto"/>
            </w:tcBorders>
          </w:tcPr>
          <w:p w14:paraId="3D8B5A76" w14:textId="77777777" w:rsidR="0051660D" w:rsidRPr="0038459B" w:rsidRDefault="0051660D" w:rsidP="008A79F5">
            <w:pPr>
              <w:adjustRightInd w:val="0"/>
              <w:snapToGrid w:val="0"/>
              <w:jc w:val="center"/>
            </w:pPr>
          </w:p>
        </w:tc>
        <w:tc>
          <w:tcPr>
            <w:tcW w:w="434" w:type="dxa"/>
            <w:tcBorders>
              <w:top w:val="single" w:sz="4" w:space="0" w:color="auto"/>
              <w:left w:val="single" w:sz="4" w:space="0" w:color="auto"/>
              <w:bottom w:val="single" w:sz="4" w:space="0" w:color="auto"/>
              <w:right w:val="single" w:sz="4" w:space="0" w:color="auto"/>
            </w:tcBorders>
          </w:tcPr>
          <w:p w14:paraId="261A3264" w14:textId="77777777" w:rsidR="0051660D" w:rsidRPr="0038459B" w:rsidRDefault="0051660D" w:rsidP="008A79F5">
            <w:pPr>
              <w:adjustRightInd w:val="0"/>
              <w:snapToGrid w:val="0"/>
              <w:jc w:val="center"/>
            </w:pPr>
            <w:r w:rsidRPr="0038459B">
              <w:t>X</w:t>
            </w:r>
          </w:p>
        </w:tc>
        <w:tc>
          <w:tcPr>
            <w:tcW w:w="3564" w:type="dxa"/>
            <w:tcBorders>
              <w:top w:val="single" w:sz="4" w:space="0" w:color="auto"/>
              <w:left w:val="single" w:sz="4" w:space="0" w:color="auto"/>
              <w:bottom w:val="single" w:sz="4" w:space="0" w:color="auto"/>
              <w:right w:val="single" w:sz="4" w:space="0" w:color="auto"/>
            </w:tcBorders>
          </w:tcPr>
          <w:p w14:paraId="560BF1C8" w14:textId="77777777" w:rsidR="0051660D" w:rsidRPr="0038459B" w:rsidRDefault="0051660D" w:rsidP="008A79F5">
            <w:pPr>
              <w:adjustRightInd w:val="0"/>
              <w:snapToGrid w:val="0"/>
            </w:pPr>
          </w:p>
        </w:tc>
      </w:tr>
      <w:tr w:rsidR="0051660D" w:rsidRPr="0038459B" w14:paraId="22539665" w14:textId="77777777" w:rsidTr="008A79F5">
        <w:tc>
          <w:tcPr>
            <w:tcW w:w="987" w:type="dxa"/>
          </w:tcPr>
          <w:p w14:paraId="03A602A2" w14:textId="77777777" w:rsidR="0051660D" w:rsidRPr="0038459B" w:rsidRDefault="0051660D" w:rsidP="005542FE">
            <w:pPr>
              <w:adjustRightInd w:val="0"/>
              <w:snapToGrid w:val="0"/>
            </w:pPr>
            <w:r w:rsidRPr="0038459B">
              <w:t>9.2.4.4</w:t>
            </w:r>
          </w:p>
        </w:tc>
        <w:tc>
          <w:tcPr>
            <w:tcW w:w="2238" w:type="dxa"/>
          </w:tcPr>
          <w:p w14:paraId="12BFAD83" w14:textId="77777777" w:rsidR="0051660D" w:rsidRPr="0038459B" w:rsidRDefault="0051660D" w:rsidP="005542FE">
            <w:pPr>
              <w:adjustRightInd w:val="0"/>
              <w:snapToGrid w:val="0"/>
            </w:pPr>
            <w:r w:rsidRPr="0038459B">
              <w:t>Electric power train</w:t>
            </w:r>
          </w:p>
        </w:tc>
        <w:tc>
          <w:tcPr>
            <w:tcW w:w="434" w:type="dxa"/>
            <w:vAlign w:val="center"/>
          </w:tcPr>
          <w:p w14:paraId="5E7037F4" w14:textId="77777777" w:rsidR="0051660D" w:rsidRPr="0038459B" w:rsidRDefault="0051660D" w:rsidP="00BD7829">
            <w:pPr>
              <w:adjustRightInd w:val="0"/>
              <w:snapToGrid w:val="0"/>
              <w:jc w:val="center"/>
            </w:pPr>
          </w:p>
        </w:tc>
        <w:tc>
          <w:tcPr>
            <w:tcW w:w="434" w:type="dxa"/>
            <w:vAlign w:val="center"/>
          </w:tcPr>
          <w:p w14:paraId="121F82C8" w14:textId="77777777" w:rsidR="0051660D" w:rsidRPr="0038459B" w:rsidRDefault="0051660D" w:rsidP="00BD7829">
            <w:pPr>
              <w:adjustRightInd w:val="0"/>
              <w:snapToGrid w:val="0"/>
              <w:jc w:val="center"/>
            </w:pPr>
          </w:p>
        </w:tc>
        <w:tc>
          <w:tcPr>
            <w:tcW w:w="414" w:type="dxa"/>
            <w:vAlign w:val="center"/>
          </w:tcPr>
          <w:p w14:paraId="5DE8DECA" w14:textId="77777777" w:rsidR="0051660D" w:rsidRPr="0038459B" w:rsidRDefault="0051660D" w:rsidP="00BD7829">
            <w:pPr>
              <w:adjustRightInd w:val="0"/>
              <w:snapToGrid w:val="0"/>
              <w:jc w:val="center"/>
            </w:pPr>
          </w:p>
        </w:tc>
        <w:tc>
          <w:tcPr>
            <w:tcW w:w="434" w:type="dxa"/>
            <w:vAlign w:val="center"/>
          </w:tcPr>
          <w:p w14:paraId="49B7C4B2" w14:textId="77777777" w:rsidR="0051660D" w:rsidRPr="0038459B" w:rsidRDefault="0051660D" w:rsidP="00BD7829">
            <w:pPr>
              <w:adjustRightInd w:val="0"/>
              <w:snapToGrid w:val="0"/>
              <w:jc w:val="center"/>
            </w:pPr>
          </w:p>
        </w:tc>
        <w:tc>
          <w:tcPr>
            <w:tcW w:w="3564" w:type="dxa"/>
          </w:tcPr>
          <w:p w14:paraId="2A01CE49" w14:textId="77777777" w:rsidR="0051660D" w:rsidRPr="0038459B" w:rsidRDefault="0051660D" w:rsidP="008A79F5">
            <w:pPr>
              <w:adjustRightInd w:val="0"/>
              <w:snapToGrid w:val="0"/>
            </w:pPr>
          </w:p>
        </w:tc>
      </w:tr>
      <w:tr w:rsidR="0051660D" w:rsidRPr="0038459B" w14:paraId="4FA8DB2C" w14:textId="77777777" w:rsidTr="008A79F5">
        <w:tc>
          <w:tcPr>
            <w:tcW w:w="987" w:type="dxa"/>
          </w:tcPr>
          <w:p w14:paraId="7BBD6C4A" w14:textId="77777777" w:rsidR="0051660D" w:rsidRPr="0038459B" w:rsidRDefault="0051660D" w:rsidP="005542FE">
            <w:pPr>
              <w:adjustRightInd w:val="0"/>
              <w:snapToGrid w:val="0"/>
            </w:pPr>
            <w:r w:rsidRPr="0038459B">
              <w:t>9.2.4.4.1</w:t>
            </w:r>
          </w:p>
        </w:tc>
        <w:tc>
          <w:tcPr>
            <w:tcW w:w="2238" w:type="dxa"/>
          </w:tcPr>
          <w:p w14:paraId="2CF05DA7" w14:textId="77777777" w:rsidR="0051660D" w:rsidRPr="0038459B" w:rsidRDefault="0051660D" w:rsidP="005542FE">
            <w:pPr>
              <w:adjustRightInd w:val="0"/>
              <w:snapToGrid w:val="0"/>
            </w:pPr>
            <w:r w:rsidRPr="0038459B">
              <w:t>General provisions</w:t>
            </w:r>
          </w:p>
        </w:tc>
        <w:tc>
          <w:tcPr>
            <w:tcW w:w="434" w:type="dxa"/>
            <w:vAlign w:val="center"/>
          </w:tcPr>
          <w:p w14:paraId="1C45926E" w14:textId="77777777" w:rsidR="0051660D" w:rsidRPr="0038459B" w:rsidRDefault="0051660D" w:rsidP="00BD7829">
            <w:pPr>
              <w:adjustRightInd w:val="0"/>
              <w:snapToGrid w:val="0"/>
              <w:jc w:val="center"/>
            </w:pPr>
          </w:p>
        </w:tc>
        <w:tc>
          <w:tcPr>
            <w:tcW w:w="434" w:type="dxa"/>
            <w:vAlign w:val="center"/>
          </w:tcPr>
          <w:p w14:paraId="340F59BB" w14:textId="77777777" w:rsidR="0051660D" w:rsidRPr="0038459B" w:rsidRDefault="0051660D" w:rsidP="00BD7829">
            <w:pPr>
              <w:adjustRightInd w:val="0"/>
              <w:snapToGrid w:val="0"/>
              <w:jc w:val="center"/>
            </w:pPr>
          </w:p>
        </w:tc>
        <w:tc>
          <w:tcPr>
            <w:tcW w:w="414" w:type="dxa"/>
            <w:vAlign w:val="center"/>
          </w:tcPr>
          <w:p w14:paraId="4BF2379F" w14:textId="77777777" w:rsidR="0051660D" w:rsidRPr="0038459B" w:rsidRDefault="0051660D" w:rsidP="00BD7829">
            <w:pPr>
              <w:adjustRightInd w:val="0"/>
              <w:snapToGrid w:val="0"/>
              <w:jc w:val="center"/>
            </w:pPr>
            <w:r w:rsidRPr="0038459B">
              <w:t>X</w:t>
            </w:r>
          </w:p>
        </w:tc>
        <w:tc>
          <w:tcPr>
            <w:tcW w:w="434" w:type="dxa"/>
            <w:vAlign w:val="center"/>
          </w:tcPr>
          <w:p w14:paraId="264C9CB0" w14:textId="77777777" w:rsidR="0051660D" w:rsidRPr="0038459B" w:rsidRDefault="0051660D" w:rsidP="00BD7829">
            <w:pPr>
              <w:adjustRightInd w:val="0"/>
              <w:snapToGrid w:val="0"/>
              <w:jc w:val="center"/>
            </w:pPr>
            <w:r w:rsidRPr="0038459B">
              <w:t>X</w:t>
            </w:r>
          </w:p>
        </w:tc>
        <w:tc>
          <w:tcPr>
            <w:tcW w:w="3564" w:type="dxa"/>
          </w:tcPr>
          <w:p w14:paraId="6423E22E" w14:textId="77777777" w:rsidR="0051660D" w:rsidRPr="0038459B" w:rsidRDefault="0051660D" w:rsidP="008A79F5">
            <w:pPr>
              <w:adjustRightInd w:val="0"/>
              <w:snapToGrid w:val="0"/>
            </w:pPr>
          </w:p>
        </w:tc>
      </w:tr>
      <w:tr w:rsidR="0051660D" w:rsidRPr="0038459B" w14:paraId="354E0F44" w14:textId="77777777" w:rsidTr="008A79F5">
        <w:tc>
          <w:tcPr>
            <w:tcW w:w="987" w:type="dxa"/>
          </w:tcPr>
          <w:p w14:paraId="1BED065F" w14:textId="77777777" w:rsidR="0051660D" w:rsidRPr="0038459B" w:rsidRDefault="0051660D" w:rsidP="005542FE">
            <w:pPr>
              <w:adjustRightInd w:val="0"/>
              <w:snapToGrid w:val="0"/>
            </w:pPr>
            <w:r w:rsidRPr="0038459B">
              <w:t>9.2.4.4.2</w:t>
            </w:r>
          </w:p>
        </w:tc>
        <w:tc>
          <w:tcPr>
            <w:tcW w:w="2238" w:type="dxa"/>
          </w:tcPr>
          <w:p w14:paraId="6F1A26C0" w14:textId="77777777" w:rsidR="0051660D" w:rsidRPr="0038459B" w:rsidRDefault="0051660D" w:rsidP="005542FE">
            <w:pPr>
              <w:adjustRightInd w:val="0"/>
              <w:snapToGrid w:val="0"/>
            </w:pPr>
            <w:r w:rsidRPr="0038459B">
              <w:t>Rechargeable electrical energy system</w:t>
            </w:r>
          </w:p>
        </w:tc>
        <w:tc>
          <w:tcPr>
            <w:tcW w:w="434" w:type="dxa"/>
            <w:vAlign w:val="center"/>
          </w:tcPr>
          <w:p w14:paraId="594D9573" w14:textId="77777777" w:rsidR="0051660D" w:rsidRPr="0038459B" w:rsidRDefault="0051660D" w:rsidP="00BD7829">
            <w:pPr>
              <w:adjustRightInd w:val="0"/>
              <w:snapToGrid w:val="0"/>
              <w:jc w:val="center"/>
            </w:pPr>
          </w:p>
        </w:tc>
        <w:tc>
          <w:tcPr>
            <w:tcW w:w="434" w:type="dxa"/>
            <w:vAlign w:val="center"/>
          </w:tcPr>
          <w:p w14:paraId="106B46CE" w14:textId="77777777" w:rsidR="0051660D" w:rsidRPr="0038459B" w:rsidRDefault="0051660D" w:rsidP="00BD7829">
            <w:pPr>
              <w:adjustRightInd w:val="0"/>
              <w:snapToGrid w:val="0"/>
              <w:jc w:val="center"/>
            </w:pPr>
          </w:p>
        </w:tc>
        <w:tc>
          <w:tcPr>
            <w:tcW w:w="414" w:type="dxa"/>
            <w:vAlign w:val="center"/>
          </w:tcPr>
          <w:p w14:paraId="7E880122" w14:textId="77777777" w:rsidR="0051660D" w:rsidRPr="008A79F5" w:rsidRDefault="0051660D" w:rsidP="00BD7829">
            <w:pPr>
              <w:adjustRightInd w:val="0"/>
              <w:snapToGrid w:val="0"/>
              <w:jc w:val="center"/>
            </w:pPr>
            <w:r w:rsidRPr="0038459B">
              <w:t>X</w:t>
            </w:r>
            <w:r w:rsidRPr="008A79F5">
              <w:rPr>
                <w:vertAlign w:val="superscript"/>
              </w:rPr>
              <w:t>i</w:t>
            </w:r>
          </w:p>
        </w:tc>
        <w:tc>
          <w:tcPr>
            <w:tcW w:w="434" w:type="dxa"/>
            <w:vAlign w:val="center"/>
          </w:tcPr>
          <w:p w14:paraId="42A06D50" w14:textId="77777777" w:rsidR="0051660D" w:rsidRPr="0038459B" w:rsidRDefault="0051660D" w:rsidP="00BD7829">
            <w:pPr>
              <w:adjustRightInd w:val="0"/>
              <w:snapToGrid w:val="0"/>
              <w:jc w:val="center"/>
            </w:pPr>
            <w:r w:rsidRPr="0038459B">
              <w:t>X</w:t>
            </w:r>
          </w:p>
        </w:tc>
        <w:tc>
          <w:tcPr>
            <w:tcW w:w="3564" w:type="dxa"/>
          </w:tcPr>
          <w:p w14:paraId="1F8E6890" w14:textId="77777777" w:rsidR="0051660D" w:rsidRPr="0038459B" w:rsidRDefault="0051660D" w:rsidP="008A79F5">
            <w:pPr>
              <w:adjustRightInd w:val="0"/>
              <w:snapToGrid w:val="0"/>
            </w:pPr>
            <w:proofErr w:type="spellStart"/>
            <w:r>
              <w:rPr>
                <w:vertAlign w:val="superscript"/>
              </w:rPr>
              <w:t>i</w:t>
            </w:r>
            <w:proofErr w:type="spellEnd"/>
            <w:r w:rsidRPr="0038459B">
              <w:rPr>
                <w:vertAlign w:val="superscript"/>
              </w:rPr>
              <w:t xml:space="preserve"> </w:t>
            </w:r>
            <w:r w:rsidRPr="0038459B">
              <w:t>Applicable to motor vehicles first registered after 31 December 2026.</w:t>
            </w:r>
          </w:p>
        </w:tc>
      </w:tr>
      <w:tr w:rsidR="0051660D" w:rsidRPr="0038459B" w14:paraId="1A24D9E2" w14:textId="77777777" w:rsidTr="008A79F5">
        <w:tc>
          <w:tcPr>
            <w:tcW w:w="987" w:type="dxa"/>
          </w:tcPr>
          <w:p w14:paraId="0EAC6AF7" w14:textId="77777777" w:rsidR="0051660D" w:rsidRPr="0038459B" w:rsidRDefault="0051660D" w:rsidP="005542FE">
            <w:pPr>
              <w:adjustRightInd w:val="0"/>
              <w:snapToGrid w:val="0"/>
            </w:pPr>
            <w:r w:rsidRPr="0038459B">
              <w:t>9.2.4.4.3</w:t>
            </w:r>
          </w:p>
        </w:tc>
        <w:tc>
          <w:tcPr>
            <w:tcW w:w="2238" w:type="dxa"/>
          </w:tcPr>
          <w:p w14:paraId="07902F3F" w14:textId="77777777" w:rsidR="0051660D" w:rsidRPr="0038459B" w:rsidRDefault="0051660D" w:rsidP="005542FE">
            <w:pPr>
              <w:adjustRightInd w:val="0"/>
              <w:snapToGrid w:val="0"/>
            </w:pPr>
            <w:r w:rsidRPr="0038459B">
              <w:t>Measures against thermal propagation</w:t>
            </w:r>
          </w:p>
        </w:tc>
        <w:tc>
          <w:tcPr>
            <w:tcW w:w="434" w:type="dxa"/>
            <w:vAlign w:val="center"/>
          </w:tcPr>
          <w:p w14:paraId="41712920" w14:textId="77777777" w:rsidR="0051660D" w:rsidRPr="0038459B" w:rsidRDefault="0051660D" w:rsidP="00BD7829">
            <w:pPr>
              <w:adjustRightInd w:val="0"/>
              <w:snapToGrid w:val="0"/>
              <w:jc w:val="center"/>
            </w:pPr>
          </w:p>
        </w:tc>
        <w:tc>
          <w:tcPr>
            <w:tcW w:w="434" w:type="dxa"/>
            <w:vAlign w:val="center"/>
          </w:tcPr>
          <w:p w14:paraId="2D439508" w14:textId="77777777" w:rsidR="0051660D" w:rsidRPr="0038459B" w:rsidRDefault="0051660D" w:rsidP="00BD7829">
            <w:pPr>
              <w:adjustRightInd w:val="0"/>
              <w:snapToGrid w:val="0"/>
              <w:jc w:val="center"/>
            </w:pPr>
          </w:p>
        </w:tc>
        <w:tc>
          <w:tcPr>
            <w:tcW w:w="414" w:type="dxa"/>
            <w:vAlign w:val="center"/>
          </w:tcPr>
          <w:p w14:paraId="14B916AC" w14:textId="77777777" w:rsidR="0051660D" w:rsidRPr="0038459B" w:rsidRDefault="0051660D" w:rsidP="00BD7829">
            <w:pPr>
              <w:adjustRightInd w:val="0"/>
              <w:snapToGrid w:val="0"/>
              <w:jc w:val="center"/>
            </w:pPr>
          </w:p>
        </w:tc>
        <w:tc>
          <w:tcPr>
            <w:tcW w:w="434" w:type="dxa"/>
            <w:vAlign w:val="center"/>
          </w:tcPr>
          <w:p w14:paraId="1BA771E5" w14:textId="77777777" w:rsidR="0051660D" w:rsidRPr="0038459B" w:rsidRDefault="0051660D" w:rsidP="00BD7829">
            <w:pPr>
              <w:adjustRightInd w:val="0"/>
              <w:snapToGrid w:val="0"/>
              <w:jc w:val="center"/>
            </w:pPr>
            <w:r w:rsidRPr="0038459B">
              <w:t>X</w:t>
            </w:r>
          </w:p>
        </w:tc>
        <w:tc>
          <w:tcPr>
            <w:tcW w:w="3564" w:type="dxa"/>
          </w:tcPr>
          <w:p w14:paraId="01C91485" w14:textId="77777777" w:rsidR="0051660D" w:rsidRPr="0038459B" w:rsidRDefault="0051660D" w:rsidP="008A79F5">
            <w:pPr>
              <w:adjustRightInd w:val="0"/>
              <w:snapToGrid w:val="0"/>
            </w:pPr>
          </w:p>
        </w:tc>
      </w:tr>
      <w:tr w:rsidR="0051660D" w:rsidRPr="0038459B" w14:paraId="71E546A7" w14:textId="77777777" w:rsidTr="008A79F5">
        <w:tc>
          <w:tcPr>
            <w:tcW w:w="987" w:type="dxa"/>
          </w:tcPr>
          <w:p w14:paraId="12C762FC" w14:textId="77777777" w:rsidR="0051660D" w:rsidRPr="0038459B" w:rsidRDefault="0051660D" w:rsidP="005542FE">
            <w:pPr>
              <w:adjustRightInd w:val="0"/>
              <w:snapToGrid w:val="0"/>
            </w:pPr>
            <w:r w:rsidRPr="0038459B">
              <w:t>9.2.4.4.4</w:t>
            </w:r>
          </w:p>
        </w:tc>
        <w:tc>
          <w:tcPr>
            <w:tcW w:w="2238" w:type="dxa"/>
          </w:tcPr>
          <w:p w14:paraId="062D2AA7" w14:textId="77777777" w:rsidR="0051660D" w:rsidRPr="0038459B" w:rsidRDefault="0051660D" w:rsidP="005542FE">
            <w:pPr>
              <w:adjustRightInd w:val="0"/>
              <w:snapToGrid w:val="0"/>
            </w:pPr>
            <w:r w:rsidRPr="0038459B">
              <w:t>Vehicle charging inlet</w:t>
            </w:r>
          </w:p>
        </w:tc>
        <w:tc>
          <w:tcPr>
            <w:tcW w:w="434" w:type="dxa"/>
            <w:vAlign w:val="center"/>
          </w:tcPr>
          <w:p w14:paraId="0DC9F8A0" w14:textId="77777777" w:rsidR="0051660D" w:rsidRPr="0038459B" w:rsidRDefault="0051660D" w:rsidP="00BD7829">
            <w:pPr>
              <w:adjustRightInd w:val="0"/>
              <w:snapToGrid w:val="0"/>
              <w:jc w:val="center"/>
            </w:pPr>
          </w:p>
        </w:tc>
        <w:tc>
          <w:tcPr>
            <w:tcW w:w="434" w:type="dxa"/>
            <w:vAlign w:val="center"/>
          </w:tcPr>
          <w:p w14:paraId="1853CF32" w14:textId="77777777" w:rsidR="0051660D" w:rsidRPr="0038459B" w:rsidRDefault="0051660D" w:rsidP="00BD7829">
            <w:pPr>
              <w:adjustRightInd w:val="0"/>
              <w:snapToGrid w:val="0"/>
              <w:jc w:val="center"/>
            </w:pPr>
          </w:p>
        </w:tc>
        <w:tc>
          <w:tcPr>
            <w:tcW w:w="414" w:type="dxa"/>
            <w:vAlign w:val="center"/>
          </w:tcPr>
          <w:p w14:paraId="62406610" w14:textId="77777777" w:rsidR="0051660D" w:rsidRPr="0038459B" w:rsidRDefault="0051660D" w:rsidP="00BD7829">
            <w:pPr>
              <w:adjustRightInd w:val="0"/>
              <w:snapToGrid w:val="0"/>
              <w:jc w:val="center"/>
            </w:pPr>
          </w:p>
        </w:tc>
        <w:tc>
          <w:tcPr>
            <w:tcW w:w="434" w:type="dxa"/>
            <w:vAlign w:val="center"/>
          </w:tcPr>
          <w:p w14:paraId="5B9856CB" w14:textId="77777777" w:rsidR="0051660D" w:rsidRPr="0038459B" w:rsidRDefault="0051660D" w:rsidP="00BD7829">
            <w:pPr>
              <w:adjustRightInd w:val="0"/>
              <w:snapToGrid w:val="0"/>
              <w:jc w:val="center"/>
            </w:pPr>
            <w:r w:rsidRPr="0038459B">
              <w:t>X</w:t>
            </w:r>
          </w:p>
        </w:tc>
        <w:tc>
          <w:tcPr>
            <w:tcW w:w="3564" w:type="dxa"/>
          </w:tcPr>
          <w:p w14:paraId="7E46818F" w14:textId="77777777" w:rsidR="0051660D" w:rsidRPr="0038459B" w:rsidRDefault="0051660D" w:rsidP="008A79F5">
            <w:pPr>
              <w:adjustRightInd w:val="0"/>
              <w:snapToGrid w:val="0"/>
            </w:pPr>
          </w:p>
        </w:tc>
      </w:tr>
      <w:tr w:rsidR="0051660D" w14:paraId="70958128" w14:textId="77777777" w:rsidTr="008A79F5">
        <w:tc>
          <w:tcPr>
            <w:tcW w:w="987" w:type="dxa"/>
          </w:tcPr>
          <w:p w14:paraId="03D470AE" w14:textId="77777777" w:rsidR="0051660D" w:rsidRDefault="0051660D" w:rsidP="005542FE">
            <w:pPr>
              <w:adjustRightInd w:val="0"/>
              <w:snapToGrid w:val="0"/>
            </w:pPr>
            <w:r>
              <w:t>9.2.4.5</w:t>
            </w:r>
          </w:p>
        </w:tc>
        <w:tc>
          <w:tcPr>
            <w:tcW w:w="2238" w:type="dxa"/>
          </w:tcPr>
          <w:p w14:paraId="07F36801" w14:textId="77777777" w:rsidR="0051660D" w:rsidRDefault="0051660D" w:rsidP="005542FE">
            <w:pPr>
              <w:adjustRightInd w:val="0"/>
              <w:snapToGrid w:val="0"/>
            </w:pPr>
            <w:r>
              <w:t>Hydrogen fuel cell</w:t>
            </w:r>
          </w:p>
        </w:tc>
        <w:tc>
          <w:tcPr>
            <w:tcW w:w="434" w:type="dxa"/>
            <w:vAlign w:val="center"/>
          </w:tcPr>
          <w:p w14:paraId="1FE9A8F6" w14:textId="77777777" w:rsidR="0051660D" w:rsidRDefault="0051660D" w:rsidP="00BD7829">
            <w:pPr>
              <w:adjustRightInd w:val="0"/>
              <w:snapToGrid w:val="0"/>
              <w:jc w:val="center"/>
            </w:pPr>
          </w:p>
        </w:tc>
        <w:tc>
          <w:tcPr>
            <w:tcW w:w="434" w:type="dxa"/>
            <w:vAlign w:val="center"/>
          </w:tcPr>
          <w:p w14:paraId="62039A7D" w14:textId="77777777" w:rsidR="0051660D" w:rsidRDefault="0051660D" w:rsidP="00BD7829">
            <w:pPr>
              <w:adjustRightInd w:val="0"/>
              <w:snapToGrid w:val="0"/>
              <w:jc w:val="center"/>
            </w:pPr>
          </w:p>
        </w:tc>
        <w:tc>
          <w:tcPr>
            <w:tcW w:w="414" w:type="dxa"/>
            <w:vAlign w:val="center"/>
          </w:tcPr>
          <w:p w14:paraId="3F4AA54C" w14:textId="77777777" w:rsidR="0051660D" w:rsidRDefault="0051660D" w:rsidP="00BD7829">
            <w:pPr>
              <w:adjustRightInd w:val="0"/>
              <w:snapToGrid w:val="0"/>
              <w:jc w:val="center"/>
            </w:pPr>
            <w:r>
              <w:t>X</w:t>
            </w:r>
          </w:p>
        </w:tc>
        <w:tc>
          <w:tcPr>
            <w:tcW w:w="434" w:type="dxa"/>
            <w:vAlign w:val="center"/>
          </w:tcPr>
          <w:p w14:paraId="2DB42010" w14:textId="77777777" w:rsidR="0051660D" w:rsidRDefault="0051660D" w:rsidP="00BD7829">
            <w:pPr>
              <w:adjustRightInd w:val="0"/>
              <w:snapToGrid w:val="0"/>
              <w:jc w:val="center"/>
            </w:pPr>
            <w:r>
              <w:t>X</w:t>
            </w:r>
          </w:p>
        </w:tc>
        <w:tc>
          <w:tcPr>
            <w:tcW w:w="3564" w:type="dxa"/>
          </w:tcPr>
          <w:p w14:paraId="723EDC47" w14:textId="77777777" w:rsidR="0051660D" w:rsidRDefault="0051660D" w:rsidP="008A79F5">
            <w:pPr>
              <w:adjustRightInd w:val="0"/>
              <w:snapToGrid w:val="0"/>
            </w:pPr>
          </w:p>
        </w:tc>
      </w:tr>
    </w:tbl>
    <w:p w14:paraId="3288D4FE" w14:textId="77777777" w:rsidR="0051660D" w:rsidRPr="000B6773" w:rsidRDefault="0051660D" w:rsidP="0051660D">
      <w:pPr>
        <w:pStyle w:val="Bullet1G"/>
        <w:tabs>
          <w:tab w:val="clear" w:pos="1701"/>
          <w:tab w:val="num" w:pos="2381"/>
        </w:tabs>
        <w:spacing w:before="120"/>
        <w:ind w:left="2381"/>
      </w:pPr>
      <w:r>
        <w:t xml:space="preserve">Renumber </w:t>
      </w:r>
      <w:r w:rsidRPr="00A80217">
        <w:t>9.2.4.8 to 9.2.4.8.6 as 9.2.5 to 9.2.5.6</w:t>
      </w:r>
      <w:r>
        <w:t xml:space="preserve">. Renumber note </w:t>
      </w:r>
      <w:r w:rsidRPr="00F669B8">
        <w:rPr>
          <w:vertAlign w:val="superscript"/>
        </w:rPr>
        <w:t>h</w:t>
      </w:r>
      <w:r>
        <w:t xml:space="preserve"> as </w:t>
      </w:r>
      <w:r>
        <w:rPr>
          <w:vertAlign w:val="superscript"/>
        </w:rPr>
        <w:t>j</w:t>
      </w:r>
      <w:r>
        <w:t>.</w:t>
      </w:r>
    </w:p>
    <w:p w14:paraId="465FD8AF" w14:textId="77777777" w:rsidR="0051660D" w:rsidRPr="000B6773" w:rsidRDefault="0051660D" w:rsidP="0051660D">
      <w:pPr>
        <w:pStyle w:val="Bullet1G"/>
        <w:tabs>
          <w:tab w:val="clear" w:pos="1701"/>
          <w:tab w:val="num" w:pos="2381"/>
        </w:tabs>
        <w:ind w:left="2381"/>
      </w:pPr>
      <w:r>
        <w:t xml:space="preserve">Renumber </w:t>
      </w:r>
      <w:r w:rsidRPr="00A80217">
        <w:t>9.2.</w:t>
      </w:r>
      <w:r>
        <w:t>5</w:t>
      </w:r>
      <w:r w:rsidRPr="00A80217">
        <w:t xml:space="preserve"> to 9.2.</w:t>
      </w:r>
      <w:r>
        <w:t>7</w:t>
      </w:r>
      <w:r w:rsidRPr="00A80217">
        <w:t xml:space="preserve"> as 9.2.</w:t>
      </w:r>
      <w:r>
        <w:t xml:space="preserve">6 </w:t>
      </w:r>
      <w:r w:rsidRPr="00A80217">
        <w:t>to 9.2.</w:t>
      </w:r>
      <w:r>
        <w:t xml:space="preserve">8. Renumber notes </w:t>
      </w:r>
      <w:proofErr w:type="spellStart"/>
      <w:r w:rsidRPr="00F669B8">
        <w:rPr>
          <w:vertAlign w:val="superscript"/>
        </w:rPr>
        <w:t>i</w:t>
      </w:r>
      <w:proofErr w:type="spellEnd"/>
      <w:r>
        <w:t xml:space="preserve"> and </w:t>
      </w:r>
      <w:r w:rsidRPr="00F669B8">
        <w:rPr>
          <w:vertAlign w:val="superscript"/>
        </w:rPr>
        <w:t>j</w:t>
      </w:r>
      <w:r>
        <w:t xml:space="preserve"> as </w:t>
      </w:r>
      <w:r w:rsidRPr="00F669B8">
        <w:rPr>
          <w:vertAlign w:val="superscript"/>
        </w:rPr>
        <w:t>k</w:t>
      </w:r>
      <w:r>
        <w:t xml:space="preserve"> and </w:t>
      </w:r>
      <w:r w:rsidRPr="00F669B8">
        <w:rPr>
          <w:vertAlign w:val="superscript"/>
        </w:rPr>
        <w:t>l</w:t>
      </w:r>
      <w:r>
        <w:t>.</w:t>
      </w:r>
    </w:p>
    <w:p w14:paraId="66088531" w14:textId="77777777" w:rsidR="0051660D" w:rsidRDefault="0051660D" w:rsidP="0051660D">
      <w:pPr>
        <w:pStyle w:val="SingleTxtG"/>
        <w:tabs>
          <w:tab w:val="clear" w:pos="1701"/>
          <w:tab w:val="clear" w:pos="2268"/>
          <w:tab w:val="clear" w:pos="2835"/>
        </w:tabs>
        <w:ind w:left="2268" w:hanging="1134"/>
      </w:pPr>
      <w:r>
        <w:t>9.2.2.1</w:t>
      </w:r>
      <w:r>
        <w:tab/>
        <w:t>In the second paragraph, delete “, with the exception of the electric power train in compliance with the technical provisions of UN Regulation No. 100</w:t>
      </w:r>
      <w:r w:rsidRPr="00E86C8C">
        <w:rPr>
          <w:vertAlign w:val="superscript"/>
        </w:rPr>
        <w:t>1</w:t>
      </w:r>
      <w:r>
        <w:t>, as amended at least by the 03 series of amendments,”.</w:t>
      </w:r>
    </w:p>
    <w:p w14:paraId="6FEA9DE9" w14:textId="77777777" w:rsidR="0051660D" w:rsidRPr="000C280A" w:rsidRDefault="0051660D" w:rsidP="0051660D">
      <w:pPr>
        <w:pStyle w:val="SingleTxtG"/>
        <w:tabs>
          <w:tab w:val="clear" w:pos="1701"/>
          <w:tab w:val="clear" w:pos="2268"/>
          <w:tab w:val="clear" w:pos="2835"/>
        </w:tabs>
        <w:ind w:left="2268" w:hanging="1134"/>
        <w:rPr>
          <w:b/>
          <w:bCs/>
        </w:rPr>
      </w:pPr>
      <w:r>
        <w:tab/>
        <w:t>Add a new third paragraph to read: “</w:t>
      </w:r>
      <w:r w:rsidRPr="008E4CAF">
        <w:t xml:space="preserve">The electric power train and the </w:t>
      </w:r>
      <w:r>
        <w:t xml:space="preserve">high voltage components which are </w:t>
      </w:r>
      <w:r w:rsidRPr="008E4CAF">
        <w:t xml:space="preserve">galvanically connected </w:t>
      </w:r>
      <w:r>
        <w:t>to it, which are</w:t>
      </w:r>
      <w:r w:rsidRPr="008E4CAF">
        <w:t xml:space="preserve"> in compliance with the technical provisions of UN Regulation No. 100</w:t>
      </w:r>
      <w:r w:rsidRPr="00FD4469">
        <w:rPr>
          <w:vertAlign w:val="superscript"/>
        </w:rPr>
        <w:t>1</w:t>
      </w:r>
      <w:r w:rsidRPr="008E4CAF">
        <w:t>, as amended at least by the 03 series of amendments, need not to comply with the provisions of 9.2.2.2 to 9.2.2.7.</w:t>
      </w:r>
      <w:r>
        <w:t>”.</w:t>
      </w:r>
    </w:p>
    <w:p w14:paraId="16B8F02E" w14:textId="77777777" w:rsidR="0051660D" w:rsidRPr="0038459B" w:rsidRDefault="0051660D" w:rsidP="0051660D">
      <w:pPr>
        <w:pStyle w:val="SingleTxtG"/>
        <w:tabs>
          <w:tab w:val="clear" w:pos="1701"/>
          <w:tab w:val="clear" w:pos="2268"/>
          <w:tab w:val="clear" w:pos="2835"/>
        </w:tabs>
        <w:ind w:left="2268" w:hanging="1134"/>
      </w:pPr>
      <w:r w:rsidRPr="0038459B">
        <w:t>9.2.2.3</w:t>
      </w:r>
      <w:r w:rsidRPr="0038459B">
        <w:tab/>
        <w:t>At the end of the list, replace the period by a semicolon and add a new item to read “- From the starter battery to the electric steering equipment.”</w:t>
      </w:r>
    </w:p>
    <w:p w14:paraId="4FE2C3FD" w14:textId="77777777" w:rsidR="0051660D" w:rsidRPr="000C280A" w:rsidRDefault="0051660D" w:rsidP="0051660D">
      <w:pPr>
        <w:pStyle w:val="SingleTxtG"/>
        <w:tabs>
          <w:tab w:val="clear" w:pos="1701"/>
          <w:tab w:val="clear" w:pos="2268"/>
          <w:tab w:val="clear" w:pos="2835"/>
        </w:tabs>
        <w:ind w:left="2268" w:hanging="1134"/>
        <w:rPr>
          <w:b/>
          <w:bCs/>
        </w:rPr>
      </w:pPr>
      <w:r>
        <w:t>9.2.3.1.1</w:t>
      </w:r>
      <w:r>
        <w:tab/>
        <w:t>Add a new second paragraph to read: “</w:t>
      </w:r>
      <w:r w:rsidRPr="002275B2">
        <w:t>Trailers with regenerative braking or electric power train are not allowed</w:t>
      </w:r>
      <w:r w:rsidRPr="008E4CAF">
        <w:t>.</w:t>
      </w:r>
      <w:r>
        <w:t>”.</w:t>
      </w:r>
    </w:p>
    <w:p w14:paraId="4985B25A" w14:textId="5DA3F20D" w:rsidR="0051660D" w:rsidRPr="000C280A" w:rsidRDefault="0051660D" w:rsidP="0051660D">
      <w:pPr>
        <w:pStyle w:val="SingleTxtG"/>
        <w:tabs>
          <w:tab w:val="clear" w:pos="1701"/>
          <w:tab w:val="clear" w:pos="2268"/>
          <w:tab w:val="clear" w:pos="2835"/>
        </w:tabs>
        <w:ind w:left="2268" w:hanging="1134"/>
        <w:rPr>
          <w:b/>
          <w:bCs/>
        </w:rPr>
      </w:pPr>
      <w:r>
        <w:t>9.2.3</w:t>
      </w:r>
      <w:r>
        <w:tab/>
      </w:r>
      <w:r>
        <w:tab/>
      </w:r>
      <w:r w:rsidRPr="00EC289A">
        <w:t xml:space="preserve">Transfer </w:t>
      </w:r>
      <w:r>
        <w:t xml:space="preserve">the </w:t>
      </w:r>
      <w:r w:rsidRPr="00EC289A">
        <w:t xml:space="preserve">current 9.2.4.7 as </w:t>
      </w:r>
      <w:r>
        <w:t xml:space="preserve">a </w:t>
      </w:r>
      <w:r w:rsidRPr="00EC289A">
        <w:t>new 9.2.3.3</w:t>
      </w:r>
      <w:r>
        <w:t>.</w:t>
      </w:r>
    </w:p>
    <w:p w14:paraId="291800B0" w14:textId="77777777" w:rsidR="0051660D" w:rsidRPr="000C280A" w:rsidRDefault="0051660D" w:rsidP="0051660D">
      <w:pPr>
        <w:pStyle w:val="SingleTxtG"/>
        <w:tabs>
          <w:tab w:val="clear" w:pos="1701"/>
          <w:tab w:val="clear" w:pos="2268"/>
          <w:tab w:val="clear" w:pos="2835"/>
        </w:tabs>
        <w:ind w:left="2268" w:hanging="1134"/>
        <w:rPr>
          <w:b/>
          <w:bCs/>
        </w:rPr>
      </w:pPr>
      <w:r>
        <w:t>9.2.4</w:t>
      </w:r>
      <w:r>
        <w:tab/>
      </w:r>
      <w:r>
        <w:tab/>
        <w:t>Amend the heading to read “</w:t>
      </w:r>
      <w:r w:rsidRPr="00BB2C54">
        <w:rPr>
          <w:b/>
          <w:bCs/>
        </w:rPr>
        <w:t>Vehicle propulsion system</w:t>
      </w:r>
      <w:r>
        <w:t>”.</w:t>
      </w:r>
    </w:p>
    <w:p w14:paraId="18DF192F" w14:textId="77777777" w:rsidR="0051660D" w:rsidRDefault="0051660D" w:rsidP="0051660D">
      <w:pPr>
        <w:pStyle w:val="SingleTxtG"/>
        <w:tabs>
          <w:tab w:val="clear" w:pos="1701"/>
          <w:tab w:val="clear" w:pos="2268"/>
          <w:tab w:val="clear" w:pos="2835"/>
        </w:tabs>
        <w:ind w:left="2268" w:hanging="1134"/>
      </w:pPr>
      <w:r>
        <w:t>9.2.4.1</w:t>
      </w:r>
      <w:r>
        <w:tab/>
      </w:r>
      <w:r>
        <w:tab/>
        <w:t xml:space="preserve">Add a new second paragraph to read: </w:t>
      </w:r>
    </w:p>
    <w:p w14:paraId="41D5F139" w14:textId="77777777" w:rsidR="0051660D" w:rsidRPr="000C280A" w:rsidRDefault="0051660D" w:rsidP="0051660D">
      <w:pPr>
        <w:pStyle w:val="SingleTxtG"/>
        <w:tabs>
          <w:tab w:val="clear" w:pos="1701"/>
          <w:tab w:val="clear" w:pos="2268"/>
          <w:tab w:val="clear" w:pos="2835"/>
        </w:tabs>
        <w:rPr>
          <w:b/>
          <w:bCs/>
        </w:rPr>
      </w:pPr>
      <w:r>
        <w:t>“</w:t>
      </w:r>
      <w:r w:rsidRPr="009804E7">
        <w:t xml:space="preserve">Hybrid vehicles equipped with an internal combustion engine and electric power train shall comply with the </w:t>
      </w:r>
      <w:r>
        <w:t xml:space="preserve">relevant </w:t>
      </w:r>
      <w:r w:rsidRPr="009804E7">
        <w:t>provisions of 9.2.4.2 to 9.2.4.5</w:t>
      </w:r>
      <w:r w:rsidRPr="008E4CAF">
        <w:t>.</w:t>
      </w:r>
      <w:r>
        <w:t>”</w:t>
      </w:r>
    </w:p>
    <w:p w14:paraId="4793E6AE" w14:textId="77777777" w:rsidR="0051660D" w:rsidRPr="000C280A" w:rsidRDefault="0051660D" w:rsidP="0051660D">
      <w:pPr>
        <w:pStyle w:val="SingleTxtG"/>
        <w:tabs>
          <w:tab w:val="clear" w:pos="1701"/>
          <w:tab w:val="clear" w:pos="2268"/>
          <w:tab w:val="clear" w:pos="2835"/>
        </w:tabs>
        <w:ind w:left="2268" w:hanging="1134"/>
        <w:rPr>
          <w:b/>
          <w:bCs/>
        </w:rPr>
      </w:pPr>
      <w:r>
        <w:t>9.2.4.2</w:t>
      </w:r>
      <w:r>
        <w:tab/>
        <w:t>Delete.</w:t>
      </w:r>
    </w:p>
    <w:p w14:paraId="10058C49" w14:textId="77777777" w:rsidR="0051660D" w:rsidRDefault="0051660D" w:rsidP="0051660D">
      <w:pPr>
        <w:pStyle w:val="SingleTxtG"/>
        <w:tabs>
          <w:tab w:val="clear" w:pos="1701"/>
          <w:tab w:val="clear" w:pos="2268"/>
          <w:tab w:val="clear" w:pos="2835"/>
        </w:tabs>
        <w:ind w:left="2268" w:hanging="1134"/>
      </w:pPr>
      <w:r>
        <w:t>9.2.4.3</w:t>
      </w:r>
      <w:r>
        <w:tab/>
        <w:t>Renumber as 9.2.4.2 and amend as follows:</w:t>
      </w:r>
    </w:p>
    <w:p w14:paraId="3FE395A6" w14:textId="77777777" w:rsidR="0051660D" w:rsidRDefault="0051660D" w:rsidP="0051660D">
      <w:pPr>
        <w:pStyle w:val="Bullet1G"/>
        <w:tabs>
          <w:tab w:val="clear" w:pos="1701"/>
          <w:tab w:val="num" w:pos="2381"/>
        </w:tabs>
        <w:ind w:left="2381"/>
      </w:pPr>
      <w:r>
        <w:t>Delete the note.</w:t>
      </w:r>
    </w:p>
    <w:p w14:paraId="18F0E5F0" w14:textId="77777777" w:rsidR="0051660D" w:rsidRDefault="0051660D" w:rsidP="0051660D">
      <w:pPr>
        <w:pStyle w:val="Bullet1G"/>
        <w:tabs>
          <w:tab w:val="clear" w:pos="1701"/>
          <w:tab w:val="num" w:pos="2381"/>
        </w:tabs>
        <w:ind w:left="2381"/>
      </w:pPr>
      <w:r>
        <w:t>In the first paragraph, after “engine”, add “or fuel cell”.</w:t>
      </w:r>
    </w:p>
    <w:p w14:paraId="6CB1D97D" w14:textId="77777777" w:rsidR="0051660D" w:rsidRDefault="0051660D" w:rsidP="0051660D">
      <w:pPr>
        <w:pStyle w:val="Bullet1G"/>
        <w:tabs>
          <w:tab w:val="clear" w:pos="1701"/>
          <w:tab w:val="num" w:pos="2381"/>
        </w:tabs>
        <w:ind w:left="2381"/>
      </w:pPr>
      <w:r>
        <w:t>Transfer the last two sentences of (b) to a new (c) and (d). After this, add a new (e) as follows:</w:t>
      </w:r>
    </w:p>
    <w:p w14:paraId="7DF17E2D" w14:textId="77777777" w:rsidR="0051660D" w:rsidRDefault="0051660D" w:rsidP="0051660D">
      <w:pPr>
        <w:pStyle w:val="SingleTxtG"/>
        <w:tabs>
          <w:tab w:val="clear" w:pos="1701"/>
        </w:tabs>
        <w:ind w:left="2268" w:hanging="567"/>
      </w:pPr>
      <w:r>
        <w:t>“(e)</w:t>
      </w:r>
      <w:r>
        <w:tab/>
        <w:t>Fuel tanks and cylinders for hydrogen shall meet the relevant requirements of UN Regulation No. 134</w:t>
      </w:r>
      <w:r>
        <w:rPr>
          <w:vertAlign w:val="superscript"/>
        </w:rPr>
        <w:t>9</w:t>
      </w:r>
      <w:r>
        <w:t xml:space="preserve">, as amended at least by the 02 series of amendments, or for liquid hydrogen containers the technical provisions of </w:t>
      </w:r>
      <w:r w:rsidRPr="0038459B">
        <w:t>Global Technical Regulation No.13</w:t>
      </w:r>
      <w:r w:rsidRPr="0038459B">
        <w:rPr>
          <w:vertAlign w:val="superscript"/>
        </w:rPr>
        <w:t>10</w:t>
      </w:r>
      <w:r w:rsidRPr="0038459B">
        <w:t>, Amendment 1, part 7</w:t>
      </w:r>
      <w:r>
        <w:t>.”</w:t>
      </w:r>
    </w:p>
    <w:p w14:paraId="34828899" w14:textId="77777777" w:rsidR="0051660D" w:rsidRDefault="0051660D" w:rsidP="0051660D">
      <w:pPr>
        <w:pStyle w:val="Bullet1G"/>
        <w:tabs>
          <w:tab w:val="clear" w:pos="1701"/>
          <w:tab w:val="num" w:pos="2381"/>
        </w:tabs>
        <w:ind w:left="2381"/>
      </w:pPr>
      <w:r>
        <w:t xml:space="preserve">Add a new footnote </w:t>
      </w:r>
      <w:r w:rsidRPr="00517EBC">
        <w:rPr>
          <w:vertAlign w:val="superscript"/>
        </w:rPr>
        <w:t>9</w:t>
      </w:r>
      <w:r>
        <w:t xml:space="preserve"> to read: “</w:t>
      </w:r>
      <w:r w:rsidRPr="00517EBC">
        <w:rPr>
          <w:vertAlign w:val="superscript"/>
        </w:rPr>
        <w:t>9</w:t>
      </w:r>
      <w:r>
        <w:t xml:space="preserve"> </w:t>
      </w:r>
      <w:r w:rsidRPr="00E613BE">
        <w:rPr>
          <w:i/>
          <w:iCs/>
        </w:rPr>
        <w:t>UN Regulation No. 134 (Uniform provisions concerning the approval of motor vehicles and their components with regard to the safety-related performance of Hydrogen-Fuelled Vehicles (HFCV))</w:t>
      </w:r>
      <w:r>
        <w:t>”.</w:t>
      </w:r>
    </w:p>
    <w:p w14:paraId="0EBF1FFD" w14:textId="77777777" w:rsidR="0051660D" w:rsidRDefault="0051660D" w:rsidP="0051660D">
      <w:pPr>
        <w:pStyle w:val="Bullet1G"/>
        <w:tabs>
          <w:tab w:val="clear" w:pos="1701"/>
          <w:tab w:val="num" w:pos="2381"/>
        </w:tabs>
        <w:ind w:left="2381"/>
      </w:pPr>
      <w:r>
        <w:t xml:space="preserve">Add a new footnote </w:t>
      </w:r>
      <w:r>
        <w:rPr>
          <w:vertAlign w:val="superscript"/>
        </w:rPr>
        <w:t>10</w:t>
      </w:r>
      <w:r>
        <w:t xml:space="preserve"> to read: “</w:t>
      </w:r>
      <w:r>
        <w:rPr>
          <w:vertAlign w:val="superscript"/>
        </w:rPr>
        <w:t>10</w:t>
      </w:r>
      <w:r>
        <w:t xml:space="preserve"> </w:t>
      </w:r>
      <w:r w:rsidRPr="00E613BE">
        <w:rPr>
          <w:i/>
          <w:iCs/>
        </w:rPr>
        <w:t xml:space="preserve">UN </w:t>
      </w:r>
      <w:r w:rsidRPr="001F754B">
        <w:rPr>
          <w:i/>
          <w:iCs/>
        </w:rPr>
        <w:t xml:space="preserve">Global technical regulation </w:t>
      </w:r>
      <w:r>
        <w:rPr>
          <w:i/>
          <w:iCs/>
        </w:rPr>
        <w:t xml:space="preserve">No. 13 </w:t>
      </w:r>
      <w:r w:rsidRPr="001F754B">
        <w:rPr>
          <w:i/>
          <w:iCs/>
        </w:rPr>
        <w:t>on hydrogen and fuel cell vehicles</w:t>
      </w:r>
      <w:r>
        <w:t>”.</w:t>
      </w:r>
    </w:p>
    <w:p w14:paraId="553AEE8C" w14:textId="77777777" w:rsidR="0051660D" w:rsidRPr="000C280A" w:rsidRDefault="0051660D" w:rsidP="0051660D">
      <w:pPr>
        <w:pStyle w:val="Bullet1G"/>
        <w:tabs>
          <w:tab w:val="clear" w:pos="1701"/>
          <w:tab w:val="num" w:pos="2381"/>
        </w:tabs>
        <w:ind w:left="2381"/>
        <w:rPr>
          <w:b/>
          <w:bCs/>
        </w:rPr>
      </w:pPr>
      <w:r>
        <w:t>Renumber (c) as (f) and, in the first sentence, after “engine intakes,”, add “electric storage systems,”.</w:t>
      </w:r>
    </w:p>
    <w:p w14:paraId="50DE4F32" w14:textId="77777777" w:rsidR="0051660D" w:rsidRDefault="0051660D" w:rsidP="0051660D">
      <w:pPr>
        <w:pStyle w:val="SingleTxtG"/>
        <w:tabs>
          <w:tab w:val="clear" w:pos="1701"/>
        </w:tabs>
        <w:ind w:left="2268" w:hanging="1134"/>
        <w:rPr>
          <w:lang w:val="en-US"/>
        </w:rPr>
      </w:pPr>
      <w:r>
        <w:t>9.2.4.4</w:t>
      </w:r>
      <w:r>
        <w:tab/>
        <w:t>Renumber as 9.2.4.3 and amend to read as follows</w:t>
      </w:r>
      <w:r>
        <w:rPr>
          <w:lang w:val="en-US"/>
        </w:rPr>
        <w:t>:</w:t>
      </w:r>
    </w:p>
    <w:p w14:paraId="7B90FEF0" w14:textId="77777777" w:rsidR="0051660D" w:rsidRPr="00995DA4" w:rsidRDefault="0051660D" w:rsidP="0051660D">
      <w:pPr>
        <w:pStyle w:val="SingleTxtG"/>
        <w:ind w:left="2268" w:hanging="1134"/>
        <w:rPr>
          <w:lang w:val="en-US"/>
        </w:rPr>
      </w:pPr>
      <w:r>
        <w:rPr>
          <w:lang w:val="en-US"/>
        </w:rPr>
        <w:t>“</w:t>
      </w:r>
      <w:r w:rsidRPr="008056C0">
        <w:rPr>
          <w:b/>
          <w:bCs/>
          <w:lang w:val="en-US"/>
        </w:rPr>
        <w:t>9.2.4.3</w:t>
      </w:r>
      <w:r w:rsidRPr="008056C0">
        <w:rPr>
          <w:b/>
          <w:bCs/>
          <w:lang w:val="en-US"/>
        </w:rPr>
        <w:tab/>
      </w:r>
      <w:r w:rsidRPr="00995DA4">
        <w:rPr>
          <w:b/>
          <w:bCs/>
          <w:i/>
          <w:iCs/>
          <w:lang w:val="en-US"/>
        </w:rPr>
        <w:t>Internal combustion engine</w:t>
      </w:r>
    </w:p>
    <w:p w14:paraId="04912BDC" w14:textId="77777777" w:rsidR="0051660D" w:rsidRDefault="0051660D" w:rsidP="0051660D">
      <w:pPr>
        <w:pStyle w:val="SingleTxtG"/>
        <w:ind w:left="2268" w:hanging="1134"/>
        <w:rPr>
          <w:i/>
          <w:iCs/>
          <w:lang w:val="en-US"/>
        </w:rPr>
      </w:pPr>
      <w:r w:rsidRPr="00995DA4">
        <w:rPr>
          <w:lang w:val="en-US"/>
        </w:rPr>
        <w:t>9.2.4.3.1</w:t>
      </w:r>
      <w:r w:rsidRPr="00995DA4">
        <w:rPr>
          <w:lang w:val="en-US"/>
        </w:rPr>
        <w:tab/>
      </w:r>
      <w:r>
        <w:rPr>
          <w:i/>
          <w:iCs/>
          <w:lang w:val="en-US"/>
        </w:rPr>
        <w:t>Engine</w:t>
      </w:r>
    </w:p>
    <w:p w14:paraId="504C5556" w14:textId="77777777" w:rsidR="0051660D" w:rsidRPr="00995DA4" w:rsidRDefault="0051660D" w:rsidP="0051660D">
      <w:pPr>
        <w:pStyle w:val="SingleTxtG"/>
        <w:ind w:left="2268" w:hanging="1134"/>
        <w:rPr>
          <w:lang w:val="en-US"/>
        </w:rPr>
      </w:pPr>
      <w:r w:rsidRPr="00232621">
        <w:rPr>
          <w:lang w:val="en-US"/>
        </w:rPr>
        <w:tab/>
      </w:r>
      <w:r w:rsidRPr="00232621">
        <w:rPr>
          <w:lang w:val="en-US"/>
        </w:rPr>
        <w:tab/>
      </w:r>
      <w:r w:rsidRPr="00995DA4">
        <w:rPr>
          <w:lang w:val="en-US"/>
        </w:rPr>
        <w:t>The engine propelling the vehicle shall be so equipped and situated to avoid any danger to the load through heating or ignition. The use of a fuel shall only be permitted if components are approved and installation meet the provisions of 9.2.2 and the technical requirements of:</w:t>
      </w:r>
    </w:p>
    <w:p w14:paraId="1B72A9D9" w14:textId="77777777" w:rsidR="0051660D" w:rsidRPr="00995DA4" w:rsidRDefault="0051660D" w:rsidP="0051660D">
      <w:pPr>
        <w:pStyle w:val="SingleTxtG"/>
        <w:tabs>
          <w:tab w:val="clear" w:pos="1701"/>
        </w:tabs>
        <w:ind w:left="2268" w:hanging="1134"/>
        <w:rPr>
          <w:lang w:val="en-US"/>
        </w:rPr>
      </w:pPr>
      <w:r>
        <w:rPr>
          <w:lang w:val="en-US"/>
        </w:rPr>
        <w:tab/>
      </w:r>
      <w:r w:rsidRPr="00995DA4">
        <w:rPr>
          <w:lang w:val="en-US"/>
        </w:rPr>
        <w:t>(a)</w:t>
      </w:r>
      <w:r w:rsidRPr="00995DA4">
        <w:rPr>
          <w:lang w:val="en-US"/>
        </w:rPr>
        <w:tab/>
        <w:t>UN Regulation No. 110</w:t>
      </w:r>
      <w:r>
        <w:rPr>
          <w:vertAlign w:val="superscript"/>
          <w:lang w:val="en-US"/>
        </w:rPr>
        <w:t>7</w:t>
      </w:r>
      <w:r w:rsidRPr="00995DA4">
        <w:rPr>
          <w:lang w:val="en-US"/>
        </w:rPr>
        <w:t xml:space="preserve"> for CNG or LNG.</w:t>
      </w:r>
    </w:p>
    <w:p w14:paraId="18EAA900" w14:textId="77777777" w:rsidR="0051660D" w:rsidRPr="00995DA4" w:rsidRDefault="0051660D" w:rsidP="0051660D">
      <w:pPr>
        <w:pStyle w:val="SingleTxtG"/>
        <w:tabs>
          <w:tab w:val="clear" w:pos="1701"/>
        </w:tabs>
        <w:ind w:left="2268" w:hanging="1134"/>
        <w:rPr>
          <w:lang w:val="en-US"/>
        </w:rPr>
      </w:pPr>
      <w:r>
        <w:rPr>
          <w:lang w:val="en-US"/>
        </w:rPr>
        <w:tab/>
      </w:r>
      <w:r w:rsidRPr="00995DA4">
        <w:rPr>
          <w:lang w:val="en-US"/>
        </w:rPr>
        <w:t>(b)</w:t>
      </w:r>
      <w:r w:rsidRPr="00995DA4">
        <w:rPr>
          <w:lang w:val="en-US"/>
        </w:rPr>
        <w:tab/>
        <w:t>UN Regulation No. 67</w:t>
      </w:r>
      <w:r>
        <w:rPr>
          <w:vertAlign w:val="superscript"/>
          <w:lang w:val="en-US"/>
        </w:rPr>
        <w:t>8</w:t>
      </w:r>
      <w:r w:rsidRPr="00995DA4">
        <w:rPr>
          <w:lang w:val="en-US"/>
        </w:rPr>
        <w:t xml:space="preserve"> for LPG.</w:t>
      </w:r>
    </w:p>
    <w:p w14:paraId="7D621D31" w14:textId="77777777" w:rsidR="0051660D" w:rsidRPr="00995DA4" w:rsidRDefault="0051660D" w:rsidP="0051660D">
      <w:pPr>
        <w:pStyle w:val="SingleTxtG"/>
        <w:tabs>
          <w:tab w:val="clear" w:pos="1701"/>
        </w:tabs>
        <w:ind w:left="2268" w:hanging="1134"/>
        <w:rPr>
          <w:lang w:val="en-US"/>
        </w:rPr>
      </w:pPr>
      <w:r>
        <w:rPr>
          <w:lang w:val="en-US"/>
        </w:rPr>
        <w:tab/>
      </w:r>
      <w:r w:rsidRPr="00995DA4">
        <w:rPr>
          <w:lang w:val="en-US"/>
        </w:rPr>
        <w:t>(c)</w:t>
      </w:r>
      <w:r w:rsidRPr="00995DA4">
        <w:rPr>
          <w:lang w:val="en-US"/>
        </w:rPr>
        <w:tab/>
        <w:t>UN Regulation No. 134</w:t>
      </w:r>
      <w:r>
        <w:rPr>
          <w:vertAlign w:val="superscript"/>
          <w:lang w:val="en-US"/>
        </w:rPr>
        <w:t>9</w:t>
      </w:r>
      <w:r w:rsidRPr="00995DA4">
        <w:rPr>
          <w:lang w:val="en-US"/>
        </w:rPr>
        <w:t xml:space="preserve"> for compressed hydrogen and the technical provisions of </w:t>
      </w:r>
      <w:r w:rsidRPr="0038459B">
        <w:t>Global Technical Regulation No.13</w:t>
      </w:r>
      <w:r w:rsidRPr="0038459B">
        <w:rPr>
          <w:vertAlign w:val="superscript"/>
        </w:rPr>
        <w:t>10</w:t>
      </w:r>
      <w:r w:rsidRPr="0038459B">
        <w:t>, Amendment 1</w:t>
      </w:r>
      <w:r w:rsidRPr="00995DA4">
        <w:rPr>
          <w:lang w:val="en-US"/>
        </w:rPr>
        <w:t xml:space="preserve"> for liquid hydrogen</w:t>
      </w:r>
      <w:r>
        <w:rPr>
          <w:lang w:val="en-US"/>
        </w:rPr>
        <w:t>,</w:t>
      </w:r>
      <w:r w:rsidRPr="00995DA4">
        <w:rPr>
          <w:lang w:val="en-US"/>
        </w:rPr>
        <w:t xml:space="preserve"> as relevant.</w:t>
      </w:r>
    </w:p>
    <w:p w14:paraId="3806E9D8" w14:textId="77777777" w:rsidR="0051660D" w:rsidRPr="0089649E" w:rsidRDefault="0051660D" w:rsidP="0051660D">
      <w:pPr>
        <w:pStyle w:val="SingleTxtG"/>
        <w:tabs>
          <w:tab w:val="clear" w:pos="1701"/>
        </w:tabs>
        <w:ind w:left="2268" w:hanging="1134"/>
        <w:rPr>
          <w:lang w:val="en-US"/>
        </w:rPr>
      </w:pPr>
      <w:r>
        <w:rPr>
          <w:lang w:val="en-US"/>
        </w:rPr>
        <w:tab/>
      </w:r>
      <w:r w:rsidRPr="00995DA4">
        <w:rPr>
          <w:lang w:val="en-US"/>
        </w:rPr>
        <w:t>In the case of EX/II and EX/III vehicles the engine shall be of compression-ignition construction using only liquid fuels with a flashpoint above 55 °C. Gases shall not be used.</w:t>
      </w:r>
      <w:r>
        <w:rPr>
          <w:lang w:val="en-US"/>
        </w:rPr>
        <w:t>”</w:t>
      </w:r>
    </w:p>
    <w:p w14:paraId="7C45E5D9" w14:textId="77777777" w:rsidR="0051660D" w:rsidRPr="000C280A" w:rsidRDefault="0051660D" w:rsidP="0051660D">
      <w:pPr>
        <w:pStyle w:val="SingleTxtG"/>
        <w:tabs>
          <w:tab w:val="clear" w:pos="1701"/>
        </w:tabs>
        <w:ind w:left="2268" w:hanging="1134"/>
        <w:rPr>
          <w:b/>
          <w:bCs/>
        </w:rPr>
      </w:pPr>
      <w:r>
        <w:t>9.2.4.5</w:t>
      </w:r>
      <w:r>
        <w:tab/>
        <w:t>Renumber as 9.2.4.3.2 and reformat the heading accordingly.</w:t>
      </w:r>
    </w:p>
    <w:p w14:paraId="208FA2A1" w14:textId="77777777" w:rsidR="0051660D" w:rsidRDefault="0051660D" w:rsidP="0051660D">
      <w:pPr>
        <w:pStyle w:val="SingleTxtG"/>
        <w:tabs>
          <w:tab w:val="clear" w:pos="1701"/>
        </w:tabs>
        <w:ind w:left="2268" w:hanging="1134"/>
        <w:rPr>
          <w:lang w:val="en-US"/>
        </w:rPr>
      </w:pPr>
      <w:r>
        <w:t>9.2.4.6</w:t>
      </w:r>
      <w:r>
        <w:tab/>
        <w:t>Renumber as 9.2.4.4 and amend to read as follows</w:t>
      </w:r>
      <w:r>
        <w:rPr>
          <w:lang w:val="en-US"/>
        </w:rPr>
        <w:t>:</w:t>
      </w:r>
    </w:p>
    <w:p w14:paraId="415ECA70" w14:textId="77777777" w:rsidR="0051660D" w:rsidRPr="00944855" w:rsidRDefault="0051660D" w:rsidP="0051660D">
      <w:pPr>
        <w:pStyle w:val="SingleTxtG"/>
        <w:ind w:left="2268" w:hanging="1134"/>
        <w:rPr>
          <w:b/>
          <w:bCs/>
          <w:i/>
          <w:iCs/>
          <w:lang w:val="en-US"/>
        </w:rPr>
      </w:pPr>
      <w:r>
        <w:rPr>
          <w:lang w:val="en-US"/>
        </w:rPr>
        <w:t>“</w:t>
      </w:r>
      <w:r w:rsidRPr="008056C0">
        <w:rPr>
          <w:b/>
          <w:bCs/>
          <w:lang w:val="en-US"/>
        </w:rPr>
        <w:t>9.2.4.4</w:t>
      </w:r>
      <w:r w:rsidRPr="008056C0">
        <w:rPr>
          <w:b/>
          <w:bCs/>
          <w:lang w:val="en-US"/>
        </w:rPr>
        <w:tab/>
      </w:r>
      <w:r w:rsidRPr="00944855">
        <w:rPr>
          <w:b/>
          <w:bCs/>
          <w:i/>
          <w:iCs/>
          <w:lang w:val="en-US"/>
        </w:rPr>
        <w:t>Electric power train</w:t>
      </w:r>
    </w:p>
    <w:p w14:paraId="6C88FD42" w14:textId="77777777" w:rsidR="0051660D" w:rsidRPr="00944855" w:rsidRDefault="0051660D" w:rsidP="0051660D">
      <w:pPr>
        <w:pStyle w:val="SingleTxtG"/>
        <w:tabs>
          <w:tab w:val="clear" w:pos="1701"/>
        </w:tabs>
        <w:ind w:left="2268" w:hanging="1134"/>
        <w:rPr>
          <w:lang w:val="en-US"/>
        </w:rPr>
      </w:pPr>
      <w:r>
        <w:rPr>
          <w:lang w:val="en-US"/>
        </w:rPr>
        <w:tab/>
      </w:r>
      <w:r w:rsidRPr="00944855">
        <w:rPr>
          <w:lang w:val="en-US"/>
        </w:rPr>
        <w:t>Electric power trains shall not be used for EX vehicles.</w:t>
      </w:r>
      <w:r>
        <w:rPr>
          <w:lang w:val="en-US"/>
        </w:rPr>
        <w:t xml:space="preserve"> </w:t>
      </w:r>
      <w:r w:rsidRPr="00944855">
        <w:rPr>
          <w:lang w:val="en-US"/>
        </w:rPr>
        <w:t>Trailers with re-generative braking or electric power train are not allowed.</w:t>
      </w:r>
    </w:p>
    <w:p w14:paraId="5E68AD42" w14:textId="77777777" w:rsidR="0051660D" w:rsidRPr="00944855" w:rsidRDefault="0051660D" w:rsidP="0051660D">
      <w:pPr>
        <w:pStyle w:val="SingleTxtG"/>
        <w:ind w:left="2268" w:hanging="1134"/>
        <w:rPr>
          <w:i/>
          <w:iCs/>
          <w:lang w:val="en-US"/>
        </w:rPr>
      </w:pPr>
      <w:r w:rsidRPr="00944855">
        <w:rPr>
          <w:lang w:val="en-US"/>
        </w:rPr>
        <w:t>9.2.4.4.1</w:t>
      </w:r>
      <w:r w:rsidRPr="00944855">
        <w:rPr>
          <w:lang w:val="en-US"/>
        </w:rPr>
        <w:tab/>
      </w:r>
      <w:r w:rsidRPr="00944855">
        <w:rPr>
          <w:i/>
          <w:iCs/>
          <w:lang w:val="en-US"/>
        </w:rPr>
        <w:t>General provisions</w:t>
      </w:r>
    </w:p>
    <w:p w14:paraId="70CBA68C" w14:textId="77777777" w:rsidR="0051660D" w:rsidRPr="00944855" w:rsidRDefault="0051660D" w:rsidP="0051660D">
      <w:pPr>
        <w:pStyle w:val="SingleTxtG"/>
        <w:tabs>
          <w:tab w:val="clear" w:pos="1701"/>
        </w:tabs>
        <w:ind w:left="2268" w:hanging="1134"/>
        <w:rPr>
          <w:lang w:val="en-US"/>
        </w:rPr>
      </w:pPr>
      <w:r>
        <w:rPr>
          <w:lang w:val="en-US"/>
        </w:rPr>
        <w:tab/>
      </w:r>
      <w:r w:rsidRPr="00944855">
        <w:rPr>
          <w:lang w:val="en-US"/>
        </w:rPr>
        <w:t>The electric power train shall meet the requirements of UN Regulation No. 100</w:t>
      </w:r>
      <w:r w:rsidRPr="009073C8">
        <w:rPr>
          <w:vertAlign w:val="superscript"/>
          <w:lang w:val="en-US"/>
        </w:rPr>
        <w:t>1</w:t>
      </w:r>
      <w:r w:rsidRPr="00944855">
        <w:rPr>
          <w:lang w:val="en-US"/>
        </w:rPr>
        <w:t xml:space="preserve">, as amended </w:t>
      </w:r>
      <w:r w:rsidRPr="005E3993">
        <w:rPr>
          <w:lang w:val="en-US"/>
        </w:rPr>
        <w:t>at least</w:t>
      </w:r>
      <w:r w:rsidRPr="00944855">
        <w:rPr>
          <w:lang w:val="en-US"/>
        </w:rPr>
        <w:t xml:space="preserve"> by the 03 series of amendments. </w:t>
      </w:r>
    </w:p>
    <w:p w14:paraId="4FC14670" w14:textId="77777777" w:rsidR="0051660D" w:rsidRPr="00944855" w:rsidRDefault="0051660D" w:rsidP="0051660D">
      <w:pPr>
        <w:pStyle w:val="SingleTxtG"/>
        <w:tabs>
          <w:tab w:val="clear" w:pos="1701"/>
        </w:tabs>
        <w:ind w:left="2268" w:hanging="1134"/>
        <w:rPr>
          <w:lang w:val="en-US"/>
        </w:rPr>
      </w:pPr>
      <w:r w:rsidRPr="00944855">
        <w:rPr>
          <w:lang w:val="en-US"/>
        </w:rPr>
        <w:tab/>
        <w:t>Vehicles with an electric power train shall be equipped with an isolation resistance monitoring system.</w:t>
      </w:r>
    </w:p>
    <w:p w14:paraId="44B82103" w14:textId="77777777" w:rsidR="0051660D" w:rsidRDefault="0051660D" w:rsidP="0051660D">
      <w:pPr>
        <w:pStyle w:val="SingleTxtG"/>
        <w:tabs>
          <w:tab w:val="clear" w:pos="1701"/>
        </w:tabs>
        <w:ind w:left="2268" w:hanging="1134"/>
        <w:rPr>
          <w:lang w:val="en-US"/>
        </w:rPr>
      </w:pPr>
      <w:r w:rsidRPr="00944855">
        <w:rPr>
          <w:lang w:val="en-US"/>
        </w:rPr>
        <w:tab/>
        <w:t>The vehicle shall give external signals in stationary conditions, in addition to the warning to the driver receives in the driver’s cab as required by 6.15.1 of UN Regulation No.100</w:t>
      </w:r>
      <w:r>
        <w:rPr>
          <w:vertAlign w:val="superscript"/>
          <w:lang w:val="en-US"/>
        </w:rPr>
        <w:t>1</w:t>
      </w:r>
      <w:r w:rsidRPr="0038459B">
        <w:t>, as amended at least by the 03 series of amendments</w:t>
      </w:r>
      <w:r w:rsidRPr="00944855">
        <w:rPr>
          <w:lang w:val="en-US"/>
        </w:rPr>
        <w:t>.</w:t>
      </w:r>
    </w:p>
    <w:p w14:paraId="66D74043" w14:textId="77777777" w:rsidR="0051660D" w:rsidRPr="000D099C" w:rsidRDefault="0051660D" w:rsidP="0051660D">
      <w:pPr>
        <w:pStyle w:val="SingleTxtG"/>
        <w:ind w:left="2268" w:hanging="1134"/>
        <w:rPr>
          <w:i/>
          <w:iCs/>
          <w:lang w:val="en-US"/>
        </w:rPr>
      </w:pPr>
      <w:r w:rsidRPr="00E45EDD">
        <w:rPr>
          <w:lang w:val="en-US"/>
        </w:rPr>
        <w:t>9.2.4.4.2</w:t>
      </w:r>
      <w:r w:rsidRPr="00E45EDD">
        <w:rPr>
          <w:lang w:val="en-US"/>
        </w:rPr>
        <w:tab/>
      </w:r>
      <w:r w:rsidRPr="000D099C">
        <w:rPr>
          <w:i/>
          <w:iCs/>
          <w:lang w:val="en-US"/>
        </w:rPr>
        <w:t>Rechargeable electrical energy storage system (REESS)</w:t>
      </w:r>
    </w:p>
    <w:p w14:paraId="6AC931D0" w14:textId="77777777" w:rsidR="0051660D" w:rsidRPr="00B115A3" w:rsidRDefault="0051660D" w:rsidP="0051660D">
      <w:pPr>
        <w:pStyle w:val="SingleTxtG"/>
        <w:tabs>
          <w:tab w:val="clear" w:pos="1701"/>
        </w:tabs>
        <w:ind w:left="2268" w:hanging="1134"/>
        <w:rPr>
          <w:i/>
          <w:iCs/>
          <w:lang w:val="en-US"/>
        </w:rPr>
      </w:pPr>
      <w:r>
        <w:rPr>
          <w:lang w:val="en-US"/>
        </w:rPr>
        <w:tab/>
      </w:r>
      <w:r w:rsidRPr="00B115A3">
        <w:rPr>
          <w:b/>
          <w:bCs/>
          <w:i/>
          <w:iCs/>
          <w:lang w:val="en-US"/>
        </w:rPr>
        <w:t>NOTE:</w:t>
      </w:r>
      <w:r w:rsidRPr="00B115A3">
        <w:rPr>
          <w:i/>
          <w:iCs/>
          <w:lang w:val="en-US"/>
        </w:rPr>
        <w:t xml:space="preserve"> Other acronyms for REESS are used in other documentation for similar systems (e.g. RESS).</w:t>
      </w:r>
    </w:p>
    <w:p w14:paraId="4388F2D8" w14:textId="77777777" w:rsidR="0051660D" w:rsidRPr="00E45EDD" w:rsidRDefault="0051660D" w:rsidP="0051660D">
      <w:pPr>
        <w:pStyle w:val="SingleTxtG"/>
        <w:tabs>
          <w:tab w:val="clear" w:pos="1701"/>
        </w:tabs>
        <w:ind w:left="2268" w:hanging="1134"/>
        <w:rPr>
          <w:lang w:val="en-US"/>
        </w:rPr>
      </w:pPr>
      <w:r>
        <w:rPr>
          <w:lang w:val="en-US"/>
        </w:rPr>
        <w:tab/>
      </w:r>
      <w:r w:rsidRPr="00E45EDD">
        <w:rPr>
          <w:lang w:val="en-US"/>
        </w:rPr>
        <w:t>REESS of vehicles with an electric power train shall be designed and constructed taking into account a risk evaluation according to ISO 6469-1:2019/</w:t>
      </w:r>
      <w:proofErr w:type="spellStart"/>
      <w:r w:rsidRPr="00E45EDD">
        <w:rPr>
          <w:lang w:val="en-US"/>
        </w:rPr>
        <w:t>Amd</w:t>
      </w:r>
      <w:proofErr w:type="spellEnd"/>
      <w:r w:rsidRPr="00E45EDD">
        <w:rPr>
          <w:lang w:val="en-US"/>
        </w:rPr>
        <w:t xml:space="preserve"> 1:2022 to establish safety for normal operational conditions.</w:t>
      </w:r>
      <w:r>
        <w:rPr>
          <w:lang w:val="en-US"/>
        </w:rPr>
        <w:t xml:space="preserve"> </w:t>
      </w:r>
      <w:r w:rsidRPr="00E45EDD">
        <w:rPr>
          <w:lang w:val="en-US"/>
        </w:rPr>
        <w:t xml:space="preserve">A review shall be carried out by a technical service </w:t>
      </w:r>
      <w:r>
        <w:rPr>
          <w:lang w:val="en-US"/>
        </w:rPr>
        <w:t>such as a</w:t>
      </w:r>
      <w:r w:rsidRPr="00E45EDD">
        <w:rPr>
          <w:lang w:val="en-US"/>
        </w:rPr>
        <w:t xml:space="preserve"> technical service for vehicle approvals according to UN Regulation No. 100</w:t>
      </w:r>
      <w:r>
        <w:rPr>
          <w:vertAlign w:val="superscript"/>
          <w:lang w:val="en-US"/>
        </w:rPr>
        <w:t>1</w:t>
      </w:r>
      <w:r w:rsidRPr="00944855">
        <w:rPr>
          <w:lang w:val="en-US"/>
        </w:rPr>
        <w:t xml:space="preserve">, as amended </w:t>
      </w:r>
      <w:r w:rsidRPr="005E3993">
        <w:rPr>
          <w:lang w:val="en-US"/>
        </w:rPr>
        <w:t>at least</w:t>
      </w:r>
      <w:r w:rsidRPr="00944855">
        <w:rPr>
          <w:lang w:val="en-US"/>
        </w:rPr>
        <w:t xml:space="preserve"> by the 03 series of amendments</w:t>
      </w:r>
      <w:r w:rsidRPr="00E45EDD">
        <w:rPr>
          <w:lang w:val="en-US"/>
        </w:rPr>
        <w:t>.</w:t>
      </w:r>
    </w:p>
    <w:p w14:paraId="77D93317" w14:textId="77777777" w:rsidR="0051660D" w:rsidRPr="00B115A3" w:rsidRDefault="0051660D" w:rsidP="0051660D">
      <w:pPr>
        <w:pStyle w:val="SingleTxtG"/>
        <w:tabs>
          <w:tab w:val="clear" w:pos="1701"/>
        </w:tabs>
        <w:ind w:left="2268" w:hanging="1134"/>
        <w:rPr>
          <w:i/>
          <w:iCs/>
          <w:lang w:val="en-US"/>
        </w:rPr>
      </w:pPr>
      <w:r>
        <w:rPr>
          <w:lang w:val="en-US"/>
        </w:rPr>
        <w:tab/>
      </w:r>
      <w:r w:rsidRPr="00B115A3">
        <w:rPr>
          <w:b/>
          <w:bCs/>
          <w:i/>
          <w:iCs/>
          <w:lang w:val="en-US"/>
        </w:rPr>
        <w:t>NOTE:</w:t>
      </w:r>
      <w:r w:rsidRPr="00B115A3">
        <w:rPr>
          <w:i/>
          <w:iCs/>
          <w:lang w:val="en-US"/>
        </w:rPr>
        <w:t xml:space="preserve"> Normal operational conditions </w:t>
      </w:r>
      <w:r>
        <w:rPr>
          <w:i/>
          <w:iCs/>
          <w:lang w:val="en-US"/>
        </w:rPr>
        <w:t xml:space="preserve">also </w:t>
      </w:r>
      <w:r w:rsidRPr="00B115A3">
        <w:rPr>
          <w:i/>
          <w:iCs/>
          <w:lang w:val="en-US"/>
        </w:rPr>
        <w:t>include malfunctioning and reasonably foreseeable accidental situations.</w:t>
      </w:r>
    </w:p>
    <w:p w14:paraId="6289E566" w14:textId="77777777" w:rsidR="0051660D" w:rsidRPr="00E85357" w:rsidRDefault="0051660D" w:rsidP="0051660D">
      <w:pPr>
        <w:pStyle w:val="SingleTxtG"/>
        <w:ind w:left="2268" w:hanging="1134"/>
        <w:rPr>
          <w:i/>
          <w:iCs/>
        </w:rPr>
      </w:pPr>
      <w:r>
        <w:t>9.2.4.4.3</w:t>
      </w:r>
      <w:r>
        <w:tab/>
      </w:r>
      <w:r w:rsidRPr="00E85357">
        <w:rPr>
          <w:i/>
          <w:iCs/>
        </w:rPr>
        <w:t>Measures against thermal propagation</w:t>
      </w:r>
    </w:p>
    <w:p w14:paraId="5F32778F" w14:textId="77777777" w:rsidR="0051660D" w:rsidRDefault="0051660D" w:rsidP="0051660D">
      <w:pPr>
        <w:pStyle w:val="SingleTxtG"/>
        <w:tabs>
          <w:tab w:val="clear" w:pos="1701"/>
        </w:tabs>
        <w:ind w:left="2268" w:hanging="1134"/>
      </w:pPr>
      <w:r>
        <w:tab/>
        <w:t>REESS containing cells for which thermal propagation cannot be guaranteed to be contained within the REESS, measures shall be taken to mitigate danger to the load by heating or ignition.</w:t>
      </w:r>
    </w:p>
    <w:p w14:paraId="2E218C4E" w14:textId="77777777" w:rsidR="0051660D" w:rsidRPr="0038459B" w:rsidRDefault="0051660D" w:rsidP="0051660D">
      <w:pPr>
        <w:pStyle w:val="SingleTxtG"/>
        <w:ind w:left="2268" w:hanging="1134"/>
      </w:pPr>
      <w:r w:rsidRPr="0038459B">
        <w:t>9.2.4.4.4</w:t>
      </w:r>
      <w:r w:rsidRPr="0038459B">
        <w:tab/>
      </w:r>
      <w:r w:rsidRPr="0038459B">
        <w:rPr>
          <w:i/>
          <w:iCs/>
        </w:rPr>
        <w:t>Vehicle charging inlet</w:t>
      </w:r>
    </w:p>
    <w:p w14:paraId="581060A1" w14:textId="77777777" w:rsidR="0051660D" w:rsidRPr="0038459B" w:rsidRDefault="0051660D" w:rsidP="0051660D">
      <w:pPr>
        <w:pStyle w:val="SingleTxtG"/>
        <w:ind w:left="2268" w:hanging="1134"/>
      </w:pPr>
      <w:r w:rsidRPr="0038459B">
        <w:tab/>
      </w:r>
      <w:r w:rsidRPr="0038459B">
        <w:tab/>
        <w:t>The vehicle charging inlet shall be provided with thermal sensing function which limits or interrupts current transfer according to ISO 17409:2020, when the temperature exceeds component rated values or required limits by applicable product standards, see e.g. IEC 62196-3-1:2020.”</w:t>
      </w:r>
    </w:p>
    <w:p w14:paraId="0757E798" w14:textId="77777777" w:rsidR="0051660D" w:rsidRDefault="0051660D" w:rsidP="0051660D">
      <w:pPr>
        <w:pStyle w:val="SingleTxtG"/>
        <w:tabs>
          <w:tab w:val="clear" w:pos="1701"/>
        </w:tabs>
        <w:ind w:left="2268" w:hanging="1134"/>
      </w:pPr>
      <w:r>
        <w:t>9.2.4</w:t>
      </w:r>
      <w:r>
        <w:tab/>
        <w:t>Add a new 9.2.4.5 to read as follows:</w:t>
      </w:r>
    </w:p>
    <w:p w14:paraId="525C634C" w14:textId="77777777" w:rsidR="0051660D" w:rsidRPr="00233463" w:rsidRDefault="0051660D" w:rsidP="0051660D">
      <w:pPr>
        <w:pStyle w:val="SingleTxtG"/>
        <w:ind w:left="2268" w:hanging="1134"/>
        <w:rPr>
          <w:b/>
          <w:bCs/>
          <w:i/>
          <w:iCs/>
        </w:rPr>
      </w:pPr>
      <w:r>
        <w:t>“</w:t>
      </w:r>
      <w:r w:rsidRPr="00233463">
        <w:rPr>
          <w:b/>
          <w:bCs/>
        </w:rPr>
        <w:t>9.2.4.5</w:t>
      </w:r>
      <w:r w:rsidRPr="00233463">
        <w:rPr>
          <w:b/>
          <w:bCs/>
        </w:rPr>
        <w:tab/>
      </w:r>
      <w:r w:rsidRPr="00233463">
        <w:rPr>
          <w:b/>
          <w:bCs/>
          <w:i/>
          <w:iCs/>
        </w:rPr>
        <w:t>Hydrogen fuel cell vehicles</w:t>
      </w:r>
    </w:p>
    <w:p w14:paraId="3D5A337A" w14:textId="77777777" w:rsidR="0051660D" w:rsidRDefault="0051660D" w:rsidP="0051660D">
      <w:pPr>
        <w:pStyle w:val="SingleTxtG"/>
        <w:ind w:left="2268" w:hanging="1134"/>
      </w:pPr>
      <w:r>
        <w:t>9.2.4.5.1</w:t>
      </w:r>
      <w:r>
        <w:tab/>
        <w:t>Hydrogen fuel cell vehicles shall comply with the requirements for the electrical power train of 9.2.4.4.</w:t>
      </w:r>
    </w:p>
    <w:p w14:paraId="48759321" w14:textId="77777777" w:rsidR="0051660D" w:rsidRDefault="0051660D" w:rsidP="0051660D">
      <w:pPr>
        <w:pStyle w:val="SingleTxtG"/>
        <w:ind w:left="2268" w:hanging="1134"/>
      </w:pPr>
      <w:r>
        <w:t>9.2.4.5.2</w:t>
      </w:r>
      <w:r>
        <w:tab/>
        <w:t>Hydrogen fuel cell vehicles shall comply with UN Regulation No. 134</w:t>
      </w:r>
      <w:r>
        <w:rPr>
          <w:vertAlign w:val="superscript"/>
        </w:rPr>
        <w:t>9</w:t>
      </w:r>
      <w:r>
        <w:t xml:space="preserve">, as amended at least by the 02 series of amendments. For vehicles using liquid hydrogen the technical requirements of the </w:t>
      </w:r>
      <w:r w:rsidRPr="0038459B">
        <w:t>Global Technical Regulation No.13</w:t>
      </w:r>
      <w:r w:rsidRPr="0038459B">
        <w:rPr>
          <w:vertAlign w:val="superscript"/>
        </w:rPr>
        <w:t>10</w:t>
      </w:r>
      <w:r w:rsidRPr="0038459B">
        <w:t>, Amendment 1</w:t>
      </w:r>
      <w:r>
        <w:t xml:space="preserve"> applies.</w:t>
      </w:r>
    </w:p>
    <w:p w14:paraId="619A4196" w14:textId="77777777" w:rsidR="0051660D" w:rsidRDefault="0051660D" w:rsidP="0051660D">
      <w:pPr>
        <w:pStyle w:val="SingleTxtG"/>
        <w:ind w:left="2268" w:hanging="1134"/>
      </w:pPr>
      <w:r>
        <w:t>9.2.4.5.3</w:t>
      </w:r>
      <w:r>
        <w:tab/>
        <w:t>Shut-off devices of hydrogen containers shall close automatically:</w:t>
      </w:r>
    </w:p>
    <w:p w14:paraId="75D30735" w14:textId="77777777" w:rsidR="0051660D" w:rsidRDefault="0051660D" w:rsidP="0051660D">
      <w:pPr>
        <w:pStyle w:val="SingleTxtG"/>
        <w:tabs>
          <w:tab w:val="clear" w:pos="1701"/>
        </w:tabs>
        <w:ind w:left="2268" w:hanging="1134"/>
      </w:pPr>
      <w:r>
        <w:tab/>
        <w:t>(a)</w:t>
      </w:r>
      <w:r>
        <w:tab/>
        <w:t>when the vehicle is no longer in driving mode;</w:t>
      </w:r>
    </w:p>
    <w:p w14:paraId="3BC875CA" w14:textId="77777777" w:rsidR="0051660D" w:rsidRDefault="0051660D" w:rsidP="0051660D">
      <w:pPr>
        <w:pStyle w:val="SingleTxtG"/>
        <w:tabs>
          <w:tab w:val="clear" w:pos="1701"/>
        </w:tabs>
        <w:ind w:left="2268" w:hanging="1134"/>
      </w:pPr>
      <w:r>
        <w:tab/>
        <w:t>(b)</w:t>
      </w:r>
      <w:r>
        <w:tab/>
        <w:t xml:space="preserve">at a deceleration of </w:t>
      </w:r>
      <w:r w:rsidRPr="00EA7B7D">
        <w:t>3</w:t>
      </w:r>
      <w:r>
        <w:t>.</w:t>
      </w:r>
      <w:r w:rsidRPr="00EA7B7D">
        <w:t>25 m</w:t>
      </w:r>
      <w:r>
        <w:t>·</w:t>
      </w:r>
      <w:r w:rsidRPr="00EA7B7D">
        <w:t>s</w:t>
      </w:r>
      <w:r w:rsidRPr="00FE0CA0">
        <w:rPr>
          <w:vertAlign w:val="superscript"/>
        </w:rPr>
        <w:t>-2</w:t>
      </w:r>
      <w:r w:rsidRPr="00EA7B7D">
        <w:t xml:space="preserve"> </w:t>
      </w:r>
      <w:r>
        <w:t>for</w:t>
      </w:r>
      <w:r w:rsidRPr="00EA7B7D">
        <w:t xml:space="preserve"> 0</w:t>
      </w:r>
      <w:r>
        <w:t>.</w:t>
      </w:r>
      <w:r w:rsidRPr="00EA7B7D">
        <w:t>7 s</w:t>
      </w:r>
      <w:r>
        <w:t>;</w:t>
      </w:r>
    </w:p>
    <w:p w14:paraId="145B91D7" w14:textId="77777777" w:rsidR="0051660D" w:rsidRDefault="0051660D" w:rsidP="0051660D">
      <w:pPr>
        <w:pStyle w:val="SingleTxtG"/>
        <w:tabs>
          <w:tab w:val="clear" w:pos="1701"/>
        </w:tabs>
        <w:ind w:left="2268" w:hanging="1134"/>
      </w:pPr>
      <w:r>
        <w:tab/>
        <w:t>(c)</w:t>
      </w:r>
      <w:r>
        <w:tab/>
        <w:t>in case of a lateral overturning above an angle of 23°.</w:t>
      </w:r>
    </w:p>
    <w:p w14:paraId="17F69536" w14:textId="77777777" w:rsidR="0051660D" w:rsidRDefault="0051660D" w:rsidP="0051660D">
      <w:pPr>
        <w:pStyle w:val="SingleTxtG"/>
        <w:tabs>
          <w:tab w:val="clear" w:pos="1701"/>
        </w:tabs>
        <w:ind w:left="2268" w:hanging="1134"/>
      </w:pPr>
      <w:r>
        <w:tab/>
        <w:t>The shut-off devices may be re-opened by a deliberate action of the driver.”</w:t>
      </w:r>
    </w:p>
    <w:p w14:paraId="12E2BDC9" w14:textId="77777777" w:rsidR="0051660D" w:rsidRDefault="0051660D" w:rsidP="0051660D">
      <w:pPr>
        <w:pStyle w:val="SingleTxtG"/>
        <w:tabs>
          <w:tab w:val="clear" w:pos="1701"/>
        </w:tabs>
        <w:ind w:left="2268" w:hanging="1134"/>
      </w:pPr>
      <w:r>
        <w:t>9.2.4.8</w:t>
      </w:r>
      <w:r>
        <w:tab/>
      </w:r>
      <w:r w:rsidRPr="002E4447">
        <w:t>Renumber 9.2.4.8 to 9.2.4.8.6 as 9.2.5 to 9.2.5.6</w:t>
      </w:r>
      <w:r>
        <w:t>.</w:t>
      </w:r>
    </w:p>
    <w:p w14:paraId="1F978563" w14:textId="77777777" w:rsidR="0051660D" w:rsidRDefault="0051660D" w:rsidP="0051660D">
      <w:pPr>
        <w:pStyle w:val="SingleTxtG"/>
        <w:tabs>
          <w:tab w:val="clear" w:pos="1701"/>
        </w:tabs>
        <w:ind w:left="2268" w:hanging="1134"/>
      </w:pPr>
      <w:r>
        <w:tab/>
        <w:t xml:space="preserve">In the renumbered 9.2.5.1 (previous 9.2.4.8.1), renumber footnote </w:t>
      </w:r>
      <w:r w:rsidRPr="00502618">
        <w:rPr>
          <w:vertAlign w:val="superscript"/>
        </w:rPr>
        <w:t>9</w:t>
      </w:r>
      <w:r>
        <w:t xml:space="preserve"> as </w:t>
      </w:r>
      <w:r w:rsidRPr="00502618">
        <w:rPr>
          <w:vertAlign w:val="superscript"/>
        </w:rPr>
        <w:t>1</w:t>
      </w:r>
      <w:r>
        <w:rPr>
          <w:vertAlign w:val="superscript"/>
        </w:rPr>
        <w:t>1</w:t>
      </w:r>
      <w:r>
        <w:t xml:space="preserve"> and r</w:t>
      </w:r>
      <w:r w:rsidRPr="0038459B">
        <w:t>eplace “9.2.4.8.2 to 9.2.4.8.6” by “9.2.5.2 to 9.2.5.6”.</w:t>
      </w:r>
    </w:p>
    <w:p w14:paraId="12E4F7BE" w14:textId="77777777" w:rsidR="0051660D" w:rsidRDefault="0051660D" w:rsidP="0051660D">
      <w:pPr>
        <w:pStyle w:val="SingleTxtG"/>
        <w:tabs>
          <w:tab w:val="clear" w:pos="1701"/>
        </w:tabs>
        <w:ind w:left="2268" w:hanging="1134"/>
      </w:pPr>
      <w:r>
        <w:tab/>
        <w:t>In the renumbered 9.2.5.2 (previous 9.2.4.8.2), r</w:t>
      </w:r>
      <w:r w:rsidRPr="0038459B">
        <w:t>eplace “9.2.4.3 and 9.2.4.5” by “9.2.4.2 and 9.2.4.3.2”.</w:t>
      </w:r>
    </w:p>
    <w:p w14:paraId="7500E027" w14:textId="77777777" w:rsidR="0051660D" w:rsidRDefault="0051660D" w:rsidP="0051660D">
      <w:pPr>
        <w:pStyle w:val="SingleTxtG"/>
        <w:tabs>
          <w:tab w:val="clear" w:pos="1701"/>
        </w:tabs>
        <w:ind w:left="2268" w:hanging="1134"/>
      </w:pPr>
      <w:r>
        <w:tab/>
        <w:t>In the renumbered 9.2.5.4 (previous 9.2.4.8.4),</w:t>
      </w:r>
      <w:r w:rsidRPr="00012FBD">
        <w:t xml:space="preserve"> </w:t>
      </w:r>
      <w:r>
        <w:t>i</w:t>
      </w:r>
      <w:r w:rsidRPr="0038459B">
        <w:t>n the first sentence, replace “9.2.4.8.3” by “9.2.5.3”.</w:t>
      </w:r>
    </w:p>
    <w:p w14:paraId="3DA437D9" w14:textId="77777777" w:rsidR="0051660D" w:rsidRDefault="0051660D" w:rsidP="0051660D">
      <w:pPr>
        <w:pStyle w:val="SingleTxtG"/>
        <w:tabs>
          <w:tab w:val="clear" w:pos="1701"/>
        </w:tabs>
        <w:ind w:left="2268" w:hanging="1134"/>
      </w:pPr>
      <w:r>
        <w:t>9.2.5</w:t>
      </w:r>
      <w:r>
        <w:tab/>
      </w:r>
      <w:r w:rsidRPr="00DB0BF8">
        <w:t>Renumber as 9.2.6</w:t>
      </w:r>
      <w:r>
        <w:t xml:space="preserve">. Renumber footnote </w:t>
      </w:r>
      <w:r w:rsidRPr="00502618">
        <w:rPr>
          <w:vertAlign w:val="superscript"/>
        </w:rPr>
        <w:t>10</w:t>
      </w:r>
      <w:r>
        <w:t xml:space="preserve"> as </w:t>
      </w:r>
      <w:r w:rsidRPr="00502618">
        <w:rPr>
          <w:vertAlign w:val="superscript"/>
        </w:rPr>
        <w:t>1</w:t>
      </w:r>
      <w:r>
        <w:rPr>
          <w:vertAlign w:val="superscript"/>
        </w:rPr>
        <w:t>2</w:t>
      </w:r>
      <w:r>
        <w:t>.</w:t>
      </w:r>
    </w:p>
    <w:p w14:paraId="5FFF4716" w14:textId="77777777" w:rsidR="0051660D" w:rsidRDefault="0051660D" w:rsidP="0051660D">
      <w:pPr>
        <w:pStyle w:val="SingleTxtG"/>
        <w:tabs>
          <w:tab w:val="clear" w:pos="1701"/>
        </w:tabs>
        <w:ind w:left="2268" w:hanging="1134"/>
      </w:pPr>
      <w:r>
        <w:t>9.2.6</w:t>
      </w:r>
      <w:r>
        <w:tab/>
        <w:t>Renumber as 9.2.7.</w:t>
      </w:r>
    </w:p>
    <w:p w14:paraId="5F570D3A" w14:textId="77777777" w:rsidR="0051660D" w:rsidRDefault="0051660D" w:rsidP="0051660D">
      <w:pPr>
        <w:pStyle w:val="SingleTxtG"/>
        <w:tabs>
          <w:tab w:val="clear" w:pos="1701"/>
        </w:tabs>
        <w:ind w:left="2268" w:hanging="1134"/>
      </w:pPr>
      <w:r>
        <w:t>9.2.7</w:t>
      </w:r>
      <w:r>
        <w:tab/>
      </w:r>
      <w:r w:rsidRPr="002E4447">
        <w:t>Renumber 9.2.</w:t>
      </w:r>
      <w:r>
        <w:t>7 and 9.2.7.1 as 9.2.8 and 9.2.8.1. After “LNG”, add “and liquid hydrogen”.</w:t>
      </w:r>
    </w:p>
    <w:p w14:paraId="29A35C0A" w14:textId="77777777" w:rsidR="0051660D" w:rsidRPr="0038459B" w:rsidRDefault="0051660D" w:rsidP="0051660D">
      <w:pPr>
        <w:pStyle w:val="H1G"/>
      </w:pPr>
      <w:r w:rsidRPr="0038459B">
        <w:tab/>
      </w:r>
      <w:r w:rsidRPr="0038459B">
        <w:tab/>
        <w:t>Chapter 9.3</w:t>
      </w:r>
    </w:p>
    <w:p w14:paraId="7B0EA9AC" w14:textId="77777777" w:rsidR="0051660D" w:rsidRPr="0038459B" w:rsidRDefault="0051660D" w:rsidP="0051660D">
      <w:pPr>
        <w:pStyle w:val="SingleTxtG"/>
        <w:tabs>
          <w:tab w:val="clear" w:pos="1701"/>
          <w:tab w:val="clear" w:pos="2268"/>
          <w:tab w:val="clear" w:pos="2835"/>
        </w:tabs>
        <w:ind w:left="2268" w:hanging="1134"/>
      </w:pPr>
      <w:r w:rsidRPr="0038459B">
        <w:t>9.3.2.2</w:t>
      </w:r>
      <w:r w:rsidRPr="0038459B">
        <w:tab/>
        <w:t>Replace “9.2.4.8.1, 9.2.4.8.2, 9.2.4.8.5 and 9.2.4.8.6” by “9.2.5.1, 9.2.5.2, 9.2.5.5 and 9.2.5.6”.</w:t>
      </w:r>
    </w:p>
    <w:p w14:paraId="7C90149B" w14:textId="77777777" w:rsidR="0051660D" w:rsidRPr="0038459B" w:rsidRDefault="0051660D" w:rsidP="0051660D">
      <w:pPr>
        <w:pStyle w:val="H1G"/>
      </w:pPr>
      <w:r w:rsidRPr="0038459B">
        <w:tab/>
      </w:r>
      <w:r w:rsidRPr="0038459B">
        <w:tab/>
        <w:t>Chapter 9.7</w:t>
      </w:r>
    </w:p>
    <w:p w14:paraId="3E737884" w14:textId="77777777" w:rsidR="0051660D" w:rsidRPr="0038459B" w:rsidRDefault="0051660D" w:rsidP="0051660D">
      <w:pPr>
        <w:pStyle w:val="SingleTxtG"/>
        <w:tabs>
          <w:tab w:val="clear" w:pos="1701"/>
          <w:tab w:val="clear" w:pos="2268"/>
          <w:tab w:val="clear" w:pos="2835"/>
        </w:tabs>
        <w:ind w:left="2268" w:hanging="1134"/>
      </w:pPr>
      <w:r w:rsidRPr="0038459B">
        <w:t>9.7.7.1</w:t>
      </w:r>
      <w:r w:rsidRPr="0038459B">
        <w:tab/>
        <w:t>In the first paragraph, replace “9.2.4.8.1, 9.2.4.8.2, 9.2.4.8.5” by “9.2.5.1, 9.2.5.2, 9.2.5.5”.</w:t>
      </w:r>
    </w:p>
    <w:p w14:paraId="6EE343AE" w14:textId="77777777" w:rsidR="0051660D" w:rsidRPr="0038459B" w:rsidRDefault="0051660D" w:rsidP="0051660D">
      <w:pPr>
        <w:pStyle w:val="SingleTxtG"/>
        <w:tabs>
          <w:tab w:val="clear" w:pos="1701"/>
          <w:tab w:val="clear" w:pos="2268"/>
          <w:tab w:val="clear" w:pos="2835"/>
        </w:tabs>
        <w:ind w:left="2268" w:hanging="1134"/>
      </w:pPr>
      <w:r w:rsidRPr="0038459B">
        <w:tab/>
        <w:t>In the second paragraph, replace “9.2.4.8.3 and 9.2.4.8.4” by “9.2.5.3 and 9.2.5.4”.</w:t>
      </w:r>
    </w:p>
    <w:p w14:paraId="1FA86159" w14:textId="77777777" w:rsidR="0051660D" w:rsidRPr="0038459B" w:rsidRDefault="0051660D" w:rsidP="0051660D">
      <w:pPr>
        <w:pStyle w:val="SingleTxtG"/>
        <w:tabs>
          <w:tab w:val="clear" w:pos="1701"/>
          <w:tab w:val="clear" w:pos="2268"/>
          <w:tab w:val="clear" w:pos="2835"/>
        </w:tabs>
        <w:ind w:left="2268" w:hanging="1134"/>
      </w:pPr>
      <w:r w:rsidRPr="0038459B">
        <w:t>9.7.8.1</w:t>
      </w:r>
      <w:r w:rsidRPr="0038459B">
        <w:tab/>
        <w:t>Amend the first sentence to read “Additions to or modifications of the electrical installation on vehicles shall meet the relevant requirements of Chapter 9.2 as appropriate (see table 9.2.1.1).”. Delete the second paragraph.</w:t>
      </w:r>
    </w:p>
    <w:p w14:paraId="19AB65FB" w14:textId="77777777" w:rsidR="0051660D" w:rsidRPr="0038459B" w:rsidRDefault="0051660D" w:rsidP="0051660D">
      <w:pPr>
        <w:pStyle w:val="H1G"/>
      </w:pPr>
      <w:r w:rsidRPr="0038459B">
        <w:tab/>
      </w:r>
      <w:r w:rsidRPr="0038459B">
        <w:tab/>
        <w:t>Chapter 9.8</w:t>
      </w:r>
    </w:p>
    <w:p w14:paraId="5F740F12" w14:textId="77777777" w:rsidR="0051660D" w:rsidRPr="0038459B" w:rsidRDefault="0051660D" w:rsidP="0051660D">
      <w:pPr>
        <w:pStyle w:val="SingleTxtG"/>
        <w:tabs>
          <w:tab w:val="clear" w:pos="1701"/>
          <w:tab w:val="clear" w:pos="2268"/>
          <w:tab w:val="clear" w:pos="2835"/>
        </w:tabs>
        <w:ind w:left="2268" w:hanging="1134"/>
      </w:pPr>
      <w:r w:rsidRPr="004C3410">
        <w:t>9.8.6.1</w:t>
      </w:r>
      <w:r w:rsidRPr="004C3410">
        <w:tab/>
        <w:t>Replace “9.2.4.8.1, 9.2.4.8.2, 9.2.4.8.5, 9.2.4.8.6” by “9.2.5.1, 9.2.5.2, 9.2.5.5, 9.2.5.6”.</w:t>
      </w:r>
    </w:p>
    <w:p w14:paraId="654E0803" w14:textId="1C2E221B" w:rsidR="001C6663" w:rsidRPr="002203BD" w:rsidRDefault="002203BD" w:rsidP="002203BD">
      <w:pPr>
        <w:spacing w:before="240"/>
        <w:jc w:val="center"/>
        <w:rPr>
          <w:u w:val="single"/>
        </w:rPr>
      </w:pPr>
      <w:r>
        <w:rPr>
          <w:u w:val="single"/>
        </w:rPr>
        <w:tab/>
      </w:r>
      <w:r>
        <w:rPr>
          <w:u w:val="single"/>
        </w:rPr>
        <w:tab/>
      </w:r>
      <w:r>
        <w:rPr>
          <w:u w:val="single"/>
        </w:rPr>
        <w:tab/>
      </w:r>
    </w:p>
    <w:sectPr w:rsidR="001C6663" w:rsidRPr="002203BD" w:rsidSect="00BE16A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DE25" w14:textId="77777777" w:rsidR="00891A72" w:rsidRDefault="00891A72"/>
  </w:endnote>
  <w:endnote w:type="continuationSeparator" w:id="0">
    <w:p w14:paraId="6CDD014F" w14:textId="77777777" w:rsidR="00891A72" w:rsidRDefault="00891A72"/>
  </w:endnote>
  <w:endnote w:type="continuationNotice" w:id="1">
    <w:p w14:paraId="028CF581" w14:textId="77777777" w:rsidR="00891A72" w:rsidRDefault="00891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8AC1" w14:textId="774AEB34" w:rsidR="00BE16A0" w:rsidRPr="00BE16A0" w:rsidRDefault="00BE16A0" w:rsidP="00BE16A0">
    <w:pPr>
      <w:pStyle w:val="Footer"/>
      <w:tabs>
        <w:tab w:val="right" w:pos="9638"/>
      </w:tabs>
      <w:rPr>
        <w:sz w:val="18"/>
      </w:rPr>
    </w:pPr>
    <w:r w:rsidRPr="00BE16A0">
      <w:rPr>
        <w:b/>
        <w:sz w:val="18"/>
      </w:rPr>
      <w:fldChar w:fldCharType="begin"/>
    </w:r>
    <w:r w:rsidRPr="00BE16A0">
      <w:rPr>
        <w:b/>
        <w:sz w:val="18"/>
      </w:rPr>
      <w:instrText xml:space="preserve"> PAGE  \* MERGEFORMAT </w:instrText>
    </w:r>
    <w:r w:rsidRPr="00BE16A0">
      <w:rPr>
        <w:b/>
        <w:sz w:val="18"/>
      </w:rPr>
      <w:fldChar w:fldCharType="separate"/>
    </w:r>
    <w:r w:rsidRPr="00BE16A0">
      <w:rPr>
        <w:b/>
        <w:noProof/>
        <w:sz w:val="18"/>
      </w:rPr>
      <w:t>2</w:t>
    </w:r>
    <w:r w:rsidRPr="00BE16A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DA94" w14:textId="602BF4EE" w:rsidR="00BE16A0" w:rsidRPr="00BE16A0" w:rsidRDefault="00BE16A0" w:rsidP="00BE16A0">
    <w:pPr>
      <w:pStyle w:val="Footer"/>
      <w:tabs>
        <w:tab w:val="right" w:pos="9638"/>
      </w:tabs>
      <w:rPr>
        <w:b/>
        <w:sz w:val="18"/>
      </w:rPr>
    </w:pPr>
    <w:r>
      <w:tab/>
    </w:r>
    <w:r w:rsidRPr="00BE16A0">
      <w:rPr>
        <w:b/>
        <w:sz w:val="18"/>
      </w:rPr>
      <w:fldChar w:fldCharType="begin"/>
    </w:r>
    <w:r w:rsidRPr="00BE16A0">
      <w:rPr>
        <w:b/>
        <w:sz w:val="18"/>
      </w:rPr>
      <w:instrText xml:space="preserve"> PAGE  \* MERGEFORMAT </w:instrText>
    </w:r>
    <w:r w:rsidRPr="00BE16A0">
      <w:rPr>
        <w:b/>
        <w:sz w:val="18"/>
      </w:rPr>
      <w:fldChar w:fldCharType="separate"/>
    </w:r>
    <w:r w:rsidRPr="00BE16A0">
      <w:rPr>
        <w:b/>
        <w:noProof/>
        <w:sz w:val="18"/>
      </w:rPr>
      <w:t>3</w:t>
    </w:r>
    <w:r w:rsidRPr="00BE16A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ED07" w14:textId="13B596A1" w:rsidR="00985CE7" w:rsidRDefault="00985CE7" w:rsidP="00985CE7">
    <w:pPr>
      <w:pStyle w:val="Footer"/>
    </w:pPr>
    <w:bookmarkStart w:id="2" w:name="_GoBack"/>
    <w:bookmarkEnd w:id="2"/>
    <w:r>
      <w:rPr>
        <w:noProof/>
        <w:lang w:val="en-US" w:eastAsia="zh-CN"/>
      </w:rPr>
      <w:drawing>
        <wp:anchor distT="0" distB="0" distL="114300" distR="114300" simplePos="0" relativeHeight="251659264" behindDoc="1" locked="1" layoutInCell="1" allowOverlap="1" wp14:anchorId="38604EF8" wp14:editId="61C2479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EC04550" w14:textId="3ABE30D3" w:rsidR="00985CE7" w:rsidRPr="00985CE7" w:rsidRDefault="00985CE7" w:rsidP="00985CE7">
    <w:pPr>
      <w:pStyle w:val="Footer"/>
      <w:ind w:right="1134"/>
      <w:rPr>
        <w:sz w:val="20"/>
      </w:rPr>
    </w:pPr>
    <w:r>
      <w:rPr>
        <w:sz w:val="20"/>
      </w:rPr>
      <w:t>GE.24-08768  (E)</w:t>
    </w:r>
    <w:r>
      <w:rPr>
        <w:noProof/>
        <w:sz w:val="20"/>
      </w:rPr>
      <w:drawing>
        <wp:anchor distT="0" distB="0" distL="114300" distR="114300" simplePos="0" relativeHeight="251660288" behindDoc="0" locked="0" layoutInCell="1" allowOverlap="1" wp14:anchorId="49560F44" wp14:editId="37120566">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9F13" w14:textId="77777777" w:rsidR="00891A72" w:rsidRPr="000B175B" w:rsidRDefault="00891A72" w:rsidP="000B175B">
      <w:pPr>
        <w:tabs>
          <w:tab w:val="right" w:pos="2155"/>
        </w:tabs>
        <w:spacing w:after="80"/>
        <w:ind w:left="680"/>
        <w:rPr>
          <w:u w:val="single"/>
        </w:rPr>
      </w:pPr>
      <w:r>
        <w:rPr>
          <w:u w:val="single"/>
        </w:rPr>
        <w:tab/>
      </w:r>
    </w:p>
  </w:footnote>
  <w:footnote w:type="continuationSeparator" w:id="0">
    <w:p w14:paraId="3748EFF7" w14:textId="77777777" w:rsidR="00891A72" w:rsidRPr="00FC68B7" w:rsidRDefault="00891A72" w:rsidP="00FC68B7">
      <w:pPr>
        <w:tabs>
          <w:tab w:val="left" w:pos="2155"/>
        </w:tabs>
        <w:spacing w:after="80"/>
        <w:ind w:left="680"/>
        <w:rPr>
          <w:u w:val="single"/>
        </w:rPr>
      </w:pPr>
      <w:r>
        <w:rPr>
          <w:u w:val="single"/>
        </w:rPr>
        <w:tab/>
      </w:r>
    </w:p>
  </w:footnote>
  <w:footnote w:type="continuationNotice" w:id="1">
    <w:p w14:paraId="7215A19E" w14:textId="77777777" w:rsidR="00891A72" w:rsidRDefault="00891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0357" w14:textId="6F056830" w:rsidR="00BE16A0" w:rsidRPr="00BE16A0" w:rsidRDefault="00C9224D">
    <w:pPr>
      <w:pStyle w:val="Header"/>
    </w:pPr>
    <w:r>
      <w:t>ECE/TRANS/WP.15/265/Add.1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CB64" w14:textId="52F036E8" w:rsidR="00BE16A0" w:rsidRPr="00BE16A0" w:rsidRDefault="00C9224D" w:rsidP="00BE16A0">
    <w:pPr>
      <w:pStyle w:val="Header"/>
      <w:jc w:val="right"/>
    </w:pPr>
    <w:r>
      <w:t>ECE/TRANS/WP.15/265/Add.1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96526070">
    <w:abstractNumId w:val="1"/>
  </w:num>
  <w:num w:numId="2" w16cid:durableId="841972465">
    <w:abstractNumId w:val="0"/>
  </w:num>
  <w:num w:numId="3" w16cid:durableId="865869153">
    <w:abstractNumId w:val="2"/>
  </w:num>
  <w:num w:numId="4" w16cid:durableId="746613857">
    <w:abstractNumId w:val="3"/>
  </w:num>
  <w:num w:numId="5" w16cid:durableId="440418458">
    <w:abstractNumId w:val="8"/>
  </w:num>
  <w:num w:numId="6" w16cid:durableId="135412600">
    <w:abstractNumId w:val="9"/>
  </w:num>
  <w:num w:numId="7" w16cid:durableId="965428307">
    <w:abstractNumId w:val="7"/>
  </w:num>
  <w:num w:numId="8" w16cid:durableId="981423220">
    <w:abstractNumId w:val="6"/>
  </w:num>
  <w:num w:numId="9" w16cid:durableId="8261191">
    <w:abstractNumId w:val="5"/>
  </w:num>
  <w:num w:numId="10" w16cid:durableId="512961058">
    <w:abstractNumId w:val="4"/>
  </w:num>
  <w:num w:numId="11" w16cid:durableId="896818462">
    <w:abstractNumId w:val="15"/>
  </w:num>
  <w:num w:numId="12" w16cid:durableId="1771702545">
    <w:abstractNumId w:val="14"/>
  </w:num>
  <w:num w:numId="13" w16cid:durableId="401106116">
    <w:abstractNumId w:val="10"/>
  </w:num>
  <w:num w:numId="14" w16cid:durableId="1009526159">
    <w:abstractNumId w:val="12"/>
  </w:num>
  <w:num w:numId="15" w16cid:durableId="384304690">
    <w:abstractNumId w:val="16"/>
  </w:num>
  <w:num w:numId="16" w16cid:durableId="1975452305">
    <w:abstractNumId w:val="13"/>
  </w:num>
  <w:num w:numId="17" w16cid:durableId="805851534">
    <w:abstractNumId w:val="17"/>
  </w:num>
  <w:num w:numId="18" w16cid:durableId="1303077857">
    <w:abstractNumId w:val="18"/>
  </w:num>
  <w:num w:numId="19" w16cid:durableId="1529220030">
    <w:abstractNumId w:val="11"/>
  </w:num>
  <w:num w:numId="20" w16cid:durableId="220675828">
    <w:abstractNumId w:val="11"/>
  </w:num>
  <w:num w:numId="21" w16cid:durableId="21444258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A0"/>
    <w:rsid w:val="00002A7D"/>
    <w:rsid w:val="000038A8"/>
    <w:rsid w:val="00006790"/>
    <w:rsid w:val="00027624"/>
    <w:rsid w:val="00050F6B"/>
    <w:rsid w:val="0006262C"/>
    <w:rsid w:val="000678CD"/>
    <w:rsid w:val="00072C8C"/>
    <w:rsid w:val="00075640"/>
    <w:rsid w:val="00081CE0"/>
    <w:rsid w:val="00084D30"/>
    <w:rsid w:val="00090320"/>
    <w:rsid w:val="000931C0"/>
    <w:rsid w:val="0009732C"/>
    <w:rsid w:val="000A01F9"/>
    <w:rsid w:val="000A2E09"/>
    <w:rsid w:val="000B175B"/>
    <w:rsid w:val="000B3A0F"/>
    <w:rsid w:val="000E0415"/>
    <w:rsid w:val="000F7715"/>
    <w:rsid w:val="00127F79"/>
    <w:rsid w:val="00156B99"/>
    <w:rsid w:val="00166124"/>
    <w:rsid w:val="00184DDA"/>
    <w:rsid w:val="001900CD"/>
    <w:rsid w:val="001A0452"/>
    <w:rsid w:val="001A1560"/>
    <w:rsid w:val="001B4B04"/>
    <w:rsid w:val="001B5875"/>
    <w:rsid w:val="001C4B9C"/>
    <w:rsid w:val="001C6663"/>
    <w:rsid w:val="001C7895"/>
    <w:rsid w:val="001D26DF"/>
    <w:rsid w:val="001E555D"/>
    <w:rsid w:val="001F1599"/>
    <w:rsid w:val="001F19C4"/>
    <w:rsid w:val="002043F0"/>
    <w:rsid w:val="00211E0B"/>
    <w:rsid w:val="002203BD"/>
    <w:rsid w:val="00232575"/>
    <w:rsid w:val="00247258"/>
    <w:rsid w:val="00257CAC"/>
    <w:rsid w:val="00264441"/>
    <w:rsid w:val="0027237A"/>
    <w:rsid w:val="002974E9"/>
    <w:rsid w:val="002A0F05"/>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87C9B"/>
    <w:rsid w:val="003A46BB"/>
    <w:rsid w:val="003A4EC7"/>
    <w:rsid w:val="003A7295"/>
    <w:rsid w:val="003B1F60"/>
    <w:rsid w:val="003B26C6"/>
    <w:rsid w:val="003C2CC4"/>
    <w:rsid w:val="003D4B23"/>
    <w:rsid w:val="003D67B0"/>
    <w:rsid w:val="003E278A"/>
    <w:rsid w:val="00413520"/>
    <w:rsid w:val="00430D57"/>
    <w:rsid w:val="004325CB"/>
    <w:rsid w:val="00440A07"/>
    <w:rsid w:val="00462880"/>
    <w:rsid w:val="00476F24"/>
    <w:rsid w:val="004B17B5"/>
    <w:rsid w:val="004C3410"/>
    <w:rsid w:val="004C55B0"/>
    <w:rsid w:val="004F6BA0"/>
    <w:rsid w:val="00503BEA"/>
    <w:rsid w:val="00514156"/>
    <w:rsid w:val="0051660D"/>
    <w:rsid w:val="005268B1"/>
    <w:rsid w:val="00533616"/>
    <w:rsid w:val="00535ABA"/>
    <w:rsid w:val="0053768B"/>
    <w:rsid w:val="005420F2"/>
    <w:rsid w:val="0054285C"/>
    <w:rsid w:val="005542FE"/>
    <w:rsid w:val="00584173"/>
    <w:rsid w:val="00595520"/>
    <w:rsid w:val="005A44B9"/>
    <w:rsid w:val="005B1BA0"/>
    <w:rsid w:val="005B3DB3"/>
    <w:rsid w:val="005B6ACB"/>
    <w:rsid w:val="005D15CA"/>
    <w:rsid w:val="005D7969"/>
    <w:rsid w:val="005E4A53"/>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2F7D"/>
    <w:rsid w:val="006C5535"/>
    <w:rsid w:val="006D0589"/>
    <w:rsid w:val="006E564B"/>
    <w:rsid w:val="006E7154"/>
    <w:rsid w:val="007003CD"/>
    <w:rsid w:val="0070701E"/>
    <w:rsid w:val="00714CFD"/>
    <w:rsid w:val="007173E0"/>
    <w:rsid w:val="0072632A"/>
    <w:rsid w:val="007358E8"/>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1217"/>
    <w:rsid w:val="008242D7"/>
    <w:rsid w:val="0082577B"/>
    <w:rsid w:val="008272DD"/>
    <w:rsid w:val="00866893"/>
    <w:rsid w:val="00866F02"/>
    <w:rsid w:val="00867D18"/>
    <w:rsid w:val="00871F9A"/>
    <w:rsid w:val="00871FD5"/>
    <w:rsid w:val="0088172E"/>
    <w:rsid w:val="00881EFA"/>
    <w:rsid w:val="008879CB"/>
    <w:rsid w:val="00891A72"/>
    <w:rsid w:val="0089340A"/>
    <w:rsid w:val="008979B1"/>
    <w:rsid w:val="008A6B25"/>
    <w:rsid w:val="008A6C4F"/>
    <w:rsid w:val="008A77AE"/>
    <w:rsid w:val="008A79F5"/>
    <w:rsid w:val="008B389E"/>
    <w:rsid w:val="008D045E"/>
    <w:rsid w:val="008D3F25"/>
    <w:rsid w:val="008D4D82"/>
    <w:rsid w:val="008E0E46"/>
    <w:rsid w:val="008E7116"/>
    <w:rsid w:val="008F143B"/>
    <w:rsid w:val="008F3882"/>
    <w:rsid w:val="008F4B7C"/>
    <w:rsid w:val="008F76EB"/>
    <w:rsid w:val="00926E47"/>
    <w:rsid w:val="00947162"/>
    <w:rsid w:val="009610D0"/>
    <w:rsid w:val="0096375C"/>
    <w:rsid w:val="009662E6"/>
    <w:rsid w:val="0097095E"/>
    <w:rsid w:val="009841C1"/>
    <w:rsid w:val="0098592B"/>
    <w:rsid w:val="00985CE7"/>
    <w:rsid w:val="00985FC4"/>
    <w:rsid w:val="00990766"/>
    <w:rsid w:val="00991261"/>
    <w:rsid w:val="009964C4"/>
    <w:rsid w:val="009A7B81"/>
    <w:rsid w:val="009D01C0"/>
    <w:rsid w:val="009D6A08"/>
    <w:rsid w:val="009D7EFF"/>
    <w:rsid w:val="009E0A16"/>
    <w:rsid w:val="009E6CB7"/>
    <w:rsid w:val="009E7970"/>
    <w:rsid w:val="009F2EAC"/>
    <w:rsid w:val="009F57E3"/>
    <w:rsid w:val="00A10F4F"/>
    <w:rsid w:val="00A11067"/>
    <w:rsid w:val="00A1704A"/>
    <w:rsid w:val="00A425EB"/>
    <w:rsid w:val="00A52DAC"/>
    <w:rsid w:val="00A53090"/>
    <w:rsid w:val="00A72F22"/>
    <w:rsid w:val="00A733BC"/>
    <w:rsid w:val="00A748A6"/>
    <w:rsid w:val="00A76A69"/>
    <w:rsid w:val="00A879A4"/>
    <w:rsid w:val="00A9047B"/>
    <w:rsid w:val="00AA0FF8"/>
    <w:rsid w:val="00AC0F2C"/>
    <w:rsid w:val="00AC502A"/>
    <w:rsid w:val="00AF2221"/>
    <w:rsid w:val="00AF58C1"/>
    <w:rsid w:val="00B04A3F"/>
    <w:rsid w:val="00B06643"/>
    <w:rsid w:val="00B15055"/>
    <w:rsid w:val="00B20551"/>
    <w:rsid w:val="00B23D55"/>
    <w:rsid w:val="00B27FAE"/>
    <w:rsid w:val="00B30179"/>
    <w:rsid w:val="00B33FC7"/>
    <w:rsid w:val="00B356EA"/>
    <w:rsid w:val="00B37B15"/>
    <w:rsid w:val="00B44F8C"/>
    <w:rsid w:val="00B45C02"/>
    <w:rsid w:val="00B70B63"/>
    <w:rsid w:val="00B72A1E"/>
    <w:rsid w:val="00B81E12"/>
    <w:rsid w:val="00BA339B"/>
    <w:rsid w:val="00BB23CC"/>
    <w:rsid w:val="00BC1E7E"/>
    <w:rsid w:val="00BC74E9"/>
    <w:rsid w:val="00BD7829"/>
    <w:rsid w:val="00BE16A0"/>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745C3"/>
    <w:rsid w:val="00C9224D"/>
    <w:rsid w:val="00C978F5"/>
    <w:rsid w:val="00CA24A4"/>
    <w:rsid w:val="00CB348D"/>
    <w:rsid w:val="00CD46F5"/>
    <w:rsid w:val="00CE4A8F"/>
    <w:rsid w:val="00CE78F6"/>
    <w:rsid w:val="00CF071D"/>
    <w:rsid w:val="00CF4398"/>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869D7"/>
    <w:rsid w:val="00D978C6"/>
    <w:rsid w:val="00DA0956"/>
    <w:rsid w:val="00DA357F"/>
    <w:rsid w:val="00DA3E12"/>
    <w:rsid w:val="00DB6908"/>
    <w:rsid w:val="00DC18AD"/>
    <w:rsid w:val="00DC5D97"/>
    <w:rsid w:val="00DE1FC2"/>
    <w:rsid w:val="00DF7CAE"/>
    <w:rsid w:val="00E06AB2"/>
    <w:rsid w:val="00E1195E"/>
    <w:rsid w:val="00E423C0"/>
    <w:rsid w:val="00E6414C"/>
    <w:rsid w:val="00E7260F"/>
    <w:rsid w:val="00E8702D"/>
    <w:rsid w:val="00E905F4"/>
    <w:rsid w:val="00E916A9"/>
    <w:rsid w:val="00E916DE"/>
    <w:rsid w:val="00E925AD"/>
    <w:rsid w:val="00E96630"/>
    <w:rsid w:val="00EA3968"/>
    <w:rsid w:val="00ED18DC"/>
    <w:rsid w:val="00ED6201"/>
    <w:rsid w:val="00ED7A2A"/>
    <w:rsid w:val="00EF1D7F"/>
    <w:rsid w:val="00F0137E"/>
    <w:rsid w:val="00F21786"/>
    <w:rsid w:val="00F3742B"/>
    <w:rsid w:val="00F41FDB"/>
    <w:rsid w:val="00F50596"/>
    <w:rsid w:val="00F56D63"/>
    <w:rsid w:val="00F609A9"/>
    <w:rsid w:val="00F6231D"/>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4A75"/>
  <w15:docId w15:val="{D4BEB871-D607-42F8-9C58-E10F035F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qFormat/>
    <w:locked/>
    <w:rsid w:val="00D869D7"/>
    <w:rPr>
      <w:b/>
      <w:sz w:val="28"/>
      <w:lang w:val="en-GB"/>
    </w:rPr>
  </w:style>
  <w:style w:type="character" w:customStyle="1" w:styleId="H1GChar">
    <w:name w:val="_ H_1_G Char"/>
    <w:link w:val="H1G"/>
    <w:qFormat/>
    <w:locked/>
    <w:rsid w:val="00D869D7"/>
    <w:rPr>
      <w:b/>
      <w:sz w:val="24"/>
      <w:lang w:val="en-GB"/>
    </w:rPr>
  </w:style>
  <w:style w:type="character" w:styleId="CommentReference">
    <w:name w:val="annotation reference"/>
    <w:basedOn w:val="DefaultParagraphFont"/>
    <w:semiHidden/>
    <w:unhideWhenUsed/>
    <w:rsid w:val="0051660D"/>
    <w:rPr>
      <w:sz w:val="16"/>
      <w:szCs w:val="16"/>
    </w:rPr>
  </w:style>
  <w:style w:type="paragraph" w:styleId="CommentText">
    <w:name w:val="annotation text"/>
    <w:basedOn w:val="Normal"/>
    <w:link w:val="CommentTextChar"/>
    <w:unhideWhenUsed/>
    <w:rsid w:val="0051660D"/>
    <w:pPr>
      <w:spacing w:line="240" w:lineRule="auto"/>
    </w:pPr>
  </w:style>
  <w:style w:type="character" w:customStyle="1" w:styleId="CommentTextChar">
    <w:name w:val="Comment Text Char"/>
    <w:basedOn w:val="DefaultParagraphFont"/>
    <w:link w:val="CommentText"/>
    <w:rsid w:val="0051660D"/>
    <w:rPr>
      <w:lang w:val="en-GB"/>
    </w:rPr>
  </w:style>
  <w:style w:type="paragraph" w:styleId="CommentSubject">
    <w:name w:val="annotation subject"/>
    <w:basedOn w:val="CommentText"/>
    <w:next w:val="CommentText"/>
    <w:link w:val="CommentSubjectChar"/>
    <w:semiHidden/>
    <w:unhideWhenUsed/>
    <w:rsid w:val="0051660D"/>
    <w:rPr>
      <w:b/>
      <w:bCs/>
    </w:rPr>
  </w:style>
  <w:style w:type="character" w:customStyle="1" w:styleId="CommentSubjectChar">
    <w:name w:val="Comment Subject Char"/>
    <w:basedOn w:val="CommentTextChar"/>
    <w:link w:val="CommentSubject"/>
    <w:semiHidden/>
    <w:rsid w:val="0051660D"/>
    <w:rPr>
      <w:b/>
      <w:bCs/>
      <w:lang w:val="en-GB"/>
    </w:rPr>
  </w:style>
  <w:style w:type="paragraph" w:styleId="Revision">
    <w:name w:val="Revision"/>
    <w:hidden/>
    <w:uiPriority w:val="99"/>
    <w:semiHidden/>
    <w:rsid w:val="006C2F7D"/>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0D4B0-A687-4718-A2F9-8D484E33672D}"/>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2899</Words>
  <Characters>15185</Characters>
  <Application>Microsoft Office Word</Application>
  <DocSecurity>0</DocSecurity>
  <Lines>420</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ECE/TRANS/WP.15/265/Add.1</vt:lpstr>
      <vt:lpstr/>
    </vt:vector>
  </TitlesOfParts>
  <Company>CSD</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ECE/TRANS/WP.15/265/Add.1</dc:title>
  <dc:subject>2408768</dc:subject>
  <dc:creator>ECE/TRANS/WP.15/265/Corr.1</dc:creator>
  <cp:keywords/>
  <dc:description/>
  <cp:lastModifiedBy>Anni Vi</cp:lastModifiedBy>
  <cp:revision>2</cp:revision>
  <cp:lastPrinted>2024-05-17T09:45:00Z</cp:lastPrinted>
  <dcterms:created xsi:type="dcterms:W3CDTF">2024-05-20T07:06:00Z</dcterms:created>
  <dcterms:modified xsi:type="dcterms:W3CDTF">2024-05-20T07:06:00Z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