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5B90C4C" w14:textId="77777777" w:rsidTr="00C97039">
        <w:trPr>
          <w:trHeight w:hRule="exact" w:val="851"/>
        </w:trPr>
        <w:tc>
          <w:tcPr>
            <w:tcW w:w="1276" w:type="dxa"/>
            <w:tcBorders>
              <w:bottom w:val="single" w:sz="4" w:space="0" w:color="auto"/>
            </w:tcBorders>
          </w:tcPr>
          <w:p w14:paraId="026AF777" w14:textId="77777777" w:rsidR="00F35BAF" w:rsidRPr="00DB58B5" w:rsidRDefault="00F35BAF" w:rsidP="00100EC6"/>
        </w:tc>
        <w:tc>
          <w:tcPr>
            <w:tcW w:w="2268" w:type="dxa"/>
            <w:tcBorders>
              <w:bottom w:val="single" w:sz="4" w:space="0" w:color="auto"/>
            </w:tcBorders>
            <w:vAlign w:val="bottom"/>
          </w:tcPr>
          <w:p w14:paraId="5CA4346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27BE2D0" w14:textId="646138F0" w:rsidR="00F35BAF" w:rsidRPr="00DB58B5" w:rsidRDefault="00100EC6" w:rsidP="00100EC6">
            <w:pPr>
              <w:jc w:val="right"/>
            </w:pPr>
            <w:r w:rsidRPr="00100EC6">
              <w:rPr>
                <w:sz w:val="40"/>
              </w:rPr>
              <w:t>ECE</w:t>
            </w:r>
            <w:r>
              <w:t>/TRANS/WP.29/GRVA/2024/24</w:t>
            </w:r>
          </w:p>
        </w:tc>
      </w:tr>
      <w:tr w:rsidR="00F35BAF" w:rsidRPr="00DB58B5" w14:paraId="7642DBB1" w14:textId="77777777" w:rsidTr="00C97039">
        <w:trPr>
          <w:trHeight w:hRule="exact" w:val="2835"/>
        </w:trPr>
        <w:tc>
          <w:tcPr>
            <w:tcW w:w="1276" w:type="dxa"/>
            <w:tcBorders>
              <w:top w:val="single" w:sz="4" w:space="0" w:color="auto"/>
              <w:bottom w:val="single" w:sz="12" w:space="0" w:color="auto"/>
            </w:tcBorders>
          </w:tcPr>
          <w:p w14:paraId="27198512" w14:textId="77777777" w:rsidR="00F35BAF" w:rsidRPr="00DB58B5" w:rsidRDefault="00F35BAF" w:rsidP="00C97039">
            <w:pPr>
              <w:spacing w:before="120"/>
              <w:jc w:val="center"/>
            </w:pPr>
            <w:r>
              <w:rPr>
                <w:noProof/>
                <w:lang w:eastAsia="fr-CH"/>
              </w:rPr>
              <w:drawing>
                <wp:inline distT="0" distB="0" distL="0" distR="0" wp14:anchorId="7C553A98" wp14:editId="6CB5E5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12C5A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0F2A232" w14:textId="77777777" w:rsidR="00F35BAF" w:rsidRDefault="00100EC6" w:rsidP="00C97039">
            <w:pPr>
              <w:spacing w:before="240"/>
            </w:pPr>
            <w:r>
              <w:t>Distr. générale</w:t>
            </w:r>
          </w:p>
          <w:p w14:paraId="24F4652E" w14:textId="77777777" w:rsidR="00100EC6" w:rsidRDefault="00100EC6" w:rsidP="00100EC6">
            <w:pPr>
              <w:spacing w:line="240" w:lineRule="exact"/>
            </w:pPr>
            <w:r>
              <w:t>12 avril 2024</w:t>
            </w:r>
          </w:p>
          <w:p w14:paraId="0166B12F" w14:textId="77777777" w:rsidR="00100EC6" w:rsidRDefault="00100EC6" w:rsidP="00100EC6">
            <w:pPr>
              <w:spacing w:line="240" w:lineRule="exact"/>
            </w:pPr>
            <w:r>
              <w:t>Français</w:t>
            </w:r>
          </w:p>
          <w:p w14:paraId="00346CE9" w14:textId="3F67159F" w:rsidR="00100EC6" w:rsidRPr="00DB58B5" w:rsidRDefault="00100EC6" w:rsidP="00100EC6">
            <w:pPr>
              <w:spacing w:line="240" w:lineRule="exact"/>
            </w:pPr>
            <w:r>
              <w:t>Original</w:t>
            </w:r>
            <w:r w:rsidR="00AB6B32">
              <w:t> :</w:t>
            </w:r>
            <w:r>
              <w:t xml:space="preserve"> anglais</w:t>
            </w:r>
          </w:p>
        </w:tc>
      </w:tr>
    </w:tbl>
    <w:p w14:paraId="7DF30637" w14:textId="77777777" w:rsidR="007F20FA" w:rsidRPr="000312C0" w:rsidRDefault="007F20FA" w:rsidP="007F20FA">
      <w:pPr>
        <w:spacing w:before="120"/>
        <w:rPr>
          <w:b/>
          <w:sz w:val="28"/>
          <w:szCs w:val="28"/>
        </w:rPr>
      </w:pPr>
      <w:r w:rsidRPr="000312C0">
        <w:rPr>
          <w:b/>
          <w:sz w:val="28"/>
          <w:szCs w:val="28"/>
        </w:rPr>
        <w:t>Commission économique pour l’Europe</w:t>
      </w:r>
    </w:p>
    <w:p w14:paraId="6F427060" w14:textId="77777777" w:rsidR="007F20FA" w:rsidRDefault="007F20FA" w:rsidP="007F20FA">
      <w:pPr>
        <w:spacing w:before="120"/>
        <w:rPr>
          <w:sz w:val="28"/>
          <w:szCs w:val="28"/>
        </w:rPr>
      </w:pPr>
      <w:r w:rsidRPr="00685843">
        <w:rPr>
          <w:sz w:val="28"/>
          <w:szCs w:val="28"/>
        </w:rPr>
        <w:t>Comité des transports intérieurs</w:t>
      </w:r>
    </w:p>
    <w:p w14:paraId="4F4A678F" w14:textId="7B1B01CE" w:rsidR="00A20ACD" w:rsidRPr="00AB4DCC" w:rsidRDefault="00A20ACD" w:rsidP="00A20ACD">
      <w:pPr>
        <w:spacing w:before="120"/>
        <w:rPr>
          <w:b/>
          <w:sz w:val="24"/>
          <w:szCs w:val="24"/>
          <w:lang w:val="fr-FR"/>
        </w:rPr>
      </w:pPr>
      <w:r w:rsidRPr="00AB4DCC">
        <w:rPr>
          <w:b/>
          <w:bCs/>
          <w:sz w:val="24"/>
          <w:szCs w:val="24"/>
          <w:lang w:val="fr-FR"/>
        </w:rPr>
        <w:t xml:space="preserve">Forum mondial de l’harmonisation </w:t>
      </w:r>
      <w:r w:rsidR="00DE2924">
        <w:rPr>
          <w:b/>
          <w:bCs/>
          <w:sz w:val="24"/>
          <w:szCs w:val="24"/>
          <w:lang w:val="fr-FR"/>
        </w:rPr>
        <w:br/>
      </w:r>
      <w:r w:rsidRPr="00AB4DCC">
        <w:rPr>
          <w:b/>
          <w:bCs/>
          <w:sz w:val="24"/>
          <w:szCs w:val="24"/>
          <w:lang w:val="fr-FR"/>
        </w:rPr>
        <w:t>des Règlements concernant les véhicules</w:t>
      </w:r>
    </w:p>
    <w:p w14:paraId="7473BBED" w14:textId="562146AD" w:rsidR="00A20ACD" w:rsidRPr="00AB4DCC" w:rsidRDefault="00A20ACD" w:rsidP="00A20ACD">
      <w:pPr>
        <w:spacing w:before="120"/>
        <w:rPr>
          <w:b/>
          <w:lang w:val="fr-FR"/>
        </w:rPr>
      </w:pPr>
      <w:bookmarkStart w:id="0" w:name="_Hlk518466992"/>
      <w:r w:rsidRPr="00AB4DCC">
        <w:rPr>
          <w:b/>
          <w:bCs/>
          <w:lang w:val="fr-FR"/>
        </w:rPr>
        <w:t>Groupe de travail des véhicules automatisés/</w:t>
      </w:r>
      <w:r w:rsidR="00DE2924">
        <w:rPr>
          <w:b/>
          <w:bCs/>
          <w:lang w:val="fr-FR"/>
        </w:rPr>
        <w:br/>
      </w:r>
      <w:r w:rsidRPr="00AB4DCC">
        <w:rPr>
          <w:b/>
          <w:bCs/>
          <w:lang w:val="fr-FR"/>
        </w:rPr>
        <w:t>autonomes et connectés</w:t>
      </w:r>
      <w:bookmarkEnd w:id="0"/>
    </w:p>
    <w:p w14:paraId="16FD7148" w14:textId="77777777" w:rsidR="00A20ACD" w:rsidRPr="00AB4DCC" w:rsidRDefault="00A20ACD" w:rsidP="00A20ACD">
      <w:pPr>
        <w:spacing w:before="120"/>
        <w:rPr>
          <w:b/>
          <w:lang w:val="fr-FR"/>
        </w:rPr>
      </w:pPr>
      <w:bookmarkStart w:id="1" w:name="OLE_LINK2"/>
      <w:r w:rsidRPr="00AB4DCC">
        <w:rPr>
          <w:b/>
          <w:bCs/>
          <w:lang w:val="fr-FR"/>
        </w:rPr>
        <w:t>Dix-neuvième session</w:t>
      </w:r>
    </w:p>
    <w:p w14:paraId="13EF8624" w14:textId="77777777" w:rsidR="00A20ACD" w:rsidRPr="00AB4DCC" w:rsidRDefault="00A20ACD" w:rsidP="00A20ACD">
      <w:pPr>
        <w:rPr>
          <w:lang w:val="fr-FR"/>
        </w:rPr>
      </w:pPr>
      <w:r w:rsidRPr="00AB4DCC">
        <w:rPr>
          <w:lang w:val="fr-FR"/>
        </w:rPr>
        <w:t>Genève, 25 juin 2024</w:t>
      </w:r>
    </w:p>
    <w:p w14:paraId="66F9C248" w14:textId="77777777" w:rsidR="00A20ACD" w:rsidRPr="00AB4DCC" w:rsidRDefault="00A20ACD" w:rsidP="00A20ACD">
      <w:pPr>
        <w:rPr>
          <w:lang w:val="fr-FR"/>
        </w:rPr>
      </w:pPr>
      <w:r w:rsidRPr="00AB4DCC">
        <w:rPr>
          <w:lang w:val="fr-FR"/>
        </w:rPr>
        <w:t>Point 6 c) de l’ordre du jour provisoire</w:t>
      </w:r>
    </w:p>
    <w:p w14:paraId="73CCB498" w14:textId="089040AD" w:rsidR="00A20ACD" w:rsidRPr="00AB4DCC" w:rsidRDefault="00A20ACD" w:rsidP="00AB6B32">
      <w:pPr>
        <w:rPr>
          <w:b/>
          <w:bCs/>
          <w:lang w:val="fr-FR"/>
        </w:rPr>
      </w:pPr>
      <w:r w:rsidRPr="00AB4DCC">
        <w:rPr>
          <w:b/>
          <w:bCs/>
          <w:lang w:val="fr-FR"/>
        </w:rPr>
        <w:t>Systèmes actifs d’aide à la conduite et Règlement ONU n</w:t>
      </w:r>
      <w:r w:rsidRPr="00AB4DCC">
        <w:rPr>
          <w:b/>
          <w:bCs/>
          <w:vertAlign w:val="superscript"/>
          <w:lang w:val="fr-FR"/>
        </w:rPr>
        <w:t>o</w:t>
      </w:r>
      <w:r w:rsidRPr="00AB4DCC">
        <w:rPr>
          <w:b/>
          <w:bCs/>
          <w:lang w:val="fr-FR"/>
        </w:rPr>
        <w:t xml:space="preserve"> 79</w:t>
      </w:r>
      <w:r w:rsidR="00AB6B32">
        <w:rPr>
          <w:b/>
          <w:bCs/>
          <w:lang w:val="fr-FR"/>
        </w:rPr>
        <w:t> :</w:t>
      </w:r>
      <w:r w:rsidR="00AB6B32">
        <w:rPr>
          <w:b/>
          <w:bCs/>
          <w:lang w:val="fr-FR"/>
        </w:rPr>
        <w:br/>
      </w:r>
      <w:r w:rsidRPr="00AB4DCC">
        <w:rPr>
          <w:b/>
          <w:bCs/>
          <w:lang w:val="fr-FR"/>
        </w:rPr>
        <w:t>Contrôle de l’accélération en cas d’erreur de pédale</w:t>
      </w:r>
    </w:p>
    <w:p w14:paraId="0F3930D2" w14:textId="77777777" w:rsidR="00A20ACD" w:rsidRPr="00AB4DCC" w:rsidRDefault="00A20ACD" w:rsidP="00DE2924">
      <w:pPr>
        <w:pStyle w:val="HChG"/>
        <w:rPr>
          <w:lang w:val="fr-FR"/>
        </w:rPr>
      </w:pPr>
      <w:r w:rsidRPr="00AB4DCC">
        <w:rPr>
          <w:lang w:val="fr-FR"/>
        </w:rPr>
        <w:tab/>
      </w:r>
      <w:r w:rsidRPr="00AB4DCC">
        <w:rPr>
          <w:lang w:val="fr-FR"/>
        </w:rPr>
        <w:tab/>
        <w:t>Proposition de nouveau Règlement ONU relatif au contrôle de l’accélération en cas d’erreur de pédale</w:t>
      </w:r>
      <w:bookmarkEnd w:id="1"/>
    </w:p>
    <w:p w14:paraId="201296AC" w14:textId="77777777" w:rsidR="00A20ACD" w:rsidRPr="00AB4DCC" w:rsidRDefault="00A20ACD" w:rsidP="00DE2924">
      <w:pPr>
        <w:pStyle w:val="H1G"/>
        <w:rPr>
          <w:lang w:val="fr-FR"/>
        </w:rPr>
      </w:pPr>
      <w:r w:rsidRPr="00AB4DCC">
        <w:rPr>
          <w:lang w:val="fr-FR"/>
        </w:rPr>
        <w:tab/>
      </w:r>
      <w:r w:rsidRPr="00AB4DCC">
        <w:rPr>
          <w:lang w:val="fr-FR"/>
        </w:rPr>
        <w:tab/>
        <w:t>Communication des experts du groupe de travail informel du contrôle de l’accélération en cas d’erreur de pédale</w:t>
      </w:r>
      <w:r w:rsidRPr="00DE2924">
        <w:rPr>
          <w:rStyle w:val="Appelnotedebasdep"/>
          <w:b w:val="0"/>
          <w:bCs/>
          <w:sz w:val="20"/>
          <w:vertAlign w:val="baseline"/>
          <w:lang w:val="fr-FR"/>
        </w:rPr>
        <w:footnoteReference w:customMarkFollows="1" w:id="2"/>
        <w:t>*</w:t>
      </w:r>
    </w:p>
    <w:p w14:paraId="042B08AC" w14:textId="77777777" w:rsidR="00A20ACD" w:rsidRPr="00AB4DCC" w:rsidRDefault="00A20ACD" w:rsidP="00DE2924">
      <w:pPr>
        <w:pStyle w:val="SingleTxtG"/>
        <w:ind w:firstLine="567"/>
        <w:rPr>
          <w:lang w:val="fr-FR"/>
        </w:rPr>
      </w:pPr>
      <w:r w:rsidRPr="00AB4DCC">
        <w:rPr>
          <w:lang w:val="fr-FR"/>
        </w:rPr>
        <w:t>Le texte ci-après a été établi par le groupe de travail informel du contrôle de l’accélération en cas d’erreur de pédale (groupe ACPE).</w:t>
      </w:r>
    </w:p>
    <w:p w14:paraId="01F86D34" w14:textId="77777777" w:rsidR="00A20ACD" w:rsidRPr="00AB4DCC" w:rsidRDefault="00A20ACD" w:rsidP="00DE2924">
      <w:pPr>
        <w:pStyle w:val="SingleTxtG"/>
        <w:rPr>
          <w:lang w:val="fr-FR"/>
        </w:rPr>
      </w:pPr>
      <w:r w:rsidRPr="00AB4DCC">
        <w:rPr>
          <w:lang w:val="fr-FR"/>
        </w:rPr>
        <w:br w:type="page"/>
      </w:r>
    </w:p>
    <w:p w14:paraId="328218A4" w14:textId="77777777" w:rsidR="00A20ACD" w:rsidRPr="00AB4DCC" w:rsidRDefault="00A20ACD" w:rsidP="00DE2924">
      <w:pPr>
        <w:pStyle w:val="HChG"/>
        <w:rPr>
          <w:lang w:val="fr-FR"/>
        </w:rPr>
      </w:pPr>
      <w:r w:rsidRPr="00AB4DCC">
        <w:rPr>
          <w:lang w:val="fr-FR"/>
        </w:rPr>
        <w:tab/>
        <w:t>I.</w:t>
      </w:r>
      <w:r w:rsidRPr="00AB4DCC">
        <w:rPr>
          <w:lang w:val="fr-FR"/>
        </w:rPr>
        <w:tab/>
        <w:t>Proposition</w:t>
      </w:r>
    </w:p>
    <w:p w14:paraId="43F820A0" w14:textId="77777777" w:rsidR="00A20ACD" w:rsidRPr="00AB4DCC" w:rsidRDefault="00A20ACD" w:rsidP="00DE2924">
      <w:pPr>
        <w:pStyle w:val="HChG"/>
        <w:rPr>
          <w:lang w:val="fr-FR"/>
        </w:rPr>
      </w:pPr>
      <w:r w:rsidRPr="00AB4DCC">
        <w:rPr>
          <w:lang w:val="fr-FR"/>
        </w:rPr>
        <w:tab/>
      </w:r>
      <w:r w:rsidRPr="00AB4DCC">
        <w:rPr>
          <w:lang w:val="fr-FR"/>
        </w:rPr>
        <w:tab/>
        <w:t>Règlement ONU n</w:t>
      </w:r>
      <w:r w:rsidRPr="00AB4DCC">
        <w:rPr>
          <w:vertAlign w:val="superscript"/>
          <w:lang w:val="fr-FR"/>
        </w:rPr>
        <w:t>o</w:t>
      </w:r>
      <w:r w:rsidRPr="00AB4DCC">
        <w:rPr>
          <w:lang w:val="fr-FR"/>
        </w:rPr>
        <w:t xml:space="preserve"> [17X]</w:t>
      </w:r>
    </w:p>
    <w:p w14:paraId="21086AD3" w14:textId="75B2B861" w:rsidR="00A20ACD" w:rsidRPr="00AB4DCC" w:rsidRDefault="00A20ACD" w:rsidP="00DE2924">
      <w:pPr>
        <w:pStyle w:val="HChG"/>
        <w:rPr>
          <w:lang w:val="fr-FR"/>
        </w:rPr>
      </w:pPr>
      <w:r w:rsidRPr="00AB4DCC">
        <w:rPr>
          <w:lang w:val="fr-FR"/>
        </w:rPr>
        <w:tab/>
      </w:r>
      <w:r w:rsidRPr="00AB4DCC">
        <w:rPr>
          <w:lang w:val="fr-FR"/>
        </w:rPr>
        <w:tab/>
        <w:t>Prescriptions uniformes relatives à l’homologation des</w:t>
      </w:r>
      <w:r w:rsidR="00DE2924">
        <w:rPr>
          <w:lang w:val="fr-FR"/>
        </w:rPr>
        <w:t> </w:t>
      </w:r>
      <w:r w:rsidRPr="00AB4DCC">
        <w:rPr>
          <w:lang w:val="fr-FR"/>
        </w:rPr>
        <w:t>voitures particulières en ce qui concerne le contrôle de</w:t>
      </w:r>
      <w:r w:rsidR="00DE2924">
        <w:rPr>
          <w:lang w:val="fr-FR"/>
        </w:rPr>
        <w:t> </w:t>
      </w:r>
      <w:r w:rsidRPr="00AB4DCC">
        <w:rPr>
          <w:lang w:val="fr-FR"/>
        </w:rPr>
        <w:t>l’accélération en cas d’erreur de pédale (ACPE)</w:t>
      </w:r>
    </w:p>
    <w:p w14:paraId="2C90C9F5" w14:textId="2C6B61A4" w:rsidR="00DE2924" w:rsidRPr="00DE2924" w:rsidRDefault="00DE2924" w:rsidP="00DE2924">
      <w:pPr>
        <w:spacing w:after="120"/>
        <w:rPr>
          <w:sz w:val="28"/>
        </w:rPr>
      </w:pPr>
      <w:r w:rsidRPr="00DE2924">
        <w:rPr>
          <w:sz w:val="28"/>
        </w:rPr>
        <w:t>Table des matières</w:t>
      </w:r>
    </w:p>
    <w:p w14:paraId="2E8D8E78" w14:textId="7932F12E" w:rsidR="00DE2924" w:rsidRPr="00DE2924" w:rsidRDefault="00DE2924" w:rsidP="00DE2924">
      <w:pPr>
        <w:tabs>
          <w:tab w:val="right" w:pos="9638"/>
        </w:tabs>
        <w:spacing w:after="120"/>
        <w:ind w:left="283"/>
        <w:rPr>
          <w:i/>
          <w:sz w:val="18"/>
        </w:rPr>
      </w:pPr>
      <w:r w:rsidRPr="00DE2924">
        <w:rPr>
          <w:i/>
          <w:sz w:val="18"/>
        </w:rPr>
        <w:tab/>
        <w:t>Page</w:t>
      </w:r>
    </w:p>
    <w:p w14:paraId="789CB954" w14:textId="77777777" w:rsidR="00A20ACD" w:rsidRPr="00AB4DCC" w:rsidRDefault="00A20ACD" w:rsidP="00DE2924">
      <w:pPr>
        <w:tabs>
          <w:tab w:val="right" w:pos="850"/>
          <w:tab w:val="right" w:leader="dot" w:pos="8787"/>
          <w:tab w:val="right" w:pos="9638"/>
        </w:tabs>
        <w:spacing w:after="120"/>
        <w:ind w:left="1134" w:hanging="1134"/>
        <w:rPr>
          <w:sz w:val="22"/>
          <w:szCs w:val="22"/>
          <w:lang w:val="fr-FR"/>
        </w:rPr>
      </w:pPr>
      <w:r w:rsidRPr="00AB4DCC">
        <w:rPr>
          <w:lang w:val="fr-FR"/>
        </w:rPr>
        <w:tab/>
        <w:t>0.</w:t>
      </w:r>
      <w:r w:rsidRPr="00AB4DCC">
        <w:rPr>
          <w:lang w:val="fr-FR"/>
        </w:rPr>
        <w:tab/>
        <w:t>Introduction</w:t>
      </w:r>
      <w:r w:rsidRPr="00AB4DCC">
        <w:rPr>
          <w:lang w:val="fr-FR"/>
        </w:rPr>
        <w:tab/>
      </w:r>
      <w:r w:rsidRPr="00AB4DCC">
        <w:rPr>
          <w:lang w:val="fr-FR"/>
        </w:rPr>
        <w:tab/>
        <w:t>X</w:t>
      </w:r>
    </w:p>
    <w:p w14:paraId="2F7ED217" w14:textId="79FE5FFB" w:rsidR="00A20ACD" w:rsidRPr="00AB4DCC" w:rsidRDefault="00DE2924" w:rsidP="00DE2924">
      <w:pPr>
        <w:tabs>
          <w:tab w:val="right" w:pos="850"/>
          <w:tab w:val="right" w:leader="dot" w:pos="8787"/>
          <w:tab w:val="right" w:pos="9638"/>
        </w:tabs>
        <w:spacing w:after="120"/>
        <w:ind w:left="1134" w:hanging="1134"/>
        <w:rPr>
          <w:sz w:val="22"/>
          <w:szCs w:val="22"/>
          <w:lang w:val="fr-FR"/>
        </w:rPr>
      </w:pPr>
      <w:r>
        <w:rPr>
          <w:lang w:val="fr-FR"/>
        </w:rPr>
        <w:tab/>
      </w:r>
      <w:r w:rsidR="00A20ACD" w:rsidRPr="00AB4DCC">
        <w:rPr>
          <w:lang w:val="fr-FR"/>
        </w:rPr>
        <w:t>1.</w:t>
      </w:r>
      <w:r w:rsidR="00A20ACD" w:rsidRPr="00AB4DCC">
        <w:rPr>
          <w:lang w:val="fr-FR"/>
        </w:rPr>
        <w:tab/>
      </w:r>
      <w:r w:rsidR="00571A25" w:rsidRPr="00AB4DCC">
        <w:rPr>
          <w:bCs/>
          <w:lang w:val="fr-FR"/>
        </w:rPr>
        <w:t>Domaine d’application</w:t>
      </w:r>
      <w:r w:rsidR="00A20ACD" w:rsidRPr="00AB4DCC">
        <w:rPr>
          <w:lang w:val="fr-FR"/>
        </w:rPr>
        <w:tab/>
      </w:r>
      <w:r w:rsidR="00A20ACD" w:rsidRPr="00AB4DCC">
        <w:rPr>
          <w:lang w:val="fr-FR"/>
        </w:rPr>
        <w:tab/>
        <w:t>X</w:t>
      </w:r>
    </w:p>
    <w:p w14:paraId="2F4E7886" w14:textId="67AFC5FD" w:rsidR="00A20ACD" w:rsidRPr="00AB4DCC" w:rsidRDefault="00DE2924" w:rsidP="00DE2924">
      <w:pPr>
        <w:tabs>
          <w:tab w:val="right" w:pos="850"/>
          <w:tab w:val="right" w:leader="dot" w:pos="8787"/>
          <w:tab w:val="right" w:pos="9638"/>
        </w:tabs>
        <w:spacing w:after="120"/>
        <w:ind w:left="1134" w:hanging="1134"/>
        <w:rPr>
          <w:sz w:val="22"/>
          <w:szCs w:val="22"/>
          <w:lang w:val="fr-FR"/>
        </w:rPr>
      </w:pPr>
      <w:r>
        <w:rPr>
          <w:lang w:val="fr-FR"/>
        </w:rPr>
        <w:tab/>
      </w:r>
      <w:r w:rsidR="00A20ACD" w:rsidRPr="00AB4DCC">
        <w:rPr>
          <w:lang w:val="fr-FR"/>
        </w:rPr>
        <w:t>2.</w:t>
      </w:r>
      <w:r w:rsidR="00A20ACD" w:rsidRPr="00AB4DCC">
        <w:rPr>
          <w:lang w:val="fr-FR"/>
        </w:rPr>
        <w:tab/>
      </w:r>
      <w:r w:rsidR="00571A25" w:rsidRPr="00AB4DCC">
        <w:rPr>
          <w:bCs/>
          <w:lang w:val="fr-FR"/>
        </w:rPr>
        <w:t>Définitions</w:t>
      </w:r>
      <w:r w:rsidR="00A20ACD" w:rsidRPr="00AB4DCC">
        <w:rPr>
          <w:lang w:val="fr-FR"/>
        </w:rPr>
        <w:tab/>
      </w:r>
      <w:r w:rsidR="00A20ACD" w:rsidRPr="00AB4DCC">
        <w:rPr>
          <w:lang w:val="fr-FR"/>
        </w:rPr>
        <w:tab/>
        <w:t>X</w:t>
      </w:r>
    </w:p>
    <w:p w14:paraId="7072810C" w14:textId="43B7A454" w:rsidR="00A20ACD" w:rsidRPr="00AB4DCC" w:rsidRDefault="00DE2924" w:rsidP="00DE2924">
      <w:pPr>
        <w:tabs>
          <w:tab w:val="right" w:pos="850"/>
          <w:tab w:val="right" w:leader="dot" w:pos="8787"/>
          <w:tab w:val="right" w:pos="9638"/>
        </w:tabs>
        <w:spacing w:after="120"/>
        <w:ind w:left="1134" w:hanging="1134"/>
        <w:rPr>
          <w:sz w:val="22"/>
          <w:szCs w:val="22"/>
          <w:lang w:val="fr-FR"/>
        </w:rPr>
      </w:pPr>
      <w:r>
        <w:rPr>
          <w:lang w:val="fr-FR"/>
        </w:rPr>
        <w:tab/>
      </w:r>
      <w:r w:rsidR="00A20ACD" w:rsidRPr="00AB4DCC">
        <w:rPr>
          <w:lang w:val="fr-FR"/>
        </w:rPr>
        <w:t>3.</w:t>
      </w:r>
      <w:r w:rsidR="00A20ACD" w:rsidRPr="00AB4DCC">
        <w:rPr>
          <w:lang w:val="fr-FR"/>
        </w:rPr>
        <w:tab/>
      </w:r>
      <w:r w:rsidR="00571A25" w:rsidRPr="00AB4DCC">
        <w:rPr>
          <w:bCs/>
          <w:lang w:val="fr-FR"/>
        </w:rPr>
        <w:t>Demande d’homologation</w:t>
      </w:r>
      <w:r w:rsidR="00A20ACD" w:rsidRPr="00AB4DCC">
        <w:rPr>
          <w:lang w:val="fr-FR"/>
        </w:rPr>
        <w:tab/>
      </w:r>
      <w:r w:rsidR="00A20ACD" w:rsidRPr="00AB4DCC">
        <w:rPr>
          <w:lang w:val="fr-FR"/>
        </w:rPr>
        <w:tab/>
        <w:t>X</w:t>
      </w:r>
    </w:p>
    <w:p w14:paraId="73CD976D" w14:textId="6705E9C7" w:rsidR="00A20ACD" w:rsidRPr="00AB4DCC" w:rsidRDefault="00DE2924" w:rsidP="00DE2924">
      <w:pPr>
        <w:tabs>
          <w:tab w:val="right" w:pos="850"/>
          <w:tab w:val="right" w:leader="dot" w:pos="8787"/>
          <w:tab w:val="right" w:pos="9638"/>
        </w:tabs>
        <w:spacing w:after="120"/>
        <w:ind w:left="1134" w:hanging="1134"/>
        <w:rPr>
          <w:sz w:val="22"/>
          <w:szCs w:val="22"/>
          <w:lang w:val="fr-FR"/>
        </w:rPr>
      </w:pPr>
      <w:r>
        <w:rPr>
          <w:lang w:val="fr-FR"/>
        </w:rPr>
        <w:tab/>
      </w:r>
      <w:r w:rsidR="00A20ACD" w:rsidRPr="00AB4DCC">
        <w:rPr>
          <w:lang w:val="fr-FR"/>
        </w:rPr>
        <w:t>4.</w:t>
      </w:r>
      <w:r w:rsidR="00A20ACD" w:rsidRPr="00AB4DCC">
        <w:rPr>
          <w:lang w:val="fr-FR"/>
        </w:rPr>
        <w:tab/>
      </w:r>
      <w:r w:rsidR="00571A25" w:rsidRPr="00AB4DCC">
        <w:rPr>
          <w:bCs/>
          <w:lang w:val="fr-FR"/>
        </w:rPr>
        <w:t>Homologation</w:t>
      </w:r>
      <w:r w:rsidR="00A20ACD" w:rsidRPr="00AB4DCC">
        <w:rPr>
          <w:lang w:val="fr-FR"/>
        </w:rPr>
        <w:tab/>
      </w:r>
      <w:r w:rsidR="00A20ACD" w:rsidRPr="00AB4DCC">
        <w:rPr>
          <w:lang w:val="fr-FR"/>
        </w:rPr>
        <w:tab/>
        <w:t>X</w:t>
      </w:r>
    </w:p>
    <w:p w14:paraId="31372A5B" w14:textId="13ACD952" w:rsidR="00A20ACD" w:rsidRPr="00AB4DCC" w:rsidRDefault="00DE2924" w:rsidP="00DE2924">
      <w:pPr>
        <w:tabs>
          <w:tab w:val="right" w:pos="850"/>
          <w:tab w:val="right" w:leader="dot" w:pos="8787"/>
          <w:tab w:val="right" w:pos="9638"/>
        </w:tabs>
        <w:spacing w:after="120"/>
        <w:ind w:left="1134" w:hanging="1134"/>
        <w:rPr>
          <w:sz w:val="22"/>
          <w:szCs w:val="22"/>
          <w:lang w:val="fr-FR"/>
        </w:rPr>
      </w:pPr>
      <w:r>
        <w:rPr>
          <w:lang w:val="fr-FR"/>
        </w:rPr>
        <w:tab/>
      </w:r>
      <w:r w:rsidR="00A20ACD" w:rsidRPr="00AB4DCC">
        <w:rPr>
          <w:lang w:val="fr-FR"/>
        </w:rPr>
        <w:t>5.</w:t>
      </w:r>
      <w:r w:rsidR="00A20ACD" w:rsidRPr="00AB4DCC">
        <w:rPr>
          <w:lang w:val="fr-FR"/>
        </w:rPr>
        <w:tab/>
      </w:r>
      <w:r w:rsidR="00571A25" w:rsidRPr="00AB4DCC">
        <w:rPr>
          <w:bCs/>
          <w:lang w:val="fr-FR"/>
        </w:rPr>
        <w:t>Spécifications</w:t>
      </w:r>
      <w:r w:rsidR="00A20ACD" w:rsidRPr="00AB4DCC">
        <w:rPr>
          <w:lang w:val="fr-FR"/>
        </w:rPr>
        <w:tab/>
      </w:r>
      <w:r w:rsidR="00A20ACD" w:rsidRPr="00AB4DCC">
        <w:rPr>
          <w:lang w:val="fr-FR"/>
        </w:rPr>
        <w:tab/>
        <w:t>X</w:t>
      </w:r>
    </w:p>
    <w:p w14:paraId="2C60C558" w14:textId="6CADDCE4" w:rsidR="00A20ACD" w:rsidRPr="00AB4DCC" w:rsidRDefault="00DE2924" w:rsidP="00DE2924">
      <w:pPr>
        <w:tabs>
          <w:tab w:val="right" w:pos="850"/>
          <w:tab w:val="right" w:leader="dot" w:pos="8787"/>
          <w:tab w:val="right" w:pos="9638"/>
        </w:tabs>
        <w:spacing w:after="120"/>
        <w:ind w:left="1134" w:hanging="1134"/>
        <w:rPr>
          <w:sz w:val="22"/>
          <w:szCs w:val="22"/>
          <w:lang w:val="fr-FR"/>
        </w:rPr>
      </w:pPr>
      <w:r>
        <w:rPr>
          <w:lang w:val="fr-FR"/>
        </w:rPr>
        <w:tab/>
      </w:r>
      <w:r w:rsidR="00A20ACD" w:rsidRPr="00AB4DCC">
        <w:rPr>
          <w:lang w:val="fr-FR"/>
        </w:rPr>
        <w:t>6.</w:t>
      </w:r>
      <w:r w:rsidR="00A20ACD" w:rsidRPr="00AB4DCC">
        <w:rPr>
          <w:lang w:val="fr-FR"/>
        </w:rPr>
        <w:tab/>
      </w:r>
      <w:r w:rsidR="00571A25" w:rsidRPr="00AB4DCC">
        <w:rPr>
          <w:bCs/>
          <w:lang w:val="fr-FR"/>
        </w:rPr>
        <w:t>Procédure d’essai</w:t>
      </w:r>
      <w:r w:rsidR="00A20ACD" w:rsidRPr="00AB4DCC">
        <w:rPr>
          <w:lang w:val="fr-FR"/>
        </w:rPr>
        <w:tab/>
      </w:r>
      <w:r w:rsidR="00A20ACD" w:rsidRPr="00AB4DCC">
        <w:rPr>
          <w:lang w:val="fr-FR"/>
        </w:rPr>
        <w:tab/>
        <w:t>X</w:t>
      </w:r>
    </w:p>
    <w:p w14:paraId="177F841B" w14:textId="3870BC3A" w:rsidR="00A20ACD" w:rsidRPr="00AB4DCC" w:rsidRDefault="00DE2924" w:rsidP="00DE2924">
      <w:pPr>
        <w:tabs>
          <w:tab w:val="right" w:pos="850"/>
          <w:tab w:val="right" w:leader="dot" w:pos="8787"/>
          <w:tab w:val="right" w:pos="9638"/>
        </w:tabs>
        <w:spacing w:after="120"/>
        <w:ind w:left="1134" w:hanging="1134"/>
        <w:rPr>
          <w:sz w:val="22"/>
          <w:szCs w:val="22"/>
          <w:lang w:val="fr-FR"/>
        </w:rPr>
      </w:pPr>
      <w:r>
        <w:rPr>
          <w:lang w:val="fr-FR"/>
        </w:rPr>
        <w:tab/>
      </w:r>
      <w:r w:rsidR="00A20ACD" w:rsidRPr="00AB4DCC">
        <w:rPr>
          <w:lang w:val="fr-FR"/>
        </w:rPr>
        <w:t>7.</w:t>
      </w:r>
      <w:r w:rsidR="00A20ACD" w:rsidRPr="00AB4DCC">
        <w:rPr>
          <w:lang w:val="fr-FR"/>
        </w:rPr>
        <w:tab/>
      </w:r>
      <w:r w:rsidR="00571A25" w:rsidRPr="00AB4DCC">
        <w:rPr>
          <w:bCs/>
          <w:lang w:val="fr-FR"/>
        </w:rPr>
        <w:t>Modification du type de véhicule et extension de</w:t>
      </w:r>
      <w:r w:rsidR="00571A25">
        <w:rPr>
          <w:bCs/>
          <w:lang w:val="fr-FR"/>
        </w:rPr>
        <w:t> </w:t>
      </w:r>
      <w:r w:rsidR="00571A25" w:rsidRPr="00AB4DCC">
        <w:rPr>
          <w:bCs/>
          <w:lang w:val="fr-FR"/>
        </w:rPr>
        <w:t>l’homologation</w:t>
      </w:r>
      <w:r w:rsidR="00A20ACD" w:rsidRPr="00AB4DCC">
        <w:rPr>
          <w:lang w:val="fr-FR"/>
        </w:rPr>
        <w:tab/>
      </w:r>
      <w:r w:rsidR="00A20ACD" w:rsidRPr="00AB4DCC">
        <w:rPr>
          <w:lang w:val="fr-FR"/>
        </w:rPr>
        <w:tab/>
        <w:t>X</w:t>
      </w:r>
    </w:p>
    <w:p w14:paraId="11FBD00F" w14:textId="0C12BC2B" w:rsidR="00A20ACD" w:rsidRPr="00AB4DCC" w:rsidRDefault="00DE2924" w:rsidP="00DE2924">
      <w:pPr>
        <w:tabs>
          <w:tab w:val="right" w:pos="850"/>
          <w:tab w:val="right" w:leader="dot" w:pos="8787"/>
          <w:tab w:val="right" w:pos="9638"/>
        </w:tabs>
        <w:spacing w:after="120"/>
        <w:ind w:left="1134" w:hanging="1134"/>
        <w:rPr>
          <w:sz w:val="22"/>
          <w:szCs w:val="22"/>
          <w:lang w:val="fr-FR"/>
        </w:rPr>
      </w:pPr>
      <w:r>
        <w:rPr>
          <w:lang w:val="fr-FR"/>
        </w:rPr>
        <w:tab/>
      </w:r>
      <w:r w:rsidR="00A20ACD" w:rsidRPr="00AB4DCC">
        <w:rPr>
          <w:lang w:val="fr-FR"/>
        </w:rPr>
        <w:t>8.</w:t>
      </w:r>
      <w:r w:rsidR="00A20ACD" w:rsidRPr="00AB4DCC">
        <w:rPr>
          <w:lang w:val="fr-FR"/>
        </w:rPr>
        <w:tab/>
      </w:r>
      <w:r w:rsidR="00571A25" w:rsidRPr="00AB4DCC">
        <w:rPr>
          <w:bCs/>
          <w:lang w:val="fr-FR"/>
        </w:rPr>
        <w:t>Conformité de la production</w:t>
      </w:r>
      <w:r w:rsidR="00A20ACD" w:rsidRPr="00AB4DCC">
        <w:rPr>
          <w:lang w:val="fr-FR"/>
        </w:rPr>
        <w:tab/>
      </w:r>
      <w:r w:rsidR="00A20ACD" w:rsidRPr="00AB4DCC">
        <w:rPr>
          <w:lang w:val="fr-FR"/>
        </w:rPr>
        <w:tab/>
        <w:t>X</w:t>
      </w:r>
    </w:p>
    <w:p w14:paraId="04699789" w14:textId="713E7610" w:rsidR="00A20ACD" w:rsidRPr="00AB4DCC" w:rsidRDefault="00DE2924" w:rsidP="00DE2924">
      <w:pPr>
        <w:tabs>
          <w:tab w:val="right" w:pos="850"/>
          <w:tab w:val="right" w:leader="dot" w:pos="8787"/>
          <w:tab w:val="right" w:pos="9638"/>
        </w:tabs>
        <w:spacing w:after="120"/>
        <w:ind w:left="1134" w:hanging="1134"/>
        <w:rPr>
          <w:sz w:val="22"/>
          <w:szCs w:val="22"/>
          <w:lang w:val="fr-FR"/>
        </w:rPr>
      </w:pPr>
      <w:r>
        <w:rPr>
          <w:lang w:val="fr-FR"/>
        </w:rPr>
        <w:tab/>
      </w:r>
      <w:r w:rsidR="00A20ACD" w:rsidRPr="00AB4DCC">
        <w:rPr>
          <w:lang w:val="fr-FR"/>
        </w:rPr>
        <w:t>9.</w:t>
      </w:r>
      <w:r w:rsidR="00A20ACD" w:rsidRPr="00AB4DCC">
        <w:rPr>
          <w:lang w:val="fr-FR"/>
        </w:rPr>
        <w:tab/>
      </w:r>
      <w:r w:rsidR="00571A25" w:rsidRPr="00AB4DCC">
        <w:rPr>
          <w:bCs/>
          <w:lang w:val="fr-FR"/>
        </w:rPr>
        <w:t>Sanctions pour non-conformité de la production</w:t>
      </w:r>
      <w:r w:rsidR="00A20ACD" w:rsidRPr="00AB4DCC">
        <w:rPr>
          <w:lang w:val="fr-FR"/>
        </w:rPr>
        <w:tab/>
      </w:r>
      <w:r w:rsidR="00A20ACD" w:rsidRPr="00AB4DCC">
        <w:rPr>
          <w:lang w:val="fr-FR"/>
        </w:rPr>
        <w:tab/>
        <w:t>X</w:t>
      </w:r>
    </w:p>
    <w:p w14:paraId="61E70C34" w14:textId="42B3644E" w:rsidR="00A20ACD" w:rsidRPr="00AB4DCC" w:rsidRDefault="00DE2924" w:rsidP="00DE2924">
      <w:pPr>
        <w:tabs>
          <w:tab w:val="right" w:pos="850"/>
          <w:tab w:val="right" w:leader="dot" w:pos="8787"/>
          <w:tab w:val="right" w:pos="9638"/>
        </w:tabs>
        <w:spacing w:after="120"/>
        <w:ind w:left="1134" w:hanging="1134"/>
        <w:rPr>
          <w:sz w:val="22"/>
          <w:szCs w:val="22"/>
          <w:lang w:val="fr-FR"/>
        </w:rPr>
      </w:pPr>
      <w:r>
        <w:rPr>
          <w:lang w:val="fr-FR"/>
        </w:rPr>
        <w:tab/>
      </w:r>
      <w:r w:rsidR="00A20ACD" w:rsidRPr="00AB4DCC">
        <w:rPr>
          <w:lang w:val="fr-FR"/>
        </w:rPr>
        <w:t>10.</w:t>
      </w:r>
      <w:r w:rsidR="00A20ACD" w:rsidRPr="00AB4DCC">
        <w:rPr>
          <w:lang w:val="fr-FR"/>
        </w:rPr>
        <w:tab/>
      </w:r>
      <w:r w:rsidR="00571A25" w:rsidRPr="00AB4DCC">
        <w:rPr>
          <w:bCs/>
          <w:lang w:val="fr-FR"/>
        </w:rPr>
        <w:t xml:space="preserve">Noms et adresses des services techniques chargés des essais d’homologation </w:t>
      </w:r>
      <w:r w:rsidR="00571A25">
        <w:rPr>
          <w:bCs/>
          <w:lang w:val="fr-FR"/>
        </w:rPr>
        <w:br/>
      </w:r>
      <w:r w:rsidR="00571A25" w:rsidRPr="00AB4DCC">
        <w:rPr>
          <w:bCs/>
          <w:lang w:val="fr-FR"/>
        </w:rPr>
        <w:t>et des autorités d’homologation de type</w:t>
      </w:r>
      <w:r w:rsidR="00A20ACD" w:rsidRPr="00AB4DCC">
        <w:rPr>
          <w:lang w:val="fr-FR"/>
        </w:rPr>
        <w:tab/>
      </w:r>
      <w:r w:rsidR="00A20ACD" w:rsidRPr="00AB4DCC">
        <w:rPr>
          <w:lang w:val="fr-FR"/>
        </w:rPr>
        <w:tab/>
        <w:t>X</w:t>
      </w:r>
    </w:p>
    <w:p w14:paraId="77CC11E3" w14:textId="1AB546C2" w:rsidR="00A20ACD" w:rsidRPr="00571A25" w:rsidRDefault="00DE2924" w:rsidP="00571A25">
      <w:pPr>
        <w:tabs>
          <w:tab w:val="right" w:pos="850"/>
          <w:tab w:val="right" w:leader="dot" w:pos="8787"/>
          <w:tab w:val="right" w:pos="9638"/>
        </w:tabs>
        <w:spacing w:after="120"/>
        <w:ind w:left="1134" w:hanging="1134"/>
        <w:rPr>
          <w:sz w:val="22"/>
          <w:szCs w:val="22"/>
          <w:lang w:val="fr-FR"/>
        </w:rPr>
      </w:pPr>
      <w:r w:rsidRPr="00571A25">
        <w:rPr>
          <w:lang w:val="fr-FR"/>
        </w:rPr>
        <w:tab/>
      </w:r>
      <w:r w:rsidR="00A20ACD" w:rsidRPr="00571A25">
        <w:rPr>
          <w:lang w:val="fr-FR"/>
        </w:rPr>
        <w:t>11.</w:t>
      </w:r>
      <w:r w:rsidR="00A20ACD" w:rsidRPr="00571A25">
        <w:rPr>
          <w:lang w:val="fr-FR"/>
        </w:rPr>
        <w:tab/>
      </w:r>
      <w:r w:rsidR="00571A25" w:rsidRPr="00571A25">
        <w:rPr>
          <w:lang w:val="fr-FR"/>
        </w:rPr>
        <w:t xml:space="preserve">Noms et adresses des services techniques chargés des essais d’homologation </w:t>
      </w:r>
      <w:r w:rsidR="00571A25" w:rsidRPr="00571A25">
        <w:rPr>
          <w:lang w:val="fr-FR"/>
        </w:rPr>
        <w:br/>
      </w:r>
      <w:r w:rsidR="00571A25" w:rsidRPr="00571A25">
        <w:rPr>
          <w:lang w:val="fr-FR"/>
        </w:rPr>
        <w:t>et des autorités d’homologation de type</w:t>
      </w:r>
      <w:r w:rsidR="00A20ACD" w:rsidRPr="00571A25">
        <w:rPr>
          <w:lang w:val="fr-FR"/>
        </w:rPr>
        <w:tab/>
      </w:r>
      <w:r w:rsidR="00A20ACD" w:rsidRPr="00571A25">
        <w:rPr>
          <w:lang w:val="fr-FR"/>
        </w:rPr>
        <w:tab/>
        <w:t>X</w:t>
      </w:r>
    </w:p>
    <w:p w14:paraId="6AD719FD" w14:textId="77777777" w:rsidR="00A20ACD" w:rsidRPr="00AB4DCC" w:rsidRDefault="00A20ACD" w:rsidP="00DE2924">
      <w:pPr>
        <w:tabs>
          <w:tab w:val="right" w:pos="850"/>
        </w:tabs>
        <w:spacing w:after="120"/>
        <w:rPr>
          <w:sz w:val="22"/>
          <w:szCs w:val="22"/>
          <w:lang w:val="fr-FR"/>
        </w:rPr>
      </w:pPr>
      <w:r w:rsidRPr="00DE2924">
        <w:t>Annexes</w:t>
      </w:r>
    </w:p>
    <w:p w14:paraId="590CE7BC" w14:textId="77777777" w:rsidR="00A20ACD" w:rsidRPr="00AB4DCC" w:rsidRDefault="00A20ACD" w:rsidP="00DE2924">
      <w:pPr>
        <w:tabs>
          <w:tab w:val="right" w:pos="850"/>
          <w:tab w:val="right" w:leader="dot" w:pos="8787"/>
          <w:tab w:val="right" w:pos="9638"/>
        </w:tabs>
        <w:spacing w:after="120"/>
        <w:ind w:left="1134" w:hanging="1134"/>
        <w:rPr>
          <w:sz w:val="22"/>
          <w:szCs w:val="22"/>
          <w:lang w:val="fr-FR"/>
        </w:rPr>
      </w:pPr>
      <w:r w:rsidRPr="00AB4DCC">
        <w:rPr>
          <w:lang w:val="fr-FR"/>
        </w:rPr>
        <w:tab/>
        <w:t>1</w:t>
      </w:r>
      <w:r w:rsidRPr="00AB4DCC">
        <w:rPr>
          <w:lang w:val="fr-FR"/>
        </w:rPr>
        <w:tab/>
        <w:t>Communication</w:t>
      </w:r>
      <w:r w:rsidRPr="00AB4DCC">
        <w:rPr>
          <w:lang w:val="fr-FR"/>
        </w:rPr>
        <w:tab/>
      </w:r>
      <w:r w:rsidRPr="00AB4DCC">
        <w:rPr>
          <w:lang w:val="fr-FR"/>
        </w:rPr>
        <w:tab/>
        <w:t>X</w:t>
      </w:r>
    </w:p>
    <w:p w14:paraId="5F22F5A1" w14:textId="63468539" w:rsidR="00A20ACD" w:rsidRPr="00AE25B6" w:rsidRDefault="00A20ACD" w:rsidP="00AE25B6">
      <w:pPr>
        <w:tabs>
          <w:tab w:val="right" w:pos="850"/>
          <w:tab w:val="right" w:leader="dot" w:pos="8787"/>
          <w:tab w:val="right" w:pos="9638"/>
        </w:tabs>
        <w:spacing w:after="120"/>
        <w:ind w:left="1134" w:hanging="1134"/>
        <w:rPr>
          <w:sz w:val="22"/>
          <w:szCs w:val="22"/>
          <w:lang w:val="fr-FR"/>
        </w:rPr>
      </w:pPr>
      <w:r w:rsidRPr="00AE25B6">
        <w:rPr>
          <w:lang w:val="fr-FR"/>
        </w:rPr>
        <w:tab/>
        <w:t>2</w:t>
      </w:r>
      <w:r w:rsidRPr="00AE25B6">
        <w:rPr>
          <w:lang w:val="fr-FR"/>
        </w:rPr>
        <w:tab/>
      </w:r>
      <w:r w:rsidR="00AE25B6" w:rsidRPr="00AE25B6">
        <w:rPr>
          <w:lang w:val="fr-FR"/>
        </w:rPr>
        <w:t>Exemple de marque d’homologation</w:t>
      </w:r>
      <w:r w:rsidRPr="00AE25B6">
        <w:rPr>
          <w:lang w:val="fr-FR"/>
        </w:rPr>
        <w:tab/>
      </w:r>
      <w:r w:rsidRPr="00AE25B6">
        <w:rPr>
          <w:lang w:val="fr-FR"/>
        </w:rPr>
        <w:tab/>
        <w:t>X</w:t>
      </w:r>
    </w:p>
    <w:p w14:paraId="5B3615A0" w14:textId="14848637" w:rsidR="00A20ACD" w:rsidRPr="00AE25B6" w:rsidRDefault="00A20ACD" w:rsidP="00AE25B6">
      <w:pPr>
        <w:tabs>
          <w:tab w:val="right" w:pos="850"/>
          <w:tab w:val="right" w:leader="dot" w:pos="8787"/>
          <w:tab w:val="right" w:pos="9638"/>
        </w:tabs>
        <w:spacing w:after="120"/>
        <w:ind w:left="1134" w:hanging="1134"/>
        <w:rPr>
          <w:sz w:val="22"/>
          <w:szCs w:val="22"/>
          <w:lang w:val="fr-FR"/>
        </w:rPr>
      </w:pPr>
      <w:r w:rsidRPr="00AE25B6">
        <w:rPr>
          <w:lang w:val="fr-FR"/>
        </w:rPr>
        <w:tab/>
        <w:t>3</w:t>
      </w:r>
      <w:r w:rsidRPr="00AE25B6">
        <w:rPr>
          <w:lang w:val="fr-FR"/>
        </w:rPr>
        <w:tab/>
      </w:r>
      <w:r w:rsidR="00AE25B6" w:rsidRPr="00AE25B6">
        <w:rPr>
          <w:lang w:val="fr-FR"/>
        </w:rPr>
        <w:t xml:space="preserve">Prescriptions spéciales applicables aux aspects liés à la sécurité des systèmes </w:t>
      </w:r>
      <w:r w:rsidR="00AE25B6">
        <w:rPr>
          <w:lang w:val="fr-FR"/>
        </w:rPr>
        <w:br/>
      </w:r>
      <w:r w:rsidR="00AE25B6" w:rsidRPr="00AE25B6">
        <w:rPr>
          <w:lang w:val="fr-FR"/>
        </w:rPr>
        <w:t>de commande électronique</w:t>
      </w:r>
      <w:r w:rsidRPr="00AE25B6">
        <w:rPr>
          <w:lang w:val="fr-FR"/>
        </w:rPr>
        <w:tab/>
      </w:r>
      <w:r w:rsidRPr="00AE25B6">
        <w:rPr>
          <w:lang w:val="fr-FR"/>
        </w:rPr>
        <w:tab/>
        <w:t>X</w:t>
      </w:r>
    </w:p>
    <w:p w14:paraId="27FB1574" w14:textId="77777777" w:rsidR="00A20ACD" w:rsidRPr="00AB4DCC" w:rsidRDefault="00A20ACD" w:rsidP="00DE2924">
      <w:pPr>
        <w:pStyle w:val="SingleTxtG"/>
        <w:rPr>
          <w:lang w:val="fr-FR"/>
        </w:rPr>
      </w:pPr>
      <w:r w:rsidRPr="00AB4DCC">
        <w:rPr>
          <w:lang w:val="fr-FR"/>
        </w:rPr>
        <w:br w:type="page"/>
      </w:r>
    </w:p>
    <w:p w14:paraId="6672BB69" w14:textId="77777777" w:rsidR="00A20ACD" w:rsidRPr="00AB4DCC" w:rsidRDefault="00A20ACD" w:rsidP="00571A25">
      <w:pPr>
        <w:pStyle w:val="HChG"/>
        <w:tabs>
          <w:tab w:val="clear" w:pos="851"/>
        </w:tabs>
        <w:ind w:left="2268"/>
        <w:rPr>
          <w:lang w:val="fr-FR"/>
        </w:rPr>
      </w:pPr>
      <w:r w:rsidRPr="00AB4DCC">
        <w:rPr>
          <w:bCs/>
          <w:lang w:val="fr-FR"/>
        </w:rPr>
        <w:t>1.</w:t>
      </w:r>
      <w:r w:rsidRPr="00AB4DCC">
        <w:rPr>
          <w:lang w:val="fr-FR"/>
        </w:rPr>
        <w:tab/>
      </w:r>
      <w:r w:rsidRPr="00AB4DCC">
        <w:rPr>
          <w:bCs/>
          <w:lang w:val="fr-FR"/>
        </w:rPr>
        <w:t>Domaine d’application</w:t>
      </w:r>
    </w:p>
    <w:p w14:paraId="5A8C94CB" w14:textId="77777777" w:rsidR="00A20ACD" w:rsidRPr="00AB4DCC" w:rsidRDefault="00A20ACD" w:rsidP="00DE2924">
      <w:pPr>
        <w:pStyle w:val="SingleTxtG"/>
        <w:ind w:left="2268" w:hanging="1134"/>
        <w:rPr>
          <w:bCs/>
          <w:color w:val="000000" w:themeColor="text1"/>
          <w:lang w:val="fr-FR"/>
        </w:rPr>
      </w:pPr>
      <w:r w:rsidRPr="00AB4DCC">
        <w:rPr>
          <w:lang w:val="fr-FR"/>
        </w:rPr>
        <w:t>1.1</w:t>
      </w:r>
      <w:r w:rsidRPr="00AB4DCC">
        <w:rPr>
          <w:lang w:val="fr-FR"/>
        </w:rPr>
        <w:tab/>
        <w:t>Le présent Règlement ONU s’applique à l’homologation de type des véhicules de la catégorie M</w:t>
      </w:r>
      <w:r w:rsidRPr="00AB4DCC">
        <w:rPr>
          <w:vertAlign w:val="subscript"/>
          <w:lang w:val="fr-FR"/>
        </w:rPr>
        <w:t>1</w:t>
      </w:r>
      <w:r w:rsidRPr="00DE2924">
        <w:rPr>
          <w:rStyle w:val="Appelnotedebasdep"/>
        </w:rPr>
        <w:footnoteReference w:id="3"/>
      </w:r>
      <w:r w:rsidRPr="00AB4DCC">
        <w:rPr>
          <w:lang w:val="fr-FR"/>
        </w:rPr>
        <w:t xml:space="preserve"> équipés d’une boîte de vitesses automatique en ce qui concerne leur système de contrôle de l’accélération en cas d’erreur de pédale (ACPE).</w:t>
      </w:r>
    </w:p>
    <w:p w14:paraId="5E350DEE" w14:textId="77777777" w:rsidR="00A20ACD" w:rsidRPr="00AB4DCC" w:rsidRDefault="00A20ACD" w:rsidP="00DE2924">
      <w:pPr>
        <w:pStyle w:val="SingleTxtG"/>
        <w:ind w:left="2268" w:hanging="1134"/>
        <w:rPr>
          <w:bCs/>
          <w:lang w:val="fr-FR"/>
        </w:rPr>
      </w:pPr>
      <w:r w:rsidRPr="00AB4DCC">
        <w:rPr>
          <w:lang w:val="fr-FR"/>
        </w:rPr>
        <w:t>1.2</w:t>
      </w:r>
      <w:r w:rsidRPr="00AB4DCC">
        <w:rPr>
          <w:lang w:val="fr-FR"/>
        </w:rPr>
        <w:tab/>
        <w:t>À la demande du constructeur, des véhicules d’autres catégories peuvent être homologués en application du présent Règlement.</w:t>
      </w:r>
    </w:p>
    <w:p w14:paraId="346449AA" w14:textId="77777777" w:rsidR="00A20ACD" w:rsidRPr="00AB4DCC" w:rsidRDefault="00A20ACD" w:rsidP="00DE2924">
      <w:pPr>
        <w:pStyle w:val="SingleTxtG"/>
        <w:ind w:left="2268" w:hanging="1134"/>
        <w:rPr>
          <w:bCs/>
          <w:lang w:val="fr-FR"/>
        </w:rPr>
      </w:pPr>
      <w:r w:rsidRPr="00AB4DCC">
        <w:rPr>
          <w:lang w:val="fr-FR"/>
        </w:rPr>
        <w:t>1.3</w:t>
      </w:r>
      <w:r w:rsidRPr="00AB4DCC">
        <w:rPr>
          <w:lang w:val="fr-FR"/>
        </w:rPr>
        <w:tab/>
        <w:t>Les véhicules pour lesquels l’installation de dispositifs de détection frontale ou arrière serait incompatible avec leur utilisation sur route peuvent être dispensés des prescriptions pertinentes (marche avant ou arrière) du présent Règlement, sous réserve de la décision de l’autorité d’homologation de type.</w:t>
      </w:r>
    </w:p>
    <w:p w14:paraId="066ACF4F" w14:textId="77777777" w:rsidR="00A20ACD" w:rsidRPr="00AB4DCC" w:rsidRDefault="00A20ACD" w:rsidP="00571A25">
      <w:pPr>
        <w:pStyle w:val="HChG"/>
        <w:tabs>
          <w:tab w:val="clear" w:pos="851"/>
        </w:tabs>
        <w:spacing w:before="0" w:after="120" w:line="240" w:lineRule="auto"/>
        <w:ind w:left="2268"/>
        <w:rPr>
          <w:lang w:val="fr-FR"/>
        </w:rPr>
      </w:pPr>
      <w:r w:rsidRPr="00AB4DCC">
        <w:rPr>
          <w:bCs/>
          <w:lang w:val="fr-FR"/>
        </w:rPr>
        <w:t>2.</w:t>
      </w:r>
      <w:r w:rsidRPr="00AB4DCC">
        <w:rPr>
          <w:lang w:val="fr-FR"/>
        </w:rPr>
        <w:tab/>
      </w:r>
      <w:r w:rsidRPr="00AB4DCC">
        <w:rPr>
          <w:bCs/>
          <w:lang w:val="fr-FR"/>
        </w:rPr>
        <w:t>Définitions</w:t>
      </w:r>
    </w:p>
    <w:p w14:paraId="4A9FC74A" w14:textId="7AFF1337" w:rsidR="00A20ACD" w:rsidRPr="00AB4DCC" w:rsidRDefault="00A20ACD" w:rsidP="00DE2924">
      <w:pPr>
        <w:pStyle w:val="SingleTxtG"/>
        <w:ind w:left="2268"/>
        <w:rPr>
          <w:bCs/>
          <w:lang w:val="fr-FR"/>
        </w:rPr>
      </w:pPr>
      <w:r w:rsidRPr="00AB4DCC">
        <w:rPr>
          <w:lang w:val="fr-FR"/>
        </w:rPr>
        <w:t>Aux fins du présent Règlement, on entend par</w:t>
      </w:r>
      <w:r w:rsidR="00AB6B32">
        <w:rPr>
          <w:lang w:val="fr-FR"/>
        </w:rPr>
        <w:t> :</w:t>
      </w:r>
    </w:p>
    <w:p w14:paraId="6EAD478F" w14:textId="395A4FA5" w:rsidR="00A20ACD" w:rsidRPr="00AB4DCC" w:rsidRDefault="00A20ACD" w:rsidP="00DE2924">
      <w:pPr>
        <w:pStyle w:val="SingleTxtG"/>
        <w:ind w:left="2268" w:hanging="1134"/>
        <w:rPr>
          <w:bCs/>
          <w:lang w:val="fr-FR"/>
        </w:rPr>
      </w:pPr>
      <w:r w:rsidRPr="00AB4DCC">
        <w:rPr>
          <w:lang w:val="fr-FR"/>
        </w:rPr>
        <w:t>2.1</w:t>
      </w:r>
      <w:r w:rsidRPr="00AB4DCC">
        <w:rPr>
          <w:lang w:val="fr-FR"/>
        </w:rPr>
        <w:tab/>
      </w:r>
      <w:r w:rsidR="00401B26" w:rsidRPr="00AB4DCC">
        <w:rPr>
          <w:lang w:val="fr-FR"/>
        </w:rPr>
        <w:t>«</w:t>
      </w:r>
      <w:r w:rsidR="00401B26">
        <w:rPr>
          <w:lang w:val="fr-FR"/>
        </w:rPr>
        <w:t> </w:t>
      </w:r>
      <w:r w:rsidRPr="00AB4DCC">
        <w:rPr>
          <w:i/>
          <w:iCs/>
          <w:lang w:val="fr-FR"/>
        </w:rPr>
        <w:t>Système de contrôle de l’accélération en cas d’erreur de pédale</w:t>
      </w:r>
      <w:r w:rsidR="005D36EF">
        <w:rPr>
          <w:i/>
          <w:iCs/>
          <w:lang w:val="fr-FR"/>
        </w:rPr>
        <w:t xml:space="preserve"> </w:t>
      </w:r>
      <w:r w:rsidRPr="00AB4DCC">
        <w:rPr>
          <w:i/>
          <w:iCs/>
          <w:lang w:val="fr-FR"/>
        </w:rPr>
        <w:t>(système ACPE)</w:t>
      </w:r>
      <w:r w:rsidR="00401B26">
        <w:rPr>
          <w:lang w:val="fr-FR"/>
        </w:rPr>
        <w:t> </w:t>
      </w:r>
      <w:r w:rsidR="00401B26" w:rsidRPr="00AB4DCC">
        <w:rPr>
          <w:lang w:val="fr-FR"/>
        </w:rPr>
        <w:t>»</w:t>
      </w:r>
      <w:r w:rsidRPr="00AB4DCC">
        <w:rPr>
          <w:lang w:val="fr-FR"/>
        </w:rPr>
        <w:t>, un système permettant de détecter une mauvaise utilisation de la commande d’accélérateur par le conducteur et de contrôler l’accélération involontaire</w:t>
      </w:r>
      <w:r w:rsidR="00AB6B32">
        <w:rPr>
          <w:lang w:val="fr-FR"/>
        </w:rPr>
        <w:t> ;</w:t>
      </w:r>
    </w:p>
    <w:p w14:paraId="089F2573" w14:textId="3007D16A" w:rsidR="00A20ACD" w:rsidRPr="00AB4DCC" w:rsidRDefault="00A20ACD" w:rsidP="00DE2924">
      <w:pPr>
        <w:pStyle w:val="SingleTxtG"/>
        <w:ind w:left="2268" w:hanging="1134"/>
        <w:rPr>
          <w:bCs/>
          <w:lang w:val="fr-FR"/>
        </w:rPr>
      </w:pPr>
      <w:r w:rsidRPr="00AB4DCC">
        <w:rPr>
          <w:lang w:val="fr-FR"/>
        </w:rPr>
        <w:t>2.2</w:t>
      </w:r>
      <w:r w:rsidRPr="00AB4DCC">
        <w:rPr>
          <w:lang w:val="fr-FR"/>
        </w:rPr>
        <w:tab/>
      </w:r>
      <w:r w:rsidR="00401B26" w:rsidRPr="00AB4DCC">
        <w:rPr>
          <w:lang w:val="fr-FR"/>
        </w:rPr>
        <w:t>«</w:t>
      </w:r>
      <w:r w:rsidR="00401B26">
        <w:rPr>
          <w:lang w:val="fr-FR"/>
        </w:rPr>
        <w:t> </w:t>
      </w:r>
      <w:r w:rsidRPr="00AB4DCC">
        <w:rPr>
          <w:i/>
          <w:iCs/>
          <w:lang w:val="fr-FR"/>
        </w:rPr>
        <w:t>Type de véhicule en ce qui concerne son système ACPE</w:t>
      </w:r>
      <w:r w:rsidR="00401B26">
        <w:rPr>
          <w:lang w:val="fr-FR"/>
        </w:rPr>
        <w:t> </w:t>
      </w:r>
      <w:r w:rsidR="00401B26" w:rsidRPr="00AB4DCC">
        <w:rPr>
          <w:lang w:val="fr-FR"/>
        </w:rPr>
        <w:t>»</w:t>
      </w:r>
      <w:r w:rsidRPr="00AB4DCC">
        <w:rPr>
          <w:lang w:val="fr-FR"/>
        </w:rPr>
        <w:t>, une catégorie de véhicules qui ne diffèrent pas quant à des aspects essentiels tels que</w:t>
      </w:r>
      <w:r w:rsidR="00AB6B32">
        <w:rPr>
          <w:lang w:val="fr-FR"/>
        </w:rPr>
        <w:t> :</w:t>
      </w:r>
    </w:p>
    <w:p w14:paraId="5C6C60DA" w14:textId="21064CF4" w:rsidR="00A20ACD" w:rsidRPr="00AB4DCC" w:rsidRDefault="00A20ACD" w:rsidP="00DE2924">
      <w:pPr>
        <w:pStyle w:val="SingleTxtG"/>
        <w:ind w:left="2835" w:hanging="567"/>
        <w:rPr>
          <w:bCs/>
          <w:lang w:val="fr-FR"/>
        </w:rPr>
      </w:pPr>
      <w:r w:rsidRPr="00AB4DCC">
        <w:rPr>
          <w:lang w:val="fr-FR"/>
        </w:rPr>
        <w:t>a)</w:t>
      </w:r>
      <w:r w:rsidRPr="00AB4DCC">
        <w:rPr>
          <w:lang w:val="fr-FR"/>
        </w:rPr>
        <w:tab/>
        <w:t>Les caractéristiques du véhicule qui influent sensiblement sur le fonctionnement du système ACPE</w:t>
      </w:r>
      <w:r w:rsidR="00AB6B32">
        <w:rPr>
          <w:lang w:val="fr-FR"/>
        </w:rPr>
        <w:t> ;</w:t>
      </w:r>
    </w:p>
    <w:p w14:paraId="44CC6E40" w14:textId="547871F0" w:rsidR="00A20ACD" w:rsidRPr="00AB4DCC" w:rsidRDefault="00A20ACD" w:rsidP="00571A25">
      <w:pPr>
        <w:pStyle w:val="SingleTxtG"/>
        <w:ind w:left="2835" w:hanging="567"/>
        <w:rPr>
          <w:bCs/>
          <w:lang w:val="fr-FR"/>
        </w:rPr>
      </w:pPr>
      <w:r w:rsidRPr="00AB4DCC">
        <w:rPr>
          <w:lang w:val="fr-FR"/>
        </w:rPr>
        <w:t>b)</w:t>
      </w:r>
      <w:r w:rsidRPr="00AB4DCC">
        <w:rPr>
          <w:lang w:val="fr-FR"/>
        </w:rPr>
        <w:tab/>
        <w:t>Le type et le modèle du système ACPE</w:t>
      </w:r>
      <w:r w:rsidR="00AB6B32">
        <w:rPr>
          <w:lang w:val="fr-FR"/>
        </w:rPr>
        <w:t> ;</w:t>
      </w:r>
    </w:p>
    <w:p w14:paraId="71AE6C08" w14:textId="1E3F626B" w:rsidR="00A20ACD" w:rsidRPr="00AB4DCC" w:rsidRDefault="00A20ACD" w:rsidP="00DE2924">
      <w:pPr>
        <w:pStyle w:val="SingleTxtG"/>
        <w:ind w:left="2268" w:hanging="1134"/>
        <w:rPr>
          <w:bCs/>
          <w:lang w:val="fr-FR"/>
        </w:rPr>
      </w:pPr>
      <w:r w:rsidRPr="00AB4DCC">
        <w:rPr>
          <w:lang w:val="fr-FR"/>
        </w:rPr>
        <w:t>2.3</w:t>
      </w:r>
      <w:r w:rsidRPr="00AB4DCC">
        <w:rPr>
          <w:lang w:val="fr-FR"/>
        </w:rPr>
        <w:tab/>
      </w:r>
      <w:r w:rsidR="00401B26" w:rsidRPr="00AB4DCC">
        <w:rPr>
          <w:lang w:val="fr-FR"/>
        </w:rPr>
        <w:t>«</w:t>
      </w:r>
      <w:r w:rsidR="00401B26">
        <w:rPr>
          <w:lang w:val="fr-FR"/>
        </w:rPr>
        <w:t> </w:t>
      </w:r>
      <w:r w:rsidRPr="00AB4DCC">
        <w:rPr>
          <w:i/>
          <w:iCs/>
          <w:lang w:val="fr-FR"/>
        </w:rPr>
        <w:t>Espace d’affichage commun</w:t>
      </w:r>
      <w:r w:rsidR="00401B26">
        <w:rPr>
          <w:lang w:val="fr-FR"/>
        </w:rPr>
        <w:t> </w:t>
      </w:r>
      <w:r w:rsidR="00401B26" w:rsidRPr="00AB4DCC">
        <w:rPr>
          <w:lang w:val="fr-FR"/>
        </w:rPr>
        <w:t>»</w:t>
      </w:r>
      <w:r w:rsidRPr="00AB4DCC">
        <w:rPr>
          <w:lang w:val="fr-FR"/>
        </w:rPr>
        <w:t>, une zone où deux fonctions d’information ou plus (par exemple, un symbole) peuvent être affichées mais pas simultanément</w:t>
      </w:r>
      <w:r w:rsidR="00AB6B32">
        <w:rPr>
          <w:lang w:val="fr-FR"/>
        </w:rPr>
        <w:t> ;</w:t>
      </w:r>
    </w:p>
    <w:p w14:paraId="4B73667E" w14:textId="6398AE98" w:rsidR="00A20ACD" w:rsidRPr="00AB4DCC" w:rsidRDefault="00A20ACD" w:rsidP="00DE2924">
      <w:pPr>
        <w:pStyle w:val="SingleTxtG"/>
        <w:ind w:left="2268" w:hanging="1134"/>
        <w:rPr>
          <w:lang w:val="fr-FR"/>
        </w:rPr>
      </w:pPr>
      <w:r w:rsidRPr="00AB4DCC">
        <w:rPr>
          <w:lang w:val="fr-FR"/>
        </w:rPr>
        <w:t>2.4</w:t>
      </w:r>
      <w:r w:rsidRPr="00AB4DCC">
        <w:rPr>
          <w:lang w:val="fr-FR"/>
        </w:rPr>
        <w:tab/>
      </w:r>
      <w:r w:rsidR="00401B26" w:rsidRPr="00AB4DCC">
        <w:rPr>
          <w:lang w:val="fr-FR"/>
        </w:rPr>
        <w:t>«</w:t>
      </w:r>
      <w:r w:rsidR="00401B26">
        <w:rPr>
          <w:lang w:val="fr-FR"/>
        </w:rPr>
        <w:t> </w:t>
      </w:r>
      <w:r w:rsidRPr="00AB4DCC">
        <w:rPr>
          <w:i/>
          <w:iCs/>
          <w:lang w:val="fr-FR"/>
        </w:rPr>
        <w:t>Route sèche offrant une bonne adhérence</w:t>
      </w:r>
      <w:r w:rsidR="00401B26">
        <w:rPr>
          <w:lang w:val="fr-FR"/>
        </w:rPr>
        <w:t> </w:t>
      </w:r>
      <w:r w:rsidR="00401B26" w:rsidRPr="00AB4DCC">
        <w:rPr>
          <w:lang w:val="fr-FR"/>
        </w:rPr>
        <w:t>»</w:t>
      </w:r>
      <w:r w:rsidRPr="00AB4DCC">
        <w:rPr>
          <w:lang w:val="fr-FR"/>
        </w:rPr>
        <w:t>, une route ayant un coefficient de freinage maximal nominal (CFM) qui permet</w:t>
      </w:r>
      <w:r w:rsidR="00AB6B32">
        <w:rPr>
          <w:lang w:val="fr-FR"/>
        </w:rPr>
        <w:t> :</w:t>
      </w:r>
    </w:p>
    <w:p w14:paraId="252FC5B8" w14:textId="2BB7F2A2" w:rsidR="00A20ACD" w:rsidRPr="00AB4DCC" w:rsidRDefault="00A20ACD" w:rsidP="00571A25">
      <w:pPr>
        <w:pStyle w:val="SingleTxtG"/>
        <w:ind w:left="2835" w:hanging="567"/>
        <w:rPr>
          <w:bCs/>
          <w:lang w:val="fr-FR"/>
        </w:rPr>
      </w:pPr>
      <w:r w:rsidRPr="00AB4DCC">
        <w:rPr>
          <w:lang w:val="fr-FR"/>
        </w:rPr>
        <w:t>a)</w:t>
      </w:r>
      <w:r w:rsidRPr="00AB4DCC">
        <w:rPr>
          <w:lang w:val="fr-FR"/>
        </w:rPr>
        <w:tab/>
        <w:t>Une décélération moyenne en régime d’au moins 9 m/s</w:t>
      </w:r>
      <w:r w:rsidRPr="00AB4DCC">
        <w:rPr>
          <w:vertAlign w:val="superscript"/>
          <w:lang w:val="fr-FR"/>
        </w:rPr>
        <w:t>2</w:t>
      </w:r>
      <w:r w:rsidR="00AB6B32">
        <w:rPr>
          <w:lang w:val="fr-FR"/>
        </w:rPr>
        <w:t> ;</w:t>
      </w:r>
      <w:r w:rsidRPr="00AB4DCC">
        <w:rPr>
          <w:lang w:val="fr-FR"/>
        </w:rPr>
        <w:t xml:space="preserve"> ou</w:t>
      </w:r>
    </w:p>
    <w:p w14:paraId="34C0E46F" w14:textId="4AE400A6" w:rsidR="00A20ACD" w:rsidRPr="00AB4DCC" w:rsidRDefault="00A20ACD" w:rsidP="00571A25">
      <w:pPr>
        <w:pStyle w:val="SingleTxtG"/>
        <w:ind w:left="2835" w:hanging="567"/>
        <w:rPr>
          <w:bCs/>
          <w:lang w:val="fr-FR"/>
        </w:rPr>
      </w:pPr>
      <w:r w:rsidRPr="00AB4DCC">
        <w:rPr>
          <w:lang w:val="fr-FR"/>
        </w:rPr>
        <w:t>b)</w:t>
      </w:r>
      <w:r w:rsidRPr="00AB4DCC">
        <w:rPr>
          <w:lang w:val="fr-FR"/>
        </w:rPr>
        <w:tab/>
        <w:t>La décélération maximale nominale du véhicule concerné</w:t>
      </w:r>
      <w:r w:rsidR="00AB6B32">
        <w:rPr>
          <w:lang w:val="fr-FR"/>
        </w:rPr>
        <w:t> ;</w:t>
      </w:r>
    </w:p>
    <w:p w14:paraId="67083FD4" w14:textId="27F9CB4E" w:rsidR="00A20ACD" w:rsidRPr="00AB4DCC" w:rsidRDefault="00A20ACD" w:rsidP="00571A25">
      <w:pPr>
        <w:pStyle w:val="SingleTxtG"/>
        <w:ind w:left="2835" w:hanging="567"/>
        <w:rPr>
          <w:bCs/>
          <w:lang w:val="fr-FR"/>
        </w:rPr>
      </w:pPr>
      <w:r w:rsidRPr="00AB4DCC">
        <w:rPr>
          <w:lang w:val="fr-FR"/>
        </w:rPr>
        <w:t>la plus faible des deux valeurs étant retenue</w:t>
      </w:r>
      <w:r w:rsidR="00AB6B32">
        <w:rPr>
          <w:lang w:val="fr-FR"/>
        </w:rPr>
        <w:t> ;</w:t>
      </w:r>
    </w:p>
    <w:p w14:paraId="4285891F" w14:textId="015F3382" w:rsidR="00A20ACD" w:rsidRPr="00AB4DCC" w:rsidRDefault="00A20ACD" w:rsidP="00DE2924">
      <w:pPr>
        <w:pStyle w:val="SingleTxtG"/>
        <w:ind w:left="2268" w:hanging="1134"/>
        <w:rPr>
          <w:bCs/>
          <w:lang w:val="fr-FR"/>
        </w:rPr>
      </w:pPr>
      <w:r w:rsidRPr="00AB4DCC">
        <w:rPr>
          <w:lang w:val="fr-FR"/>
        </w:rPr>
        <w:t>2.5</w:t>
      </w:r>
      <w:r w:rsidRPr="00AB4DCC">
        <w:rPr>
          <w:lang w:val="fr-FR"/>
        </w:rPr>
        <w:tab/>
      </w:r>
      <w:r w:rsidR="00401B26" w:rsidRPr="00AB4DCC">
        <w:rPr>
          <w:lang w:val="fr-FR"/>
        </w:rPr>
        <w:t>«</w:t>
      </w:r>
      <w:r w:rsidR="00401B26">
        <w:rPr>
          <w:lang w:val="fr-FR"/>
        </w:rPr>
        <w:t> </w:t>
      </w:r>
      <w:r w:rsidRPr="00AB4DCC">
        <w:rPr>
          <w:i/>
          <w:iCs/>
          <w:lang w:val="fr-FR"/>
        </w:rPr>
        <w:t>Coefficient de freinage maximal nominal (CFM)</w:t>
      </w:r>
      <w:r w:rsidR="00401B26">
        <w:rPr>
          <w:lang w:val="fr-FR"/>
        </w:rPr>
        <w:t> </w:t>
      </w:r>
      <w:r w:rsidR="00401B26" w:rsidRPr="00AB4DCC">
        <w:rPr>
          <w:lang w:val="fr-FR"/>
        </w:rPr>
        <w:t>»</w:t>
      </w:r>
      <w:r w:rsidRPr="00AB4DCC">
        <w:rPr>
          <w:lang w:val="fr-FR"/>
        </w:rPr>
        <w:t>, un coefficient de frottement de la surface de la route de</w:t>
      </w:r>
      <w:r w:rsidR="00AB6B32">
        <w:rPr>
          <w:lang w:val="fr-FR"/>
        </w:rPr>
        <w:t> :</w:t>
      </w:r>
    </w:p>
    <w:p w14:paraId="17EA53B0" w14:textId="0E331FE8" w:rsidR="00A20ACD" w:rsidRPr="005D36EF" w:rsidRDefault="00A20ACD" w:rsidP="005D36EF">
      <w:pPr>
        <w:pStyle w:val="SingleTxtG"/>
        <w:ind w:left="2835" w:hanging="567"/>
        <w:rPr>
          <w:bCs/>
          <w:spacing w:val="-1"/>
          <w:lang w:val="fr-FR"/>
        </w:rPr>
      </w:pPr>
      <w:r w:rsidRPr="005D36EF">
        <w:rPr>
          <w:spacing w:val="-1"/>
          <w:lang w:val="fr-FR"/>
        </w:rPr>
        <w:t>a)</w:t>
      </w:r>
      <w:r w:rsidRPr="005D36EF">
        <w:rPr>
          <w:spacing w:val="-1"/>
          <w:lang w:val="fr-FR"/>
        </w:rPr>
        <w:tab/>
        <w:t>0,9 si l’on utilise le pneumatique d’essai de référence normalisé E1136</w:t>
      </w:r>
      <w:r w:rsidR="005D36EF" w:rsidRPr="005D36EF">
        <w:rPr>
          <w:spacing w:val="-1"/>
          <w:lang w:val="fr-FR"/>
        </w:rPr>
        <w:noBreakHyphen/>
      </w:r>
      <w:r w:rsidRPr="005D36EF">
        <w:rPr>
          <w:spacing w:val="-1"/>
          <w:lang w:val="fr-FR"/>
        </w:rPr>
        <w:t>19 de l’</w:t>
      </w:r>
      <w:r w:rsidRPr="005D36EF">
        <w:rPr>
          <w:spacing w:val="-1"/>
          <w:lang w:val="en-GB"/>
        </w:rPr>
        <w:t>American Society for Testing and Materials</w:t>
      </w:r>
      <w:r w:rsidRPr="005D36EF">
        <w:rPr>
          <w:spacing w:val="-1"/>
          <w:lang w:val="fr-FR"/>
        </w:rPr>
        <w:t xml:space="preserve"> (ASTM), conformément à la méthode ASTM</w:t>
      </w:r>
      <w:r w:rsidR="005D36EF" w:rsidRPr="005D36EF">
        <w:rPr>
          <w:spacing w:val="-1"/>
          <w:lang w:val="fr-FR"/>
        </w:rPr>
        <w:t xml:space="preserve"> </w:t>
      </w:r>
      <w:r w:rsidRPr="005D36EF">
        <w:rPr>
          <w:spacing w:val="-1"/>
          <w:lang w:val="fr-FR"/>
        </w:rPr>
        <w:t>E1337-19, à une vitesse de 40 </w:t>
      </w:r>
      <w:proofErr w:type="spellStart"/>
      <w:r w:rsidRPr="005D36EF">
        <w:rPr>
          <w:spacing w:val="-1"/>
          <w:lang w:val="fr-FR"/>
        </w:rPr>
        <w:t>mph</w:t>
      </w:r>
      <w:proofErr w:type="spellEnd"/>
      <w:r w:rsidR="00AB6B32" w:rsidRPr="005D36EF">
        <w:rPr>
          <w:spacing w:val="-1"/>
          <w:lang w:val="fr-FR"/>
        </w:rPr>
        <w:t> ;</w:t>
      </w:r>
    </w:p>
    <w:p w14:paraId="13995038" w14:textId="56ECBDE3" w:rsidR="00A20ACD" w:rsidRPr="00AB4DCC" w:rsidRDefault="00A20ACD" w:rsidP="005D36EF">
      <w:pPr>
        <w:pStyle w:val="SingleTxtG"/>
        <w:keepNext/>
        <w:ind w:left="2835" w:hanging="567"/>
        <w:rPr>
          <w:bCs/>
          <w:lang w:val="fr-FR"/>
        </w:rPr>
      </w:pPr>
      <w:r w:rsidRPr="00AB4DCC">
        <w:rPr>
          <w:lang w:val="fr-FR"/>
        </w:rPr>
        <w:t>b)</w:t>
      </w:r>
      <w:r w:rsidRPr="00AB4DCC">
        <w:rPr>
          <w:lang w:val="fr-FR"/>
        </w:rPr>
        <w:tab/>
        <w:t>1,017 si l’on utilise</w:t>
      </w:r>
      <w:r w:rsidR="00AB6B32">
        <w:rPr>
          <w:lang w:val="fr-FR"/>
        </w:rPr>
        <w:t> :</w:t>
      </w:r>
    </w:p>
    <w:p w14:paraId="7BA7408B" w14:textId="2FC938E2" w:rsidR="00A20ACD" w:rsidRPr="00AB4DCC" w:rsidRDefault="00A20ACD" w:rsidP="00DE2924">
      <w:pPr>
        <w:pStyle w:val="SingleTxtG"/>
        <w:ind w:left="3402" w:hanging="567"/>
        <w:rPr>
          <w:bCs/>
          <w:lang w:val="fr-FR"/>
        </w:rPr>
      </w:pPr>
      <w:r w:rsidRPr="00AB4DCC">
        <w:rPr>
          <w:lang w:val="fr-FR"/>
        </w:rPr>
        <w:t>i)</w:t>
      </w:r>
      <w:r w:rsidRPr="00AB4DCC">
        <w:rPr>
          <w:lang w:val="fr-FR"/>
        </w:rPr>
        <w:tab/>
        <w:t xml:space="preserve">Le pneumatique d’essai de référence normalisé F2493-20 de l’ASTM, conformément à la méthode ASTM E1337-19, à une vitesse de 40 </w:t>
      </w:r>
      <w:proofErr w:type="spellStart"/>
      <w:r w:rsidRPr="00AB4DCC">
        <w:rPr>
          <w:lang w:val="fr-FR"/>
        </w:rPr>
        <w:t>mph</w:t>
      </w:r>
      <w:proofErr w:type="spellEnd"/>
      <w:r w:rsidR="00AB6B32">
        <w:rPr>
          <w:lang w:val="fr-FR"/>
        </w:rPr>
        <w:t> ;</w:t>
      </w:r>
      <w:r w:rsidRPr="00AB4DCC">
        <w:rPr>
          <w:lang w:val="fr-FR"/>
        </w:rPr>
        <w:t xml:space="preserve"> ou</w:t>
      </w:r>
    </w:p>
    <w:p w14:paraId="5A640A48" w14:textId="5E09FDEB" w:rsidR="00A20ACD" w:rsidRPr="00AB4DCC" w:rsidRDefault="00A20ACD" w:rsidP="00571A25">
      <w:pPr>
        <w:pStyle w:val="SingleTxtG"/>
        <w:ind w:left="3402" w:hanging="567"/>
        <w:rPr>
          <w:bCs/>
          <w:lang w:val="fr-FR"/>
        </w:rPr>
      </w:pPr>
      <w:r w:rsidRPr="00AB4DCC">
        <w:rPr>
          <w:lang w:val="fr-FR"/>
        </w:rPr>
        <w:t>ii)</w:t>
      </w:r>
      <w:r w:rsidRPr="00AB4DCC">
        <w:rPr>
          <w:lang w:val="fr-FR"/>
        </w:rPr>
        <w:tab/>
        <w:t>La méthode de détermination du coefficient d’adhérence (k), décrite à l’appendice 2 de l’annexe 6 du Règlement ONU n</w:t>
      </w:r>
      <w:r w:rsidRPr="00AB4DCC">
        <w:rPr>
          <w:vertAlign w:val="superscript"/>
          <w:lang w:val="fr-FR"/>
        </w:rPr>
        <w:t>o</w:t>
      </w:r>
      <w:r w:rsidR="005D36EF">
        <w:rPr>
          <w:lang w:val="fr-FR"/>
        </w:rPr>
        <w:t> </w:t>
      </w:r>
      <w:r w:rsidRPr="00AB4DCC">
        <w:rPr>
          <w:lang w:val="fr-FR"/>
        </w:rPr>
        <w:t>13</w:t>
      </w:r>
      <w:r w:rsidR="005D36EF">
        <w:rPr>
          <w:lang w:val="fr-FR"/>
        </w:rPr>
        <w:noBreakHyphen/>
      </w:r>
      <w:r w:rsidRPr="00AB4DCC">
        <w:rPr>
          <w:lang w:val="fr-FR"/>
        </w:rPr>
        <w:t>H</w:t>
      </w:r>
      <w:r w:rsidR="00AB6B32">
        <w:rPr>
          <w:lang w:val="fr-FR"/>
        </w:rPr>
        <w:t> ;</w:t>
      </w:r>
    </w:p>
    <w:p w14:paraId="4AEB5AAD" w14:textId="1A8E8ECE" w:rsidR="00A20ACD" w:rsidRPr="00AB4DCC" w:rsidRDefault="00A20ACD" w:rsidP="00571A25">
      <w:pPr>
        <w:pStyle w:val="SingleTxtG"/>
        <w:ind w:left="2835" w:hanging="567"/>
        <w:rPr>
          <w:bCs/>
          <w:color w:val="000000" w:themeColor="text1"/>
          <w:lang w:val="fr-FR"/>
        </w:rPr>
      </w:pPr>
      <w:r w:rsidRPr="00AB4DCC">
        <w:rPr>
          <w:lang w:val="fr-FR"/>
        </w:rPr>
        <w:t>c)</w:t>
      </w:r>
      <w:r w:rsidRPr="00AB4DCC">
        <w:rPr>
          <w:lang w:val="fr-FR"/>
        </w:rPr>
        <w:tab/>
        <w:t>La valeur requise pour permettre la décélération maximale nominale du véhicule concerné, telle que calculée grâce à la méthode de détermination du coefficient d’adhérence (k) décrite à l’appendice 2 de l’annexe 13 du Règlement ONU n</w:t>
      </w:r>
      <w:r w:rsidRPr="00AB4DCC">
        <w:rPr>
          <w:vertAlign w:val="superscript"/>
          <w:lang w:val="fr-FR"/>
        </w:rPr>
        <w:t>o</w:t>
      </w:r>
      <w:r w:rsidR="005D36EF">
        <w:rPr>
          <w:lang w:val="fr-FR"/>
        </w:rPr>
        <w:t> </w:t>
      </w:r>
      <w:r w:rsidRPr="00AB4DCC">
        <w:rPr>
          <w:lang w:val="fr-FR"/>
        </w:rPr>
        <w:t>13</w:t>
      </w:r>
      <w:r w:rsidR="00AB6B32">
        <w:rPr>
          <w:lang w:val="fr-FR"/>
        </w:rPr>
        <w:t> ;</w:t>
      </w:r>
    </w:p>
    <w:p w14:paraId="4202759D" w14:textId="24FE987B" w:rsidR="00A20ACD" w:rsidRPr="00AB4DCC" w:rsidRDefault="00A20ACD" w:rsidP="00DE2924">
      <w:pPr>
        <w:pStyle w:val="SingleTxtG"/>
        <w:ind w:left="2268" w:hanging="1134"/>
        <w:rPr>
          <w:bCs/>
          <w:lang w:val="fr-FR"/>
        </w:rPr>
      </w:pPr>
      <w:r w:rsidRPr="00AB4DCC">
        <w:rPr>
          <w:lang w:val="fr-FR"/>
        </w:rPr>
        <w:t>2.6</w:t>
      </w:r>
      <w:r w:rsidRPr="00AB4DCC">
        <w:rPr>
          <w:lang w:val="fr-FR"/>
        </w:rPr>
        <w:tab/>
      </w:r>
      <w:r w:rsidR="00401B26" w:rsidRPr="00AB4DCC">
        <w:rPr>
          <w:lang w:val="fr-FR"/>
        </w:rPr>
        <w:t>«</w:t>
      </w:r>
      <w:r w:rsidR="00401B26">
        <w:rPr>
          <w:lang w:val="fr-FR"/>
        </w:rPr>
        <w:t> </w:t>
      </w:r>
      <w:r w:rsidRPr="00AB4DCC">
        <w:rPr>
          <w:i/>
          <w:iCs/>
          <w:lang w:val="fr-FR"/>
        </w:rPr>
        <w:t>Vérification automatique</w:t>
      </w:r>
      <w:r w:rsidR="00401B26">
        <w:rPr>
          <w:lang w:val="fr-FR"/>
        </w:rPr>
        <w:t> </w:t>
      </w:r>
      <w:r w:rsidR="00401B26" w:rsidRPr="00AB4DCC">
        <w:rPr>
          <w:lang w:val="fr-FR"/>
        </w:rPr>
        <w:t>»</w:t>
      </w:r>
      <w:r w:rsidRPr="00AB4DCC">
        <w:rPr>
          <w:lang w:val="fr-FR"/>
        </w:rPr>
        <w:t>, une fonction intégrée qui vérifie de manière continue, au moins lorsque le système est activé, si des défaillances se produisent</w:t>
      </w:r>
      <w:r w:rsidR="00AB6B32">
        <w:rPr>
          <w:lang w:val="fr-FR"/>
        </w:rPr>
        <w:t> ;</w:t>
      </w:r>
    </w:p>
    <w:p w14:paraId="7366EEE9" w14:textId="01FE20DE" w:rsidR="00A20ACD" w:rsidRPr="00AB4DCC" w:rsidRDefault="00A20ACD" w:rsidP="00DE2924">
      <w:pPr>
        <w:pStyle w:val="SingleTxtG"/>
        <w:ind w:left="2268" w:hanging="1134"/>
        <w:rPr>
          <w:bCs/>
          <w:lang w:val="fr-FR"/>
        </w:rPr>
      </w:pPr>
      <w:bookmarkStart w:id="2" w:name="OLE_LINK10"/>
      <w:r w:rsidRPr="00AB4DCC">
        <w:rPr>
          <w:lang w:val="fr-FR"/>
        </w:rPr>
        <w:t>2.7</w:t>
      </w:r>
      <w:r w:rsidRPr="00AB4DCC">
        <w:rPr>
          <w:lang w:val="fr-FR"/>
        </w:rPr>
        <w:tab/>
      </w:r>
      <w:r w:rsidR="00401B26" w:rsidRPr="00AB4DCC">
        <w:rPr>
          <w:lang w:val="fr-FR"/>
        </w:rPr>
        <w:t>«</w:t>
      </w:r>
      <w:r w:rsidR="00401B26">
        <w:rPr>
          <w:lang w:val="fr-FR"/>
        </w:rPr>
        <w:t> </w:t>
      </w:r>
      <w:r w:rsidRPr="00AB4DCC">
        <w:rPr>
          <w:i/>
          <w:iCs/>
          <w:lang w:val="fr-FR"/>
        </w:rPr>
        <w:t>Obstacle</w:t>
      </w:r>
      <w:r w:rsidR="00401B26">
        <w:rPr>
          <w:lang w:val="fr-FR"/>
        </w:rPr>
        <w:t> </w:t>
      </w:r>
      <w:r w:rsidR="00401B26" w:rsidRPr="00AB4DCC">
        <w:rPr>
          <w:lang w:val="fr-FR"/>
        </w:rPr>
        <w:t>»</w:t>
      </w:r>
      <w:r w:rsidRPr="00AB4DCC">
        <w:rPr>
          <w:lang w:val="fr-FR"/>
        </w:rPr>
        <w:t>, soit un véhicule, soit une structure semblable à un mur</w:t>
      </w:r>
      <w:r w:rsidR="00AB6B32">
        <w:rPr>
          <w:lang w:val="fr-FR"/>
        </w:rPr>
        <w:t> ;</w:t>
      </w:r>
    </w:p>
    <w:bookmarkEnd w:id="2"/>
    <w:p w14:paraId="4EE8498B" w14:textId="5BCA34A7" w:rsidR="00A20ACD" w:rsidRPr="00AB4DCC" w:rsidRDefault="00A20ACD" w:rsidP="00DE2924">
      <w:pPr>
        <w:pStyle w:val="SingleTxtG"/>
        <w:ind w:left="2268" w:hanging="1134"/>
        <w:rPr>
          <w:bCs/>
          <w:lang w:val="fr-FR"/>
        </w:rPr>
      </w:pPr>
      <w:r w:rsidRPr="00AB4DCC">
        <w:rPr>
          <w:lang w:val="fr-FR"/>
        </w:rPr>
        <w:t>2.8</w:t>
      </w:r>
      <w:r w:rsidRPr="00AB4DCC">
        <w:rPr>
          <w:lang w:val="fr-FR"/>
        </w:rPr>
        <w:tab/>
      </w:r>
      <w:r w:rsidR="00401B26" w:rsidRPr="00AB4DCC">
        <w:rPr>
          <w:lang w:val="fr-FR"/>
        </w:rPr>
        <w:t>«</w:t>
      </w:r>
      <w:r w:rsidR="00401B26">
        <w:rPr>
          <w:lang w:val="fr-FR"/>
        </w:rPr>
        <w:t> </w:t>
      </w:r>
      <w:r w:rsidRPr="00AB4DCC">
        <w:rPr>
          <w:i/>
          <w:iCs/>
          <w:lang w:val="fr-FR"/>
        </w:rPr>
        <w:t>Boîte de vitesses automatique</w:t>
      </w:r>
      <w:r w:rsidR="00401B26">
        <w:rPr>
          <w:lang w:val="fr-FR"/>
        </w:rPr>
        <w:t> </w:t>
      </w:r>
      <w:r w:rsidR="00401B26" w:rsidRPr="00AB4DCC">
        <w:rPr>
          <w:lang w:val="fr-FR"/>
        </w:rPr>
        <w:t>»</w:t>
      </w:r>
      <w:r w:rsidRPr="00AB4DCC">
        <w:rPr>
          <w:lang w:val="fr-FR"/>
        </w:rPr>
        <w:t>, toute boîte de vitesses qui ne nécessite pas que le conducteur utilise une commande d’embrayage pour changer de vitesse (il s’agit notamment des boîtes de vitesse à rapport unique, à variation continue et à embrayage automatique)</w:t>
      </w:r>
      <w:r w:rsidR="00AB6B32">
        <w:rPr>
          <w:lang w:val="fr-FR"/>
        </w:rPr>
        <w:t> ;</w:t>
      </w:r>
    </w:p>
    <w:p w14:paraId="405A3EB9" w14:textId="11CA1BB8" w:rsidR="00A20ACD" w:rsidRPr="00AB4DCC" w:rsidRDefault="00A20ACD" w:rsidP="00DE2924">
      <w:pPr>
        <w:pStyle w:val="SingleTxtG"/>
        <w:ind w:left="2268" w:hanging="1134"/>
        <w:rPr>
          <w:bCs/>
          <w:color w:val="000000" w:themeColor="text1"/>
          <w:lang w:val="fr-FR"/>
        </w:rPr>
      </w:pPr>
      <w:r w:rsidRPr="00AB4DCC">
        <w:rPr>
          <w:lang w:val="fr-FR"/>
        </w:rPr>
        <w:t>2.9</w:t>
      </w:r>
      <w:r w:rsidRPr="00AB4DCC">
        <w:rPr>
          <w:lang w:val="fr-FR"/>
        </w:rPr>
        <w:tab/>
      </w:r>
      <w:r w:rsidR="00401B26" w:rsidRPr="00AB4DCC">
        <w:rPr>
          <w:lang w:val="fr-FR"/>
        </w:rPr>
        <w:t>«</w:t>
      </w:r>
      <w:r w:rsidR="00401B26">
        <w:rPr>
          <w:lang w:val="fr-FR"/>
        </w:rPr>
        <w:t> </w:t>
      </w:r>
      <w:r w:rsidRPr="00AB4DCC">
        <w:rPr>
          <w:i/>
          <w:iCs/>
          <w:lang w:val="fr-FR"/>
        </w:rPr>
        <w:t>Masse d’un véhicule en ordre de marche</w:t>
      </w:r>
      <w:r w:rsidR="00401B26">
        <w:rPr>
          <w:lang w:val="fr-FR"/>
        </w:rPr>
        <w:t> </w:t>
      </w:r>
      <w:r w:rsidR="00401B26" w:rsidRPr="00AB4DCC">
        <w:rPr>
          <w:lang w:val="fr-FR"/>
        </w:rPr>
        <w:t>»</w:t>
      </w:r>
      <w:r w:rsidRPr="00AB4DCC">
        <w:rPr>
          <w:lang w:val="fr-FR"/>
        </w:rPr>
        <w:t>, la masse à vide d’un véhicule carrossé, y compris le liquide de refroidissement, les lubrifiants, au moins 90</w:t>
      </w:r>
      <w:r w:rsidR="004560AA">
        <w:rPr>
          <w:lang w:val="fr-FR"/>
        </w:rPr>
        <w:t> %</w:t>
      </w:r>
      <w:r w:rsidRPr="00AB4DCC">
        <w:rPr>
          <w:lang w:val="fr-FR"/>
        </w:rPr>
        <w:t xml:space="preserve"> du carburant, 100</w:t>
      </w:r>
      <w:r w:rsidR="004560AA">
        <w:rPr>
          <w:lang w:val="fr-FR"/>
        </w:rPr>
        <w:t> %</w:t>
      </w:r>
      <w:r w:rsidRPr="00AB4DCC">
        <w:rPr>
          <w:lang w:val="fr-FR"/>
        </w:rPr>
        <w:t xml:space="preserve"> des autres liquides et le conducteur (75 kg), à l’exception des eaux usées, des outils et de la roue de secours.</w:t>
      </w:r>
    </w:p>
    <w:p w14:paraId="61252841" w14:textId="77777777" w:rsidR="00A20ACD" w:rsidRPr="00AB4DCC" w:rsidRDefault="00A20ACD" w:rsidP="00571A25">
      <w:pPr>
        <w:pStyle w:val="HChG"/>
        <w:tabs>
          <w:tab w:val="clear" w:pos="851"/>
        </w:tabs>
        <w:ind w:left="2268"/>
        <w:rPr>
          <w:lang w:val="fr-FR"/>
        </w:rPr>
      </w:pPr>
      <w:r w:rsidRPr="00AB4DCC">
        <w:rPr>
          <w:bCs/>
          <w:lang w:val="fr-FR"/>
        </w:rPr>
        <w:t>3.</w:t>
      </w:r>
      <w:r w:rsidRPr="00AB4DCC">
        <w:rPr>
          <w:lang w:val="fr-FR"/>
        </w:rPr>
        <w:tab/>
      </w:r>
      <w:r w:rsidRPr="00AB4DCC">
        <w:rPr>
          <w:bCs/>
          <w:lang w:val="fr-FR"/>
        </w:rPr>
        <w:t>Demande d’homologation</w:t>
      </w:r>
    </w:p>
    <w:p w14:paraId="698638C7" w14:textId="77777777" w:rsidR="00A20ACD" w:rsidRPr="00AB4DCC" w:rsidRDefault="00A20ACD" w:rsidP="00DE2924">
      <w:pPr>
        <w:pStyle w:val="SingleTxtG"/>
        <w:ind w:left="2268" w:hanging="1134"/>
        <w:rPr>
          <w:lang w:val="fr-FR"/>
        </w:rPr>
      </w:pPr>
      <w:r w:rsidRPr="00AB4DCC">
        <w:rPr>
          <w:lang w:val="fr-FR"/>
        </w:rPr>
        <w:t>3.1</w:t>
      </w:r>
      <w:r w:rsidRPr="00AB4DCC">
        <w:rPr>
          <w:lang w:val="fr-FR"/>
        </w:rPr>
        <w:tab/>
        <w:t>La demande d’homologation d’un type de véhicule en ce qui concerne le système ACPE doit être présentée par le constructeur du véhicule ou son mandataire dûment agréé.</w:t>
      </w:r>
    </w:p>
    <w:p w14:paraId="5D3D0B19" w14:textId="77DFBE30" w:rsidR="00A20ACD" w:rsidRPr="00AB4DCC" w:rsidRDefault="00A20ACD" w:rsidP="00DE2924">
      <w:pPr>
        <w:pStyle w:val="SingleTxtG"/>
        <w:ind w:left="2268" w:hanging="1134"/>
        <w:rPr>
          <w:lang w:val="fr-FR"/>
        </w:rPr>
      </w:pPr>
      <w:r w:rsidRPr="00AB4DCC">
        <w:rPr>
          <w:lang w:val="fr-FR"/>
        </w:rPr>
        <w:t>3.2</w:t>
      </w:r>
      <w:r w:rsidRPr="00AB4DCC">
        <w:rPr>
          <w:lang w:val="fr-FR"/>
        </w:rPr>
        <w:tab/>
        <w:t>Elle doit être accompagnée des documents mentionnés ci-après, en trois exemplaires</w:t>
      </w:r>
      <w:r w:rsidR="00AB6B32">
        <w:rPr>
          <w:lang w:val="fr-FR"/>
        </w:rPr>
        <w:t> :</w:t>
      </w:r>
    </w:p>
    <w:p w14:paraId="09DFB200" w14:textId="3DF1163B" w:rsidR="00A20ACD" w:rsidRPr="00AB4DCC" w:rsidRDefault="00A20ACD" w:rsidP="00DE2924">
      <w:pPr>
        <w:pStyle w:val="SingleTxtG"/>
        <w:ind w:left="2268" w:hanging="1134"/>
        <w:rPr>
          <w:kern w:val="2"/>
          <w:lang w:val="fr-FR"/>
        </w:rPr>
      </w:pPr>
      <w:r w:rsidRPr="00AB4DCC">
        <w:rPr>
          <w:lang w:val="fr-FR"/>
        </w:rPr>
        <w:t>3.3</w:t>
      </w:r>
      <w:r w:rsidRPr="00AB4DCC">
        <w:rPr>
          <w:lang w:val="fr-FR"/>
        </w:rPr>
        <w:tab/>
        <w:t>Une description du type de véhicule eu égard aux critères mentionnés au paragraphe</w:t>
      </w:r>
      <w:r w:rsidR="005D36EF">
        <w:rPr>
          <w:lang w:val="fr-FR"/>
        </w:rPr>
        <w:t xml:space="preserve"> </w:t>
      </w:r>
      <w:r w:rsidRPr="00AB4DCC">
        <w:rPr>
          <w:lang w:val="fr-FR"/>
        </w:rPr>
        <w:t>2.2, accompagnée d’un dossier renseignant sur la conception de base du système ACPE et sur les dispositifs permettant de le relier à d’autres systèmes du véhicule ou par l’intermédiaire desquels il commande directement les variables de sortie. Les numéros et/ou symboles caractérisant le type de véhicule doivent être indiqués.</w:t>
      </w:r>
    </w:p>
    <w:p w14:paraId="65BC5D66" w14:textId="77777777" w:rsidR="00A20ACD" w:rsidRPr="00AB4DCC" w:rsidRDefault="00A20ACD" w:rsidP="00DE2924">
      <w:pPr>
        <w:pStyle w:val="SingleTxtG"/>
        <w:ind w:left="2268" w:hanging="1134"/>
        <w:rPr>
          <w:lang w:val="fr-FR"/>
        </w:rPr>
      </w:pPr>
      <w:r w:rsidRPr="00AB4DCC">
        <w:rPr>
          <w:lang w:val="fr-FR"/>
        </w:rPr>
        <w:t>3.4</w:t>
      </w:r>
      <w:r w:rsidRPr="00AB4DCC">
        <w:rPr>
          <w:lang w:val="fr-FR"/>
        </w:rPr>
        <w:tab/>
        <w:t>Un véhicule représentatif du type de véhicule à homologuer doit être présenté au service technique chargé des essais d’homologation.</w:t>
      </w:r>
    </w:p>
    <w:p w14:paraId="06580320" w14:textId="77777777" w:rsidR="00A20ACD" w:rsidRPr="00AB4DCC" w:rsidRDefault="00A20ACD" w:rsidP="00571A25">
      <w:pPr>
        <w:pStyle w:val="HChG"/>
        <w:tabs>
          <w:tab w:val="clear" w:pos="851"/>
        </w:tabs>
        <w:ind w:left="2268"/>
        <w:rPr>
          <w:lang w:val="fr-FR"/>
        </w:rPr>
      </w:pPr>
      <w:r w:rsidRPr="00AB4DCC">
        <w:rPr>
          <w:bCs/>
          <w:lang w:val="fr-FR"/>
        </w:rPr>
        <w:t>4.</w:t>
      </w:r>
      <w:r w:rsidRPr="00AB4DCC">
        <w:rPr>
          <w:lang w:val="fr-FR"/>
        </w:rPr>
        <w:tab/>
      </w:r>
      <w:r w:rsidRPr="00AB4DCC">
        <w:rPr>
          <w:bCs/>
          <w:lang w:val="fr-FR"/>
        </w:rPr>
        <w:t>Homologation</w:t>
      </w:r>
    </w:p>
    <w:p w14:paraId="797C99C5" w14:textId="77777777" w:rsidR="00A20ACD" w:rsidRPr="00AB4DCC" w:rsidRDefault="00A20ACD" w:rsidP="00DE2924">
      <w:pPr>
        <w:pStyle w:val="SingleTxtG"/>
        <w:ind w:left="2268" w:hanging="1134"/>
        <w:rPr>
          <w:lang w:val="fr-FR"/>
        </w:rPr>
      </w:pPr>
      <w:r w:rsidRPr="00AB4DCC">
        <w:rPr>
          <w:lang w:val="fr-FR"/>
        </w:rPr>
        <w:t>4.1</w:t>
      </w:r>
      <w:r w:rsidRPr="00AB4DCC">
        <w:rPr>
          <w:lang w:val="fr-FR"/>
        </w:rPr>
        <w:tab/>
        <w:t>Si le véhicule présenté à l’homologation en application du présent Règlement satisfait aux prescriptions du paragraphe 5 ci-après, l’homologation pour ce type de véhicule doit être accordée.</w:t>
      </w:r>
    </w:p>
    <w:p w14:paraId="3C240EC8" w14:textId="602BA0B6" w:rsidR="00A20ACD" w:rsidRPr="00AB4DCC" w:rsidRDefault="00A20ACD" w:rsidP="00DE2924">
      <w:pPr>
        <w:pStyle w:val="SingleTxtG"/>
        <w:ind w:left="2268" w:hanging="1134"/>
        <w:rPr>
          <w:lang w:val="fr-FR"/>
        </w:rPr>
      </w:pPr>
      <w:r w:rsidRPr="00AB4DCC">
        <w:rPr>
          <w:lang w:val="fr-FR"/>
        </w:rPr>
        <w:t>4.2</w:t>
      </w:r>
      <w:r w:rsidRPr="00AB4DCC">
        <w:rPr>
          <w:lang w:val="fr-FR"/>
        </w:rPr>
        <w:tab/>
        <w:t>Un numéro d’homologation doit être attribué à chaque type de véhicule homologué</w:t>
      </w:r>
      <w:r w:rsidR="00AB6B32">
        <w:rPr>
          <w:lang w:val="fr-FR"/>
        </w:rPr>
        <w:t> ;</w:t>
      </w:r>
      <w:r w:rsidRPr="00AB4DCC">
        <w:rPr>
          <w:lang w:val="fr-FR"/>
        </w:rPr>
        <w:t xml:space="preserve"> les deux premiers chiffres (00 pour le présent Règlement dans sa version initiale) indiquent la série d’amendements correspondant aux principales modifications techniques les plus récentes apportées au présent Règlement à la date de délivrance de l’homologation. Une même Partie contractante ne peut attribuer ce numéro au même type de véhicule doté d’un autre type de système ACPE, ou à un autre type de véhicule.</w:t>
      </w:r>
    </w:p>
    <w:p w14:paraId="4E57DE01" w14:textId="370A82DD" w:rsidR="00A20ACD" w:rsidRPr="00AB4DCC" w:rsidRDefault="00A20ACD" w:rsidP="00DE2924">
      <w:pPr>
        <w:pStyle w:val="SingleTxtG"/>
        <w:ind w:left="2268" w:hanging="1134"/>
        <w:rPr>
          <w:lang w:val="fr-FR"/>
        </w:rPr>
      </w:pPr>
      <w:r w:rsidRPr="00AB4DCC">
        <w:rPr>
          <w:lang w:val="fr-FR"/>
        </w:rPr>
        <w:t>4.3</w:t>
      </w:r>
      <w:r w:rsidRPr="00AB4DCC">
        <w:rPr>
          <w:lang w:val="fr-FR"/>
        </w:rPr>
        <w:tab/>
        <w:t>La décision d’homologation ou de refus ou de retrait de l’homologation d’un type de véhicule prise en application du présent Règlement doit être communiquée aux Parties à l’Accord qui appliquent ce Règlement, au moyen d’une fiche conforme au modèle figurant à l’annexe 1 et de photographies et/ou plans fournis par le demandeur au format maximal A4 (210 x 297 mm), ou pliés à ce format, et à une échelle appropriée.</w:t>
      </w:r>
    </w:p>
    <w:p w14:paraId="1BECB3EB" w14:textId="0082829A" w:rsidR="00A20ACD" w:rsidRPr="00AB4DCC" w:rsidRDefault="00A20ACD" w:rsidP="00DE2924">
      <w:pPr>
        <w:pStyle w:val="SingleTxtG"/>
        <w:ind w:left="2268" w:hanging="1134"/>
        <w:rPr>
          <w:lang w:val="fr-FR"/>
        </w:rPr>
      </w:pPr>
      <w:r w:rsidRPr="00AB4DCC">
        <w:rPr>
          <w:lang w:val="fr-FR"/>
        </w:rPr>
        <w:t>4.4</w:t>
      </w:r>
      <w:r w:rsidRPr="00AB4DCC">
        <w:rPr>
          <w:lang w:val="fr-FR"/>
        </w:rPr>
        <w:tab/>
        <w:t>Sur tout véhicule conforme à un type de véhicule homologué en application du présent Règlement doit être apposée de manière visible, en un endroit facilement accessible et indiqué sur la fiche d’homologation, une marque d’homologation conforme au modèle décrit à l’annexe 2 et composée</w:t>
      </w:r>
      <w:r w:rsidR="00AB6B32">
        <w:rPr>
          <w:lang w:val="fr-FR"/>
        </w:rPr>
        <w:t> :</w:t>
      </w:r>
    </w:p>
    <w:p w14:paraId="62BEF2E5" w14:textId="3F72D5AD" w:rsidR="00A20ACD" w:rsidRPr="00AB4DCC" w:rsidRDefault="00A20ACD" w:rsidP="00DE2924">
      <w:pPr>
        <w:pStyle w:val="SingleTxtG"/>
        <w:ind w:left="2268" w:hanging="1134"/>
        <w:rPr>
          <w:lang w:val="fr-FR"/>
        </w:rPr>
      </w:pPr>
      <w:r w:rsidRPr="00AB4DCC">
        <w:rPr>
          <w:lang w:val="fr-FR"/>
        </w:rPr>
        <w:t>4.4.1</w:t>
      </w:r>
      <w:r w:rsidRPr="00AB4DCC">
        <w:rPr>
          <w:lang w:val="fr-FR"/>
        </w:rPr>
        <w:tab/>
        <w:t xml:space="preserve">D’un cercle à l’intérieur duquel est placée la lettre </w:t>
      </w:r>
      <w:r w:rsidR="00401B26" w:rsidRPr="00AB4DCC">
        <w:rPr>
          <w:lang w:val="fr-FR"/>
        </w:rPr>
        <w:t>«</w:t>
      </w:r>
      <w:r w:rsidR="00401B26">
        <w:rPr>
          <w:lang w:val="fr-FR"/>
        </w:rPr>
        <w:t> </w:t>
      </w:r>
      <w:r w:rsidRPr="00AB4DCC">
        <w:rPr>
          <w:lang w:val="fr-FR"/>
        </w:rPr>
        <w:t>E</w:t>
      </w:r>
      <w:r w:rsidR="00401B26">
        <w:rPr>
          <w:lang w:val="fr-FR"/>
        </w:rPr>
        <w:t> </w:t>
      </w:r>
      <w:r w:rsidR="00401B26" w:rsidRPr="00AB4DCC">
        <w:rPr>
          <w:lang w:val="fr-FR"/>
        </w:rPr>
        <w:t>»</w:t>
      </w:r>
      <w:r w:rsidRPr="00AB4DCC">
        <w:rPr>
          <w:lang w:val="fr-FR"/>
        </w:rPr>
        <w:t xml:space="preserve"> suivie du numéro distinctif du pays qui a accordé l’homologation</w:t>
      </w:r>
      <w:r w:rsidRPr="00DE2924">
        <w:rPr>
          <w:rStyle w:val="Appelnotedebasdep"/>
          <w:lang w:val="fr-FR"/>
        </w:rPr>
        <w:footnoteReference w:id="4"/>
      </w:r>
      <w:r w:rsidR="00AB6B32">
        <w:rPr>
          <w:lang w:val="fr-FR"/>
        </w:rPr>
        <w:t> ;</w:t>
      </w:r>
    </w:p>
    <w:p w14:paraId="527921B1" w14:textId="3E86CB8A" w:rsidR="00A20ACD" w:rsidRPr="00AB4DCC" w:rsidRDefault="00A20ACD" w:rsidP="00DE2924">
      <w:pPr>
        <w:pStyle w:val="SingleTxtG"/>
        <w:ind w:left="2268" w:hanging="1134"/>
        <w:rPr>
          <w:lang w:val="fr-FR"/>
        </w:rPr>
      </w:pPr>
      <w:r w:rsidRPr="00AB4DCC">
        <w:rPr>
          <w:lang w:val="fr-FR"/>
        </w:rPr>
        <w:t>4.4.2</w:t>
      </w:r>
      <w:r w:rsidRPr="00AB4DCC">
        <w:rPr>
          <w:lang w:val="fr-FR"/>
        </w:rPr>
        <w:tab/>
        <w:t xml:space="preserve">Du numéro du présent Règlement, suivi de la lettre </w:t>
      </w:r>
      <w:r w:rsidR="00401B26" w:rsidRPr="00AB4DCC">
        <w:rPr>
          <w:lang w:val="fr-FR"/>
        </w:rPr>
        <w:t>«</w:t>
      </w:r>
      <w:r w:rsidR="00401B26">
        <w:rPr>
          <w:lang w:val="fr-FR"/>
        </w:rPr>
        <w:t> </w:t>
      </w:r>
      <w:r w:rsidRPr="00AB4DCC">
        <w:rPr>
          <w:lang w:val="fr-FR"/>
        </w:rPr>
        <w:t>R</w:t>
      </w:r>
      <w:r w:rsidR="00401B26">
        <w:rPr>
          <w:lang w:val="fr-FR"/>
        </w:rPr>
        <w:t> </w:t>
      </w:r>
      <w:r w:rsidR="00401B26" w:rsidRPr="00AB4DCC">
        <w:rPr>
          <w:lang w:val="fr-FR"/>
        </w:rPr>
        <w:t>»</w:t>
      </w:r>
      <w:r w:rsidRPr="00AB4DCC">
        <w:rPr>
          <w:lang w:val="fr-FR"/>
        </w:rPr>
        <w:t>, d’un tiret et d’un numéro d’homologation, placé à droite du cercle prévu au paragraphe 4.4.1</w:t>
      </w:r>
      <w:r w:rsidR="00AB6B32">
        <w:rPr>
          <w:lang w:val="fr-FR"/>
        </w:rPr>
        <w:t> ;</w:t>
      </w:r>
    </w:p>
    <w:p w14:paraId="0C0E6FBA" w14:textId="77777777" w:rsidR="00A20ACD" w:rsidRPr="00AB4DCC" w:rsidRDefault="00A20ACD" w:rsidP="00DE2924">
      <w:pPr>
        <w:pStyle w:val="SingleTxtG"/>
        <w:ind w:left="2268" w:hanging="1134"/>
        <w:rPr>
          <w:lang w:val="fr-FR"/>
        </w:rPr>
      </w:pPr>
      <w:r w:rsidRPr="00AB4DCC">
        <w:rPr>
          <w:lang w:val="fr-FR"/>
        </w:rPr>
        <w:t>4.5</w:t>
      </w:r>
      <w:r w:rsidRPr="00AB4DCC">
        <w:rPr>
          <w:lang w:val="fr-FR"/>
        </w:rPr>
        <w:tab/>
        <w:t>Si le véhicule est conforme à un type ayant déjà fait l’objet d’une homologation en application d’un ou de plusieurs autres Règlements annexés à l’Accord, dans le pays qui a accordé l’homologation en vertu du présent Règlement, le symbole visé au paragraphe 4.4.1 ne doit pas être répété. Dans ce cas, les numéros de Règlement et d’homologation ainsi que les symboles additionnels doivent être placés en colonnes verticales à droite du symbole visé au paragraphe 4.4.1.</w:t>
      </w:r>
    </w:p>
    <w:p w14:paraId="20E0DFAE" w14:textId="77777777" w:rsidR="00A20ACD" w:rsidRPr="00AB4DCC" w:rsidRDefault="00A20ACD" w:rsidP="00DE2924">
      <w:pPr>
        <w:pStyle w:val="SingleTxtG"/>
        <w:ind w:left="2268" w:hanging="1134"/>
        <w:rPr>
          <w:lang w:val="fr-FR"/>
        </w:rPr>
      </w:pPr>
      <w:r w:rsidRPr="00AB4DCC">
        <w:rPr>
          <w:lang w:val="fr-FR"/>
        </w:rPr>
        <w:t>4.6</w:t>
      </w:r>
      <w:r w:rsidRPr="00AB4DCC">
        <w:rPr>
          <w:lang w:val="fr-FR"/>
        </w:rPr>
        <w:tab/>
        <w:t>La marque d’homologation doit être nettement lisible et indélébile.</w:t>
      </w:r>
    </w:p>
    <w:p w14:paraId="6DF1D705" w14:textId="77777777" w:rsidR="00A20ACD" w:rsidRPr="00AB4DCC" w:rsidRDefault="00A20ACD" w:rsidP="00DE2924">
      <w:pPr>
        <w:pStyle w:val="SingleTxtG"/>
        <w:ind w:left="2268" w:hanging="1134"/>
        <w:rPr>
          <w:lang w:val="fr-FR"/>
        </w:rPr>
      </w:pPr>
      <w:r w:rsidRPr="00AB4DCC">
        <w:rPr>
          <w:lang w:val="fr-FR"/>
        </w:rPr>
        <w:t>4.7</w:t>
      </w:r>
      <w:r w:rsidRPr="00AB4DCC">
        <w:rPr>
          <w:lang w:val="fr-FR"/>
        </w:rPr>
        <w:tab/>
        <w:t>La marque d’homologation doit être placée sur la plaque signalétique apposée par le constructeur, ou à proximité.</w:t>
      </w:r>
    </w:p>
    <w:p w14:paraId="71D2DF96" w14:textId="77777777" w:rsidR="00A20ACD" w:rsidRPr="00AB4DCC" w:rsidRDefault="00A20ACD" w:rsidP="00571A25">
      <w:pPr>
        <w:pStyle w:val="HChG"/>
        <w:tabs>
          <w:tab w:val="clear" w:pos="851"/>
        </w:tabs>
        <w:ind w:left="2268"/>
        <w:rPr>
          <w:lang w:val="fr-FR"/>
        </w:rPr>
      </w:pPr>
      <w:r w:rsidRPr="00AB4DCC">
        <w:rPr>
          <w:bCs/>
          <w:lang w:val="fr-FR"/>
        </w:rPr>
        <w:t>5.</w:t>
      </w:r>
      <w:r w:rsidRPr="00AB4DCC">
        <w:rPr>
          <w:lang w:val="fr-FR"/>
        </w:rPr>
        <w:tab/>
      </w:r>
      <w:r w:rsidRPr="00AB4DCC">
        <w:rPr>
          <w:bCs/>
          <w:lang w:val="fr-FR"/>
        </w:rPr>
        <w:t>Spécifications</w:t>
      </w:r>
    </w:p>
    <w:p w14:paraId="41D87899" w14:textId="77777777" w:rsidR="00A20ACD" w:rsidRPr="00AB4DCC" w:rsidRDefault="00A20ACD" w:rsidP="00DE2924">
      <w:pPr>
        <w:pStyle w:val="SingleTxtG"/>
        <w:ind w:left="2268" w:hanging="1134"/>
        <w:rPr>
          <w:lang w:val="fr-FR"/>
        </w:rPr>
      </w:pPr>
      <w:r w:rsidRPr="00AB4DCC">
        <w:rPr>
          <w:lang w:val="fr-FR"/>
        </w:rPr>
        <w:t>5.1</w:t>
      </w:r>
      <w:r w:rsidRPr="00AB4DCC">
        <w:rPr>
          <w:lang w:val="fr-FR"/>
        </w:rPr>
        <w:tab/>
        <w:t>Prescriptions fonctionnelles</w:t>
      </w:r>
    </w:p>
    <w:p w14:paraId="28977035" w14:textId="77777777" w:rsidR="00A20ACD" w:rsidRPr="00AB4DCC" w:rsidRDefault="00A20ACD" w:rsidP="00A20ACD">
      <w:pPr>
        <w:pStyle w:val="Paragraphedeliste"/>
        <w:spacing w:after="120" w:line="240" w:lineRule="auto"/>
        <w:ind w:left="2268" w:right="1134"/>
        <w:contextualSpacing w:val="0"/>
        <w:jc w:val="both"/>
        <w:rPr>
          <w:lang w:val="fr-FR"/>
        </w:rPr>
      </w:pPr>
      <w:r w:rsidRPr="00AB4DCC">
        <w:rPr>
          <w:lang w:val="fr-FR"/>
        </w:rPr>
        <w:t>Les prescriptions fonctionnelles ci-après s’appliquent aux véhicules auxquels aucune remorque n’est attelée, dont la masse est comprise entre la masse maximale et la masse en ordre de marche et dont le système de gestion du groupe motopropulseur fonctionne correctement.</w:t>
      </w:r>
    </w:p>
    <w:p w14:paraId="54B866F0" w14:textId="061DF225" w:rsidR="00A20ACD" w:rsidRPr="00AB4DCC" w:rsidRDefault="00A20ACD" w:rsidP="00DE2924">
      <w:pPr>
        <w:pStyle w:val="SingleTxtG"/>
        <w:ind w:left="2268" w:hanging="1134"/>
        <w:rPr>
          <w:lang w:val="fr-FR"/>
        </w:rPr>
      </w:pPr>
      <w:r w:rsidRPr="00AB4DCC">
        <w:rPr>
          <w:lang w:val="fr-FR"/>
        </w:rPr>
        <w:t>5.1.1</w:t>
      </w:r>
      <w:r w:rsidRPr="00AB4DCC">
        <w:rPr>
          <w:lang w:val="fr-FR"/>
        </w:rPr>
        <w:tab/>
        <w:t>Le système ACPE doit pouvoir limiter l’accélération involontaire du véhicule lorsqu’il détecte une mauvaise utilisation de la commande d’accélérateur par le conducteur au moins dans les cas de figure suivants</w:t>
      </w:r>
      <w:r w:rsidR="00AB6B32">
        <w:rPr>
          <w:lang w:val="fr-FR"/>
        </w:rPr>
        <w:t> :</w:t>
      </w:r>
    </w:p>
    <w:p w14:paraId="4151DC2E" w14:textId="5B65B608" w:rsidR="00A20ACD" w:rsidRPr="00AB4DCC" w:rsidRDefault="00A20ACD" w:rsidP="00571A25">
      <w:pPr>
        <w:pStyle w:val="SingleTxtG"/>
        <w:ind w:left="2835" w:hanging="567"/>
        <w:rPr>
          <w:lang w:val="fr-FR"/>
        </w:rPr>
      </w:pPr>
      <w:r w:rsidRPr="00AB4DCC">
        <w:rPr>
          <w:lang w:val="fr-FR"/>
        </w:rPr>
        <w:t>a)</w:t>
      </w:r>
      <w:r w:rsidRPr="00AB4DCC">
        <w:rPr>
          <w:lang w:val="fr-FR"/>
        </w:rPr>
        <w:tab/>
        <w:t>Un obstacle se trouve devant le véhicule alors que le conducteur a enclenché la marche avant</w:t>
      </w:r>
      <w:r w:rsidR="00AB6B32">
        <w:rPr>
          <w:lang w:val="fr-FR"/>
        </w:rPr>
        <w:t> ;</w:t>
      </w:r>
    </w:p>
    <w:p w14:paraId="7C78A620" w14:textId="77777777" w:rsidR="00A20ACD" w:rsidRPr="00AB4DCC" w:rsidRDefault="00A20ACD" w:rsidP="00571A25">
      <w:pPr>
        <w:pStyle w:val="SingleTxtG"/>
        <w:ind w:left="2835" w:hanging="567"/>
        <w:rPr>
          <w:color w:val="000000" w:themeColor="text1"/>
          <w:lang w:val="fr-FR"/>
        </w:rPr>
      </w:pPr>
      <w:r w:rsidRPr="00AB4DCC">
        <w:rPr>
          <w:lang w:val="fr-FR"/>
        </w:rPr>
        <w:t>b)</w:t>
      </w:r>
      <w:r w:rsidRPr="00AB4DCC">
        <w:rPr>
          <w:lang w:val="fr-FR"/>
        </w:rPr>
        <w:tab/>
        <w:t>Un obstacle se trouve derrière le véhicule alors que le conducteur a enclenché la marche arrière.</w:t>
      </w:r>
    </w:p>
    <w:p w14:paraId="3B8A1C86" w14:textId="715BDD58" w:rsidR="00A20ACD" w:rsidRPr="00AB4DCC" w:rsidRDefault="00A20ACD" w:rsidP="00C24A8A">
      <w:pPr>
        <w:pStyle w:val="SingleTxtG"/>
        <w:ind w:left="2268" w:hanging="1134"/>
        <w:rPr>
          <w:color w:val="000000" w:themeColor="text1"/>
          <w:highlight w:val="cyan"/>
          <w:lang w:val="fr-FR"/>
        </w:rPr>
      </w:pPr>
      <w:r w:rsidRPr="00AB4DCC">
        <w:rPr>
          <w:lang w:val="fr-FR"/>
        </w:rPr>
        <w:t>5.1.2</w:t>
      </w:r>
      <w:r w:rsidRPr="00AB4DCC">
        <w:rPr>
          <w:lang w:val="fr-FR"/>
        </w:rPr>
        <w:tab/>
        <w:t>L’actionnement de la commande d’accélérateur à une vitesse d’au moins 400</w:t>
      </w:r>
      <w:r w:rsidR="004560AA">
        <w:rPr>
          <w:lang w:val="fr-FR"/>
        </w:rPr>
        <w:t> %</w:t>
      </w:r>
      <w:r w:rsidRPr="00AB4DCC">
        <w:rPr>
          <w:lang w:val="fr-FR"/>
        </w:rPr>
        <w:t xml:space="preserve"> par seconde sur au moins 70</w:t>
      </w:r>
      <w:r w:rsidR="004560AA">
        <w:rPr>
          <w:lang w:val="fr-FR"/>
        </w:rPr>
        <w:t> %</w:t>
      </w:r>
      <w:r w:rsidRPr="00AB4DCC">
        <w:rPr>
          <w:lang w:val="fr-FR"/>
        </w:rPr>
        <w:t xml:space="preserve"> de son amplitude</w:t>
      </w:r>
      <w:r w:rsidRPr="00AB4DCC">
        <w:rPr>
          <w:rStyle w:val="ui-provider"/>
          <w:lang w:val="fr-FR"/>
        </w:rPr>
        <w:t>, à l’issue duquel la commande atteint une position égale à au moins 90</w:t>
      </w:r>
      <w:r w:rsidR="004560AA">
        <w:rPr>
          <w:rStyle w:val="ui-provider"/>
          <w:lang w:val="fr-FR"/>
        </w:rPr>
        <w:t> %</w:t>
      </w:r>
      <w:r w:rsidRPr="00AB4DCC">
        <w:rPr>
          <w:rStyle w:val="ui-provider"/>
          <w:lang w:val="fr-FR"/>
        </w:rPr>
        <w:t xml:space="preserve"> de son amplitude,</w:t>
      </w:r>
      <w:r w:rsidRPr="00AB4DCC">
        <w:rPr>
          <w:lang w:val="fr-FR"/>
        </w:rPr>
        <w:t xml:space="preserve"> est considéré comme un mauvais usage de la commande d’accélérateur dans le contexte du paragraphe 5.1.1.</w:t>
      </w:r>
    </w:p>
    <w:p w14:paraId="3C75271B" w14:textId="77777777" w:rsidR="00A20ACD" w:rsidRPr="00AB4DCC" w:rsidRDefault="00A20ACD" w:rsidP="00DE2924">
      <w:pPr>
        <w:pStyle w:val="SingleTxtG"/>
        <w:ind w:left="2268" w:hanging="1134"/>
        <w:rPr>
          <w:color w:val="000000" w:themeColor="text1"/>
          <w:lang w:val="fr-FR"/>
        </w:rPr>
      </w:pPr>
      <w:r w:rsidRPr="00AB4DCC">
        <w:rPr>
          <w:lang w:val="fr-FR"/>
        </w:rPr>
        <w:t>5.1.3</w:t>
      </w:r>
      <w:r w:rsidRPr="00AB4DCC">
        <w:rPr>
          <w:lang w:val="fr-FR"/>
        </w:rPr>
        <w:tab/>
        <w:t>Nonobstant le paragraphe 5.1.2, dans le cas des systèmes qui déclenchent le contrôle de l’accélération en fonction de la force exercée, une force exercée sur la commande d’accélérateur qui est supérieure au seuil de déclenchement est considérée comme un mauvais usage de la commande d’accélérateur. Le constructeur doit justifier le seuil de déclenchement à la satisfaction de l’autorité d’homologation.</w:t>
      </w:r>
    </w:p>
    <w:p w14:paraId="756A1C42" w14:textId="77777777" w:rsidR="00A20ACD" w:rsidRPr="00AB4DCC" w:rsidRDefault="00A20ACD" w:rsidP="00DE2924">
      <w:pPr>
        <w:pStyle w:val="SingleTxtG"/>
        <w:ind w:left="2268" w:hanging="1134"/>
        <w:rPr>
          <w:lang w:val="fr-FR"/>
        </w:rPr>
      </w:pPr>
      <w:r w:rsidRPr="00AB4DCC">
        <w:rPr>
          <w:lang w:val="fr-FR"/>
        </w:rPr>
        <w:t>5.1.4</w:t>
      </w:r>
      <w:r w:rsidRPr="00AB4DCC">
        <w:rPr>
          <w:lang w:val="fr-FR"/>
        </w:rPr>
        <w:tab/>
        <w:t>Le système ACPE doit contrôler l’accélération lorsque le véhicule est accéléré à partir de l’arrêt.</w:t>
      </w:r>
    </w:p>
    <w:p w14:paraId="02CB0DEF" w14:textId="1A646150" w:rsidR="00A20ACD" w:rsidRPr="00AB4DCC" w:rsidRDefault="00A20ACD" w:rsidP="00DE2924">
      <w:pPr>
        <w:pStyle w:val="SingleTxtG"/>
        <w:ind w:left="2268" w:hanging="1134"/>
        <w:rPr>
          <w:strike/>
          <w:color w:val="000000" w:themeColor="text1"/>
          <w:lang w:val="fr-FR"/>
        </w:rPr>
      </w:pPr>
      <w:r w:rsidRPr="00AB4DCC">
        <w:rPr>
          <w:lang w:val="fr-FR"/>
        </w:rPr>
        <w:t>5.1.5</w:t>
      </w:r>
      <w:r w:rsidRPr="00AB4DCC">
        <w:rPr>
          <w:lang w:val="fr-FR"/>
        </w:rPr>
        <w:tab/>
        <w:t>Au moment où la commande d’accélérateur est actionnée, le système ACPE doit limiter l’accélération du véhicule afin d’éviter une collision avec un obstacle se trouvant dans la trajectoire du véhicule, à une distance comprise entre 1,0 m et 1,5 m de l’avant ou l’arrière de celui-ci, ou d’en atténuer les effets, à condition que</w:t>
      </w:r>
      <w:r w:rsidR="00AB6B32">
        <w:rPr>
          <w:lang w:val="fr-FR"/>
        </w:rPr>
        <w:t> :</w:t>
      </w:r>
    </w:p>
    <w:p w14:paraId="42E24A56" w14:textId="5252E589" w:rsidR="00A20ACD" w:rsidRPr="00AB4DCC" w:rsidRDefault="00A20ACD" w:rsidP="00571A25">
      <w:pPr>
        <w:pStyle w:val="SingleTxtG"/>
        <w:ind w:left="2835" w:hanging="567"/>
        <w:rPr>
          <w:lang w:val="fr-FR"/>
        </w:rPr>
      </w:pPr>
      <w:r w:rsidRPr="00AB4DCC">
        <w:rPr>
          <w:lang w:val="fr-FR"/>
        </w:rPr>
        <w:t>a)</w:t>
      </w:r>
      <w:r w:rsidRPr="00AB4DCC">
        <w:rPr>
          <w:lang w:val="fr-FR"/>
        </w:rPr>
        <w:tab/>
        <w:t>Les conditions extérieures permettent d’empêcher l’accélération, à savoir</w:t>
      </w:r>
      <w:r w:rsidR="00AB6B32">
        <w:rPr>
          <w:lang w:val="fr-FR"/>
        </w:rPr>
        <w:t> :</w:t>
      </w:r>
    </w:p>
    <w:p w14:paraId="7E4AAE24" w14:textId="2D36A5AB" w:rsidR="00A20ACD" w:rsidRPr="00AB4DCC" w:rsidRDefault="00A20ACD" w:rsidP="00571A25">
      <w:pPr>
        <w:pStyle w:val="SingleTxtG"/>
        <w:ind w:left="3402" w:hanging="567"/>
        <w:rPr>
          <w:bCs/>
          <w:lang w:val="fr-FR"/>
        </w:rPr>
      </w:pPr>
      <w:r w:rsidRPr="00AB4DCC">
        <w:rPr>
          <w:lang w:val="fr-FR"/>
        </w:rPr>
        <w:t>i)</w:t>
      </w:r>
      <w:r w:rsidRPr="00AB4DCC">
        <w:rPr>
          <w:lang w:val="fr-FR"/>
        </w:rPr>
        <w:tab/>
        <w:t>La route est plane, horizontale et sèche et elle offre une bonne adhérence</w:t>
      </w:r>
      <w:r w:rsidR="00AB6B32">
        <w:rPr>
          <w:lang w:val="fr-FR"/>
        </w:rPr>
        <w:t> ;</w:t>
      </w:r>
    </w:p>
    <w:p w14:paraId="12079750" w14:textId="1CBB4081" w:rsidR="00A20ACD" w:rsidRPr="00AB4DCC" w:rsidRDefault="00A20ACD" w:rsidP="00571A25">
      <w:pPr>
        <w:pStyle w:val="SingleTxtG"/>
        <w:ind w:left="3402" w:hanging="567"/>
        <w:rPr>
          <w:bCs/>
          <w:lang w:val="fr-FR"/>
        </w:rPr>
      </w:pPr>
      <w:r w:rsidRPr="00AB4DCC">
        <w:rPr>
          <w:lang w:val="fr-FR"/>
        </w:rPr>
        <w:t>ii)</w:t>
      </w:r>
      <w:r w:rsidRPr="00AB4DCC">
        <w:rPr>
          <w:lang w:val="fr-FR"/>
        </w:rPr>
        <w:tab/>
        <w:t>Les conditions atmosphériques ne sont pas défavorables pour le comportement du véhicule (absence de tempête ou température au moins égale à 0 °C, par exemple)</w:t>
      </w:r>
      <w:r w:rsidR="00AB6B32">
        <w:rPr>
          <w:lang w:val="fr-FR"/>
        </w:rPr>
        <w:t> ;</w:t>
      </w:r>
    </w:p>
    <w:p w14:paraId="484491D5" w14:textId="1BB75D83" w:rsidR="00A20ACD" w:rsidRPr="00AB4DCC" w:rsidRDefault="00A20ACD" w:rsidP="00571A25">
      <w:pPr>
        <w:pStyle w:val="SingleTxtG"/>
        <w:ind w:left="2835" w:hanging="567"/>
        <w:rPr>
          <w:lang w:val="fr-FR"/>
        </w:rPr>
      </w:pPr>
      <w:r w:rsidRPr="00AB4DCC">
        <w:rPr>
          <w:lang w:val="fr-FR"/>
        </w:rPr>
        <w:t>b)</w:t>
      </w:r>
      <w:r w:rsidRPr="00AB4DCC">
        <w:rPr>
          <w:lang w:val="fr-FR"/>
        </w:rPr>
        <w:tab/>
        <w:t>L’état du véhicule permette d’empêcher l’accélération, à savoir</w:t>
      </w:r>
      <w:r w:rsidR="00AB6B32">
        <w:rPr>
          <w:lang w:val="fr-FR"/>
        </w:rPr>
        <w:t> :</w:t>
      </w:r>
    </w:p>
    <w:p w14:paraId="099B73F2" w14:textId="469087FD" w:rsidR="00A20ACD" w:rsidRPr="00AB4DCC" w:rsidRDefault="00A20ACD" w:rsidP="00571A25">
      <w:pPr>
        <w:pStyle w:val="SingleTxtG"/>
        <w:ind w:left="3402" w:hanging="567"/>
        <w:rPr>
          <w:bCs/>
          <w:color w:val="000000" w:themeColor="text1"/>
          <w:lang w:val="fr-FR"/>
        </w:rPr>
      </w:pPr>
      <w:r w:rsidRPr="00AB4DCC">
        <w:rPr>
          <w:lang w:val="fr-FR"/>
        </w:rPr>
        <w:t>i)</w:t>
      </w:r>
      <w:r w:rsidRPr="00AB4DCC">
        <w:rPr>
          <w:lang w:val="fr-FR"/>
        </w:rPr>
        <w:tab/>
        <w:t>Les pneumatiques sont dans un état approprié et convenablement gonflés</w:t>
      </w:r>
      <w:r w:rsidR="00AB6B32">
        <w:rPr>
          <w:lang w:val="fr-FR"/>
        </w:rPr>
        <w:t> ;</w:t>
      </w:r>
    </w:p>
    <w:p w14:paraId="2BBBBD0B" w14:textId="5B8BB815" w:rsidR="00A20ACD" w:rsidRPr="00AB4DCC" w:rsidRDefault="00A20ACD" w:rsidP="00571A25">
      <w:pPr>
        <w:pStyle w:val="SingleTxtG"/>
        <w:ind w:left="3402" w:hanging="567"/>
        <w:rPr>
          <w:bCs/>
          <w:color w:val="000000" w:themeColor="text1"/>
          <w:lang w:val="fr-FR"/>
        </w:rPr>
      </w:pPr>
      <w:r w:rsidRPr="00AB4DCC">
        <w:rPr>
          <w:lang w:val="fr-FR"/>
        </w:rPr>
        <w:t>ii)</w:t>
      </w:r>
      <w:r w:rsidRPr="00AB4DCC">
        <w:rPr>
          <w:lang w:val="fr-FR"/>
        </w:rPr>
        <w:tab/>
        <w:t>Les freins, s’ils doivent être utilisés, fonctionnent correctement (température, état des plaquettes, etc.)</w:t>
      </w:r>
      <w:r w:rsidR="00AB6B32">
        <w:rPr>
          <w:lang w:val="fr-FR"/>
        </w:rPr>
        <w:t> ;</w:t>
      </w:r>
    </w:p>
    <w:p w14:paraId="5C501654" w14:textId="20D7F6CF" w:rsidR="00A20ACD" w:rsidRPr="00AB4DCC" w:rsidRDefault="00A20ACD" w:rsidP="00571A25">
      <w:pPr>
        <w:pStyle w:val="SingleTxtG"/>
        <w:ind w:left="3402" w:hanging="567"/>
        <w:rPr>
          <w:bCs/>
          <w:color w:val="000000" w:themeColor="text1"/>
          <w:lang w:val="fr-FR"/>
        </w:rPr>
      </w:pPr>
      <w:r w:rsidRPr="00AB4DCC">
        <w:rPr>
          <w:lang w:val="fr-FR"/>
        </w:rPr>
        <w:t>iii)</w:t>
      </w:r>
      <w:r w:rsidRPr="00AB4DCC">
        <w:rPr>
          <w:lang w:val="fr-FR"/>
        </w:rPr>
        <w:tab/>
        <w:t>Il n’y a pas de répartition fortement inégale de la charge</w:t>
      </w:r>
      <w:r w:rsidR="00AB6B32">
        <w:rPr>
          <w:lang w:val="fr-FR"/>
        </w:rPr>
        <w:t> ;</w:t>
      </w:r>
    </w:p>
    <w:p w14:paraId="07756B5C" w14:textId="3E527C51" w:rsidR="00A20ACD" w:rsidRPr="00AB4DCC" w:rsidRDefault="00A20ACD" w:rsidP="00571A25">
      <w:pPr>
        <w:pStyle w:val="SingleTxtG"/>
        <w:ind w:left="3402" w:hanging="567"/>
        <w:rPr>
          <w:bCs/>
          <w:color w:val="000000" w:themeColor="text1"/>
          <w:lang w:val="fr-FR"/>
        </w:rPr>
      </w:pPr>
      <w:r w:rsidRPr="00AB4DCC">
        <w:rPr>
          <w:lang w:val="fr-FR"/>
        </w:rPr>
        <w:t>iv)</w:t>
      </w:r>
      <w:r w:rsidRPr="00AB4DCC">
        <w:rPr>
          <w:lang w:val="fr-FR"/>
        </w:rPr>
        <w:tab/>
        <w:t>Aucune remorque n’est attelée au véhicule et la masse dudit véhicule est comprise entre la masse maximale et la masse en ordre de marche</w:t>
      </w:r>
      <w:r w:rsidR="00AB6B32">
        <w:rPr>
          <w:lang w:val="fr-FR"/>
        </w:rPr>
        <w:t> ;</w:t>
      </w:r>
    </w:p>
    <w:p w14:paraId="3EA46FE7" w14:textId="0269D779" w:rsidR="00A20ACD" w:rsidRPr="00AB4DCC" w:rsidRDefault="00A20ACD" w:rsidP="00571A25">
      <w:pPr>
        <w:pStyle w:val="SingleTxtG"/>
        <w:ind w:left="3402" w:hanging="567"/>
        <w:rPr>
          <w:bCs/>
          <w:color w:val="000000" w:themeColor="text1"/>
          <w:lang w:val="fr-FR"/>
        </w:rPr>
      </w:pPr>
      <w:r w:rsidRPr="00AB4DCC">
        <w:rPr>
          <w:lang w:val="fr-FR"/>
        </w:rPr>
        <w:t>v)</w:t>
      </w:r>
      <w:r w:rsidRPr="00AB4DCC">
        <w:rPr>
          <w:lang w:val="fr-FR"/>
        </w:rPr>
        <w:tab/>
        <w:t>Le système de gestion du groupe motopropulseur du véhicule fonctionne correctement</w:t>
      </w:r>
      <w:r w:rsidR="00AB6B32">
        <w:rPr>
          <w:lang w:val="fr-FR"/>
        </w:rPr>
        <w:t> ;</w:t>
      </w:r>
    </w:p>
    <w:p w14:paraId="4565D5B2" w14:textId="47CB26D2" w:rsidR="00A20ACD" w:rsidRPr="00AB4DCC" w:rsidRDefault="00A20ACD" w:rsidP="004560AA">
      <w:pPr>
        <w:pStyle w:val="SingleTxtG"/>
        <w:keepNext/>
        <w:ind w:left="2835" w:hanging="567"/>
        <w:rPr>
          <w:lang w:val="fr-FR"/>
        </w:rPr>
      </w:pPr>
      <w:r w:rsidRPr="00AB4DCC">
        <w:rPr>
          <w:lang w:val="fr-FR"/>
        </w:rPr>
        <w:t>c)</w:t>
      </w:r>
      <w:r w:rsidRPr="00AB4DCC">
        <w:rPr>
          <w:lang w:val="fr-FR"/>
        </w:rPr>
        <w:tab/>
        <w:t>Les capacités de détection ne soient gênées par aucun facteur externe, à savoir</w:t>
      </w:r>
      <w:r w:rsidR="00AB6B32">
        <w:rPr>
          <w:lang w:val="fr-FR"/>
        </w:rPr>
        <w:t> :</w:t>
      </w:r>
    </w:p>
    <w:p w14:paraId="6EC3F344" w14:textId="6B7D72D9" w:rsidR="00A20ACD" w:rsidRPr="00AB4DCC" w:rsidRDefault="00A20ACD" w:rsidP="00571A25">
      <w:pPr>
        <w:pStyle w:val="SingleTxtG"/>
        <w:ind w:left="3402" w:hanging="567"/>
        <w:rPr>
          <w:bCs/>
          <w:color w:val="000000" w:themeColor="text1"/>
          <w:lang w:val="fr-FR"/>
        </w:rPr>
      </w:pPr>
      <w:r w:rsidRPr="00AB4DCC">
        <w:rPr>
          <w:lang w:val="fr-FR"/>
        </w:rPr>
        <w:t>i)</w:t>
      </w:r>
      <w:r w:rsidRPr="00AB4DCC">
        <w:rPr>
          <w:lang w:val="fr-FR"/>
        </w:rPr>
        <w:tab/>
        <w:t>L’éclairement ambiant est d’au moins 1</w:t>
      </w:r>
      <w:r w:rsidR="004560AA">
        <w:rPr>
          <w:lang w:val="fr-FR"/>
        </w:rPr>
        <w:t> </w:t>
      </w:r>
      <w:r w:rsidRPr="00AB4DCC">
        <w:rPr>
          <w:lang w:val="fr-FR"/>
        </w:rPr>
        <w:t>000</w:t>
      </w:r>
      <w:r w:rsidR="004560AA">
        <w:rPr>
          <w:lang w:val="fr-FR"/>
        </w:rPr>
        <w:t xml:space="preserve"> l</w:t>
      </w:r>
      <w:r w:rsidRPr="00AB4DCC">
        <w:rPr>
          <w:lang w:val="fr-FR"/>
        </w:rPr>
        <w:t>ux et il n’y a pas d’éblouissement extrême des capteurs (causé par exemple par le soleil ou un environnement hautement réfléchissant pour le radar)</w:t>
      </w:r>
      <w:r w:rsidR="00AB6B32">
        <w:rPr>
          <w:lang w:val="fr-FR"/>
        </w:rPr>
        <w:t> ;</w:t>
      </w:r>
    </w:p>
    <w:p w14:paraId="6E585D3A" w14:textId="49074BBE" w:rsidR="00A20ACD" w:rsidRPr="00AB4DCC" w:rsidRDefault="00A20ACD" w:rsidP="00571A25">
      <w:pPr>
        <w:pStyle w:val="SingleTxtG"/>
        <w:ind w:left="3402" w:hanging="567"/>
        <w:rPr>
          <w:bCs/>
          <w:color w:val="000000" w:themeColor="text1"/>
          <w:lang w:val="fr-FR"/>
        </w:rPr>
      </w:pPr>
      <w:bookmarkStart w:id="3" w:name="_Hlk90568422"/>
      <w:r w:rsidRPr="00AB4DCC">
        <w:rPr>
          <w:lang w:val="fr-FR"/>
        </w:rPr>
        <w:t>ii)</w:t>
      </w:r>
      <w:r w:rsidRPr="00AB4DCC">
        <w:rPr>
          <w:lang w:val="fr-FR"/>
        </w:rPr>
        <w:tab/>
        <w:t>La surface équivalente radar ou la forme/silhouette du véhicule cible n’est pas hors norme (par exemple inférieure au 5</w:t>
      </w:r>
      <w:r w:rsidRPr="00AB4DCC">
        <w:rPr>
          <w:vertAlign w:val="superscript"/>
          <w:lang w:val="fr-FR"/>
        </w:rPr>
        <w:t>e</w:t>
      </w:r>
      <w:r w:rsidR="004560AA">
        <w:rPr>
          <w:lang w:val="fr-FR"/>
        </w:rPr>
        <w:t> </w:t>
      </w:r>
      <w:r w:rsidRPr="00AB4DCC">
        <w:rPr>
          <w:lang w:val="fr-FR"/>
        </w:rPr>
        <w:t>centile de la surface équivalente radar pour l’ensemble des véhicules de la catégorie M</w:t>
      </w:r>
      <w:r w:rsidRPr="00AB4DCC">
        <w:rPr>
          <w:vertAlign w:val="subscript"/>
          <w:lang w:val="fr-FR"/>
        </w:rPr>
        <w:t>1</w:t>
      </w:r>
      <w:r w:rsidRPr="00AB4DCC">
        <w:rPr>
          <w:lang w:val="fr-FR"/>
        </w:rPr>
        <w:t>)</w:t>
      </w:r>
      <w:r w:rsidR="00AB6B32">
        <w:rPr>
          <w:lang w:val="fr-FR"/>
        </w:rPr>
        <w:t> ;</w:t>
      </w:r>
    </w:p>
    <w:bookmarkEnd w:id="3"/>
    <w:p w14:paraId="4EFD7F11" w14:textId="683DE0C8" w:rsidR="00A20ACD" w:rsidRPr="00AB4DCC" w:rsidRDefault="00A20ACD" w:rsidP="00571A25">
      <w:pPr>
        <w:pStyle w:val="SingleTxtG"/>
        <w:ind w:left="3402" w:hanging="567"/>
        <w:rPr>
          <w:bCs/>
          <w:color w:val="000000" w:themeColor="text1"/>
          <w:lang w:val="fr-FR"/>
        </w:rPr>
      </w:pPr>
      <w:r w:rsidRPr="00AB4DCC">
        <w:rPr>
          <w:lang w:val="fr-FR"/>
        </w:rPr>
        <w:t>iii)</w:t>
      </w:r>
      <w:r w:rsidRPr="00AB4DCC">
        <w:rPr>
          <w:lang w:val="fr-FR"/>
        </w:rPr>
        <w:tab/>
        <w:t>Les capacités de détection du véhicule ne sont gênées par aucune condition atmosphérique particulière (forte pluie, brouillard épais, neige, poussière)</w:t>
      </w:r>
      <w:r w:rsidR="00AB6B32">
        <w:rPr>
          <w:lang w:val="fr-FR"/>
        </w:rPr>
        <w:t> ;</w:t>
      </w:r>
    </w:p>
    <w:p w14:paraId="6E0098E6" w14:textId="7C4A9E3F" w:rsidR="00A20ACD" w:rsidRPr="00AB4DCC" w:rsidRDefault="00A20ACD" w:rsidP="00571A25">
      <w:pPr>
        <w:pStyle w:val="SingleTxtG"/>
        <w:ind w:left="3402" w:hanging="567"/>
        <w:rPr>
          <w:bCs/>
          <w:color w:val="000000" w:themeColor="text1"/>
          <w:lang w:val="fr-FR"/>
        </w:rPr>
      </w:pPr>
      <w:r w:rsidRPr="00AB4DCC">
        <w:rPr>
          <w:lang w:val="fr-FR"/>
        </w:rPr>
        <w:t>iv)</w:t>
      </w:r>
      <w:r w:rsidRPr="00AB4DCC">
        <w:rPr>
          <w:lang w:val="fr-FR"/>
        </w:rPr>
        <w:tab/>
        <w:t>Il n’y a pas d’obstacle en hauteur à proximité du haut de l’habitacle du véhicule</w:t>
      </w:r>
      <w:r w:rsidR="00AB6B32">
        <w:rPr>
          <w:lang w:val="fr-FR"/>
        </w:rPr>
        <w:t> ;</w:t>
      </w:r>
    </w:p>
    <w:p w14:paraId="27F694B6" w14:textId="4489E545" w:rsidR="00A20ACD" w:rsidRPr="00AB4DCC" w:rsidRDefault="00A20ACD" w:rsidP="004560AA">
      <w:pPr>
        <w:pStyle w:val="SingleTxtG"/>
        <w:keepNext/>
        <w:ind w:left="2835" w:hanging="567"/>
        <w:rPr>
          <w:lang w:val="fr-FR"/>
        </w:rPr>
      </w:pPr>
      <w:r w:rsidRPr="00AB4DCC">
        <w:rPr>
          <w:lang w:val="fr-FR"/>
        </w:rPr>
        <w:t>d)</w:t>
      </w:r>
      <w:r w:rsidRPr="00AB4DCC">
        <w:rPr>
          <w:lang w:val="fr-FR"/>
        </w:rPr>
        <w:tab/>
        <w:t>La situation soit claire, à savoir</w:t>
      </w:r>
      <w:r w:rsidR="00AB6B32">
        <w:rPr>
          <w:lang w:val="fr-FR"/>
        </w:rPr>
        <w:t> :</w:t>
      </w:r>
    </w:p>
    <w:p w14:paraId="39B3C5FC" w14:textId="5298E8CC" w:rsidR="00A20ACD" w:rsidRPr="00AB4DCC" w:rsidRDefault="00A20ACD" w:rsidP="00571A25">
      <w:pPr>
        <w:pStyle w:val="SingleTxtG"/>
        <w:ind w:left="3402" w:hanging="567"/>
        <w:rPr>
          <w:bCs/>
          <w:color w:val="000000" w:themeColor="text1"/>
          <w:lang w:val="fr-FR"/>
        </w:rPr>
      </w:pPr>
      <w:r w:rsidRPr="00AB4DCC">
        <w:rPr>
          <w:lang w:val="fr-FR"/>
        </w:rPr>
        <w:t>i)</w:t>
      </w:r>
      <w:r w:rsidRPr="00AB4DCC">
        <w:rPr>
          <w:lang w:val="fr-FR"/>
        </w:rPr>
        <w:tab/>
        <w:t>L’obstacle est immobile, clairement visible et distinct des autres objets se trouvant dans le sens de la marche</w:t>
      </w:r>
      <w:r w:rsidR="00AB6B32">
        <w:rPr>
          <w:lang w:val="fr-FR"/>
        </w:rPr>
        <w:t> ;</w:t>
      </w:r>
    </w:p>
    <w:p w14:paraId="40BF3368" w14:textId="4520358E" w:rsidR="00A20ACD" w:rsidRPr="00AB4DCC" w:rsidRDefault="00A20ACD" w:rsidP="00571A25">
      <w:pPr>
        <w:pStyle w:val="SingleTxtG"/>
        <w:ind w:left="3402" w:hanging="567"/>
        <w:rPr>
          <w:bCs/>
          <w:color w:val="000000" w:themeColor="text1"/>
          <w:lang w:val="fr-FR"/>
        </w:rPr>
      </w:pPr>
      <w:r w:rsidRPr="00AB4DCC">
        <w:rPr>
          <w:lang w:val="fr-FR"/>
        </w:rPr>
        <w:t>ii)</w:t>
      </w:r>
      <w:r w:rsidRPr="00AB4DCC">
        <w:rPr>
          <w:lang w:val="fr-FR"/>
        </w:rPr>
        <w:tab/>
        <w:t>Le décalage latéral entre l’axe de l’obstacle et l’axe du véhicule est inférieur à 0,2 m</w:t>
      </w:r>
      <w:r w:rsidR="00AB6B32">
        <w:rPr>
          <w:lang w:val="fr-FR"/>
        </w:rPr>
        <w:t> ;</w:t>
      </w:r>
    </w:p>
    <w:p w14:paraId="0223F4FA" w14:textId="21748E85" w:rsidR="00A20ACD" w:rsidRPr="00AB4DCC" w:rsidRDefault="00A20ACD" w:rsidP="00571A25">
      <w:pPr>
        <w:pStyle w:val="SingleTxtG"/>
        <w:ind w:left="3402" w:hanging="567"/>
        <w:rPr>
          <w:bCs/>
          <w:color w:val="000000" w:themeColor="text1"/>
          <w:lang w:val="fr-FR"/>
        </w:rPr>
      </w:pPr>
      <w:r w:rsidRPr="00AB4DCC">
        <w:rPr>
          <w:lang w:val="fr-FR"/>
        </w:rPr>
        <w:t>iii)</w:t>
      </w:r>
      <w:r w:rsidRPr="00AB4DCC">
        <w:rPr>
          <w:lang w:val="fr-FR"/>
        </w:rPr>
        <w:tab/>
        <w:t>La trajectoire est rectiligne, sans virage, et le véhicule ne tourne pas à une intersection et reste dans sa voie</w:t>
      </w:r>
      <w:r w:rsidR="00AB6B32">
        <w:rPr>
          <w:lang w:val="fr-FR"/>
        </w:rPr>
        <w:t> ;</w:t>
      </w:r>
    </w:p>
    <w:p w14:paraId="3879C648" w14:textId="77777777" w:rsidR="00A20ACD" w:rsidRPr="00AB4DCC" w:rsidRDefault="00A20ACD" w:rsidP="00571A25">
      <w:pPr>
        <w:pStyle w:val="SingleTxtG"/>
        <w:ind w:left="3402" w:hanging="567"/>
        <w:rPr>
          <w:bCs/>
          <w:color w:val="000000" w:themeColor="text1"/>
          <w:lang w:val="fr-FR"/>
        </w:rPr>
      </w:pPr>
      <w:r w:rsidRPr="00AB4DCC">
        <w:rPr>
          <w:lang w:val="fr-FR"/>
        </w:rPr>
        <w:t>iv)</w:t>
      </w:r>
      <w:r w:rsidRPr="00AB4DCC">
        <w:rPr>
          <w:lang w:val="fr-FR"/>
        </w:rPr>
        <w:tab/>
        <w:t>L’obstacle est un véhicule de catégorie M</w:t>
      </w:r>
      <w:r w:rsidRPr="00AB4DCC">
        <w:rPr>
          <w:vertAlign w:val="subscript"/>
          <w:lang w:val="fr-FR"/>
        </w:rPr>
        <w:t>1</w:t>
      </w:r>
      <w:r w:rsidRPr="00AB4DCC">
        <w:rPr>
          <w:lang w:val="fr-FR"/>
        </w:rPr>
        <w:t xml:space="preserve"> ou une structure semblable à un mur d’une largeur d’au moins 2,0 m et d’une hauteur d’au moins 1,0 m.</w:t>
      </w:r>
    </w:p>
    <w:p w14:paraId="32B8791F" w14:textId="13A69D01" w:rsidR="00A20ACD" w:rsidRPr="00AB4DCC" w:rsidRDefault="00A20ACD" w:rsidP="00571A25">
      <w:pPr>
        <w:pStyle w:val="SingleTxtG"/>
        <w:ind w:left="2268"/>
        <w:rPr>
          <w:lang w:val="fr-FR"/>
        </w:rPr>
      </w:pPr>
      <w:r w:rsidRPr="00AB4DCC">
        <w:rPr>
          <w:lang w:val="fr-FR"/>
        </w:rPr>
        <w:t>Lorsque les conditions s’écartent de celles énumérées ci-dessus, le système ne doit pas se désactiver ni modifier de façon aberrante sa stratégie de fonctionnement. Il incombe au constructeur de le démontrer, conformément à l’annexe 3 du présent Règlement</w:t>
      </w:r>
      <w:r w:rsidR="00AB6B32">
        <w:rPr>
          <w:lang w:val="fr-FR"/>
        </w:rPr>
        <w:t> ;</w:t>
      </w:r>
      <w:r w:rsidRPr="00AB4DCC">
        <w:rPr>
          <w:lang w:val="fr-FR"/>
        </w:rPr>
        <w:t xml:space="preserve"> en outre, s’il estime que cela est utile, le service technique peut effectuer des essais dans des conditions s’écartant de celles énumérées ci-dessus ou de celles énoncées au paragraphe 6. La justification et les résultats de cet essai de vérification doivent être joints au procès-verbal d’essai.</w:t>
      </w:r>
    </w:p>
    <w:p w14:paraId="6A0B773F" w14:textId="77777777" w:rsidR="00A20ACD" w:rsidRPr="00AB4DCC" w:rsidRDefault="00A20ACD" w:rsidP="00DE2924">
      <w:pPr>
        <w:pStyle w:val="SingleTxtG"/>
        <w:ind w:left="2268" w:hanging="1134"/>
        <w:rPr>
          <w:lang w:val="fr-FR"/>
        </w:rPr>
      </w:pPr>
      <w:r w:rsidRPr="00AB4DCC">
        <w:rPr>
          <w:lang w:val="fr-FR"/>
        </w:rPr>
        <w:t>5.1.6</w:t>
      </w:r>
      <w:r w:rsidRPr="00AB4DCC">
        <w:rPr>
          <w:lang w:val="fr-FR"/>
        </w:rPr>
        <w:tab/>
        <w:t>Si la collision n’a pas pu pas être évitée, la vitesse au moment de la collision ne doit pas être supérieure de plus de 8 km/h de la vitesse à laquelle roulait le véhicule au moment où les conditions de déclenchement énoncées au paragraphe 5.1.2 ont été remplies.</w:t>
      </w:r>
    </w:p>
    <w:p w14:paraId="54EA95AF" w14:textId="08B37031" w:rsidR="00A20ACD" w:rsidRPr="00AB4DCC" w:rsidRDefault="00A20ACD" w:rsidP="00571A25">
      <w:pPr>
        <w:pStyle w:val="SingleTxtG"/>
        <w:ind w:left="2268"/>
        <w:rPr>
          <w:lang w:val="fr-FR"/>
        </w:rPr>
      </w:pPr>
      <w:r w:rsidRPr="00AB4DCC">
        <w:rPr>
          <w:lang w:val="fr-FR"/>
        </w:rPr>
        <w:t>En outre, la vitesse de collision ne doit pas dépasser 70</w:t>
      </w:r>
      <w:r w:rsidR="004560AA">
        <w:rPr>
          <w:lang w:val="fr-FR"/>
        </w:rPr>
        <w:t> %</w:t>
      </w:r>
      <w:r w:rsidRPr="00AB4DCC">
        <w:rPr>
          <w:lang w:val="fr-FR"/>
        </w:rPr>
        <w:t xml:space="preserve"> de la vitesse que le véhicule aurait eue dans la même position et dans les mêmes circonstances, mais sans le déclenchement du système ACPE.</w:t>
      </w:r>
    </w:p>
    <w:p w14:paraId="467D46B2" w14:textId="77777777" w:rsidR="00A20ACD" w:rsidRPr="00AB4DCC" w:rsidRDefault="00A20ACD" w:rsidP="00DE2924">
      <w:pPr>
        <w:pStyle w:val="SingleTxtG"/>
        <w:ind w:left="2268" w:hanging="1134"/>
        <w:rPr>
          <w:lang w:val="fr-FR"/>
        </w:rPr>
      </w:pPr>
      <w:bookmarkStart w:id="4" w:name="OLE_LINK11"/>
      <w:r w:rsidRPr="00AB4DCC">
        <w:rPr>
          <w:lang w:val="fr-FR"/>
        </w:rPr>
        <w:t>5.1.7</w:t>
      </w:r>
      <w:r w:rsidRPr="00AB4DCC">
        <w:rPr>
          <w:lang w:val="fr-FR"/>
        </w:rPr>
        <w:tab/>
        <w:t>Pendant toute l’intervention, l’accélération du véhicule doit rester limitée par le système ACPE. L’intervention s’achève lorsque l’obstacle n’est plus détecté ou que le conducteur interrompt la fonction. Le constructeur doit déclarer au service technique les conditions dans lesquelles le système ACPE continue de fonctionner.</w:t>
      </w:r>
    </w:p>
    <w:bookmarkEnd w:id="4"/>
    <w:p w14:paraId="4F0DF8A0" w14:textId="77777777" w:rsidR="00A20ACD" w:rsidRPr="00AB4DCC" w:rsidRDefault="00A20ACD" w:rsidP="00DE2924">
      <w:pPr>
        <w:pStyle w:val="SingleTxtG"/>
        <w:ind w:left="2268" w:hanging="1134"/>
        <w:rPr>
          <w:lang w:val="fr-FR"/>
        </w:rPr>
      </w:pPr>
      <w:r w:rsidRPr="00AB4DCC">
        <w:rPr>
          <w:lang w:val="fr-FR"/>
        </w:rPr>
        <w:t>5.1.8</w:t>
      </w:r>
      <w:r w:rsidRPr="00AB4DCC">
        <w:rPr>
          <w:lang w:val="fr-FR"/>
        </w:rPr>
        <w:tab/>
        <w:t>L’efficacité du système ACPE ne doit pas être altérée par des champs magnétiques ou électriques. Cette condition est remplie s’il est satisfait aux prescriptions techniques et aux dispositions transitoires de la série 06 ou d’une série ultérieure d’amendements au Règlement ONU n</w:t>
      </w:r>
      <w:r w:rsidRPr="00AB4DCC">
        <w:rPr>
          <w:vertAlign w:val="superscript"/>
          <w:lang w:val="fr-FR"/>
        </w:rPr>
        <w:t>o</w:t>
      </w:r>
      <w:r w:rsidRPr="00AB4DCC">
        <w:rPr>
          <w:lang w:val="fr-FR"/>
        </w:rPr>
        <w:t> 10.</w:t>
      </w:r>
    </w:p>
    <w:p w14:paraId="6607E36C" w14:textId="77777777" w:rsidR="00A20ACD" w:rsidRPr="00AB4DCC" w:rsidRDefault="00A20ACD" w:rsidP="00DE2924">
      <w:pPr>
        <w:pStyle w:val="SingleTxtG"/>
        <w:ind w:left="2268" w:hanging="1134"/>
        <w:rPr>
          <w:lang w:val="fr-FR"/>
        </w:rPr>
      </w:pPr>
      <w:r w:rsidRPr="00AB4DCC">
        <w:rPr>
          <w:lang w:val="fr-FR"/>
        </w:rPr>
        <w:t>5.1.9</w:t>
      </w:r>
      <w:r w:rsidRPr="00AB4DCC">
        <w:rPr>
          <w:lang w:val="fr-FR"/>
        </w:rPr>
        <w:tab/>
        <w:t>La conformité aux éléments des systèmes de commande électronique ayant trait à la sécurité doit être démontrée en satisfaisant aux prescriptions énoncées à l’annexe 3.</w:t>
      </w:r>
    </w:p>
    <w:p w14:paraId="57AC8325" w14:textId="77777777" w:rsidR="00A20ACD" w:rsidRPr="00AB4DCC" w:rsidRDefault="00A20ACD" w:rsidP="00DE2924">
      <w:pPr>
        <w:pStyle w:val="SingleTxtG"/>
        <w:ind w:left="2268" w:hanging="1134"/>
        <w:rPr>
          <w:lang w:val="fr-FR"/>
        </w:rPr>
      </w:pPr>
      <w:r w:rsidRPr="00AB4DCC">
        <w:rPr>
          <w:lang w:val="fr-FR"/>
        </w:rPr>
        <w:t>5.1.10</w:t>
      </w:r>
      <w:r w:rsidRPr="00AB4DCC">
        <w:rPr>
          <w:lang w:val="fr-FR"/>
        </w:rPr>
        <w:tab/>
        <w:t>Le système ACPE doit informer le conducteur de son intervention conformément au paragraphe 5.4.2.</w:t>
      </w:r>
    </w:p>
    <w:p w14:paraId="10300546" w14:textId="77777777" w:rsidR="00A20ACD" w:rsidRPr="00AB4DCC" w:rsidRDefault="00A20ACD" w:rsidP="00DE2924">
      <w:pPr>
        <w:pStyle w:val="SingleTxtG"/>
        <w:ind w:left="2268" w:hanging="1134"/>
        <w:rPr>
          <w:lang w:val="fr-FR"/>
        </w:rPr>
      </w:pPr>
      <w:r w:rsidRPr="00AB4DCC">
        <w:rPr>
          <w:lang w:val="fr-FR"/>
        </w:rPr>
        <w:t>5.1.11</w:t>
      </w:r>
      <w:r w:rsidRPr="00AB4DCC">
        <w:rPr>
          <w:lang w:val="fr-FR"/>
        </w:rPr>
        <w:tab/>
        <w:t>Interruption du système ACPE par le conducteur</w:t>
      </w:r>
    </w:p>
    <w:p w14:paraId="1D471850" w14:textId="77777777" w:rsidR="00A20ACD" w:rsidRPr="00AB4DCC" w:rsidRDefault="00A20ACD" w:rsidP="00DE2924">
      <w:pPr>
        <w:pStyle w:val="SingleTxtG"/>
        <w:ind w:left="2268" w:hanging="1134"/>
        <w:rPr>
          <w:lang w:val="fr-FR"/>
        </w:rPr>
      </w:pPr>
      <w:r w:rsidRPr="00AB4DCC">
        <w:rPr>
          <w:lang w:val="fr-FR"/>
        </w:rPr>
        <w:t>5.1.11.1</w:t>
      </w:r>
      <w:r w:rsidRPr="00AB4DCC">
        <w:rPr>
          <w:lang w:val="fr-FR"/>
        </w:rPr>
        <w:tab/>
        <w:t>Le système ACPE doit permettre au conducteur d’interrompre l’intervention. Cette interruption doit être déclenchée par toute action intentionnelle indiquant que le conducteur a pris conscience de la situation.</w:t>
      </w:r>
    </w:p>
    <w:p w14:paraId="4B7C6C49" w14:textId="77777777" w:rsidR="00A20ACD" w:rsidRPr="00AB4DCC" w:rsidRDefault="00A20ACD" w:rsidP="00DE2924">
      <w:pPr>
        <w:pStyle w:val="SingleTxtG"/>
        <w:ind w:left="2268" w:hanging="1134"/>
        <w:rPr>
          <w:lang w:val="fr-FR"/>
        </w:rPr>
      </w:pPr>
      <w:r w:rsidRPr="00AB4DCC">
        <w:rPr>
          <w:lang w:val="fr-FR"/>
        </w:rPr>
        <w:t>5.1.11.2</w:t>
      </w:r>
      <w:r w:rsidRPr="00AB4DCC">
        <w:rPr>
          <w:lang w:val="fr-FR"/>
        </w:rPr>
        <w:tab/>
        <w:t>En cas d’interruption déclenchée par le maintien de la commande d’accélérateur, il ne doit pas y avoir d’augmentation rapide de l’accélération.</w:t>
      </w:r>
    </w:p>
    <w:p w14:paraId="7F530156" w14:textId="77777777" w:rsidR="00A20ACD" w:rsidRPr="00AB4DCC" w:rsidRDefault="00A20ACD" w:rsidP="00DE2924">
      <w:pPr>
        <w:pStyle w:val="SingleTxtG"/>
        <w:ind w:left="2268" w:hanging="1134"/>
        <w:rPr>
          <w:lang w:val="fr-FR"/>
        </w:rPr>
      </w:pPr>
      <w:r w:rsidRPr="00AB4DCC">
        <w:rPr>
          <w:lang w:val="fr-FR"/>
        </w:rPr>
        <w:t>5.1.11.3</w:t>
      </w:r>
      <w:r w:rsidRPr="00AB4DCC">
        <w:rPr>
          <w:lang w:val="fr-FR"/>
        </w:rPr>
        <w:tab/>
        <w:t>Le respect de ces prescriptions doit être étayé par des documents et démontré par le constructeur à l’autorité d’homologation lors de l’inspection du concept de sécurité dans le cadre de l’évaluation prévue à l’annexe 3.</w:t>
      </w:r>
    </w:p>
    <w:p w14:paraId="2E6731C3" w14:textId="77777777" w:rsidR="00A20ACD" w:rsidRPr="00AB4DCC" w:rsidRDefault="00A20ACD" w:rsidP="00DE2924">
      <w:pPr>
        <w:pStyle w:val="SingleTxtG"/>
        <w:ind w:left="2268" w:hanging="1134"/>
        <w:rPr>
          <w:bCs/>
          <w:lang w:val="fr-FR"/>
        </w:rPr>
      </w:pPr>
      <w:r w:rsidRPr="00AB4DCC">
        <w:rPr>
          <w:lang w:val="fr-FR"/>
        </w:rPr>
        <w:t>5.1.12</w:t>
      </w:r>
      <w:r w:rsidRPr="00AB4DCC">
        <w:rPr>
          <w:lang w:val="fr-FR"/>
        </w:rPr>
        <w:tab/>
        <w:t>Les prescriptions fonctionnelles doivent être vérifiées en suivant la procédure d’essai décrite à la section 6.</w:t>
      </w:r>
    </w:p>
    <w:p w14:paraId="47ECC082" w14:textId="77777777" w:rsidR="00A20ACD" w:rsidRPr="00AB4DCC" w:rsidRDefault="00A20ACD" w:rsidP="00DE2924">
      <w:pPr>
        <w:pStyle w:val="SingleTxtG"/>
        <w:ind w:left="2268" w:hanging="1134"/>
        <w:rPr>
          <w:bCs/>
          <w:lang w:val="fr-FR"/>
        </w:rPr>
      </w:pPr>
      <w:r w:rsidRPr="00AB4DCC">
        <w:rPr>
          <w:lang w:val="fr-FR"/>
        </w:rPr>
        <w:t>5.2</w:t>
      </w:r>
      <w:r w:rsidRPr="00AB4DCC">
        <w:rPr>
          <w:lang w:val="fr-FR"/>
        </w:rPr>
        <w:tab/>
        <w:t>Désactivation</w:t>
      </w:r>
    </w:p>
    <w:p w14:paraId="60A21DAE" w14:textId="77777777" w:rsidR="00A20ACD" w:rsidRPr="00AB4DCC" w:rsidRDefault="00A20ACD" w:rsidP="00DE2924">
      <w:pPr>
        <w:pStyle w:val="SingleTxtG"/>
        <w:ind w:left="2268" w:hanging="1134"/>
        <w:rPr>
          <w:bCs/>
          <w:lang w:val="fr-FR"/>
        </w:rPr>
      </w:pPr>
      <w:bookmarkStart w:id="5" w:name="OLE_LINK18"/>
      <w:bookmarkStart w:id="6" w:name="OLE_LINK19"/>
      <w:r w:rsidRPr="00AB4DCC">
        <w:rPr>
          <w:lang w:val="fr-FR"/>
        </w:rPr>
        <w:t>5.2.1</w:t>
      </w:r>
      <w:r w:rsidRPr="00AB4DCC">
        <w:rPr>
          <w:lang w:val="fr-FR"/>
        </w:rPr>
        <w:tab/>
        <w:t>Désactivation à court terme</w:t>
      </w:r>
    </w:p>
    <w:bookmarkEnd w:id="5"/>
    <w:p w14:paraId="46598FFA" w14:textId="77777777" w:rsidR="00A20ACD" w:rsidRPr="00AB4DCC" w:rsidRDefault="00A20ACD" w:rsidP="00571A25">
      <w:pPr>
        <w:pStyle w:val="SingleTxtG"/>
        <w:ind w:left="2268"/>
        <w:rPr>
          <w:lang w:val="fr-FR"/>
        </w:rPr>
      </w:pPr>
      <w:r w:rsidRPr="00AB4DCC">
        <w:rPr>
          <w:lang w:val="fr-FR"/>
        </w:rPr>
        <w:t>Lorsqu’un véhicule est équipé d’un dispositif permettant de désactiver manuellement le système ACPE, ce dernier doit être réactivé automatiquement à chaque nouveau démarrage du moteur (ou à chaque nouveau cycle de fonctionnement, selon le cas).</w:t>
      </w:r>
    </w:p>
    <w:p w14:paraId="74F535A5" w14:textId="77777777" w:rsidR="00A20ACD" w:rsidRPr="00AB4DCC" w:rsidRDefault="00A20ACD" w:rsidP="00571A25">
      <w:pPr>
        <w:pStyle w:val="SingleTxtG"/>
        <w:ind w:left="2268"/>
        <w:rPr>
          <w:lang w:val="fr-FR"/>
        </w:rPr>
      </w:pPr>
      <w:r w:rsidRPr="00AB4DCC">
        <w:rPr>
          <w:lang w:val="fr-FR"/>
        </w:rPr>
        <w:t>Cette prescription n’est pas applicable aux redémarrages (ou nouveaux cycles de fonctionnement, selon le cas) qui surviennent automatiquement en raison, par exemple, du fonctionnement d’un système arrêt-démarrage automatique.</w:t>
      </w:r>
    </w:p>
    <w:bookmarkEnd w:id="6"/>
    <w:p w14:paraId="7E17F43F" w14:textId="77777777" w:rsidR="00A20ACD" w:rsidRPr="00AB4DCC" w:rsidRDefault="00A20ACD" w:rsidP="00571A25">
      <w:pPr>
        <w:pStyle w:val="SingleTxtG"/>
        <w:ind w:left="2268"/>
        <w:rPr>
          <w:lang w:val="fr-FR"/>
        </w:rPr>
      </w:pPr>
      <w:r w:rsidRPr="00AB4DCC">
        <w:rPr>
          <w:lang w:val="fr-FR"/>
        </w:rPr>
        <w:t>Le conducteur doit être averti de la désactivation du système au moins au moment où elle se produit.</w:t>
      </w:r>
    </w:p>
    <w:p w14:paraId="78021815" w14:textId="77777777" w:rsidR="00A20ACD" w:rsidRPr="00AB4DCC" w:rsidRDefault="00A20ACD" w:rsidP="00DE2924">
      <w:pPr>
        <w:pStyle w:val="SingleTxtG"/>
        <w:ind w:left="2268" w:hanging="1134"/>
        <w:rPr>
          <w:color w:val="000000" w:themeColor="text1"/>
          <w:lang w:val="fr-FR"/>
        </w:rPr>
      </w:pPr>
      <w:bookmarkStart w:id="7" w:name="OLE_LINK14"/>
      <w:r w:rsidRPr="00AB4DCC">
        <w:rPr>
          <w:lang w:val="fr-FR"/>
        </w:rPr>
        <w:t>5.2.2</w:t>
      </w:r>
      <w:r w:rsidRPr="00AB4DCC">
        <w:rPr>
          <w:lang w:val="fr-FR"/>
        </w:rPr>
        <w:tab/>
        <w:t>Désactivation à long terme</w:t>
      </w:r>
    </w:p>
    <w:p w14:paraId="0362DFEF" w14:textId="6B04558D" w:rsidR="00A20ACD" w:rsidRPr="00AB4DCC" w:rsidRDefault="00A20ACD" w:rsidP="00571A25">
      <w:pPr>
        <w:pStyle w:val="SingleTxtG"/>
        <w:ind w:left="2268"/>
        <w:rPr>
          <w:rFonts w:eastAsia="Calibri"/>
          <w:color w:val="000000" w:themeColor="text1"/>
          <w:lang w:val="fr-FR"/>
        </w:rPr>
      </w:pPr>
      <w:r w:rsidRPr="00AB4DCC">
        <w:rPr>
          <w:lang w:val="fr-FR"/>
        </w:rPr>
        <w:t>Nonobstant le paragraphe 5.2.1, un véhicule peut être équipé d’un dispositif de désactivation à long terme permettant de désactiver manuellement le système ACPE</w:t>
      </w:r>
      <w:r w:rsidR="00AB6B32">
        <w:rPr>
          <w:lang w:val="fr-FR"/>
        </w:rPr>
        <w:t> ;</w:t>
      </w:r>
      <w:r w:rsidRPr="00AB4DCC">
        <w:rPr>
          <w:lang w:val="fr-FR"/>
        </w:rPr>
        <w:t xml:space="preserve"> dans ce cas, le système ne doit pas être réactivé à chaque nouveau démarrage du moteur (ou à chaque nouveau cycle de fonctionnement, selon le cas). Toutefois, le système doit informer le conducteur de sa désactivation de l’une des trois manières suivantes</w:t>
      </w:r>
      <w:r w:rsidR="00AB6B32">
        <w:rPr>
          <w:lang w:val="fr-FR"/>
        </w:rPr>
        <w:t> :</w:t>
      </w:r>
    </w:p>
    <w:p w14:paraId="03358282" w14:textId="26CE182E" w:rsidR="00A20ACD" w:rsidRPr="00AB4DCC" w:rsidRDefault="00A20ACD" w:rsidP="00571A25">
      <w:pPr>
        <w:pStyle w:val="SingleTxtG"/>
        <w:ind w:left="2835" w:hanging="567"/>
        <w:rPr>
          <w:lang w:val="fr-FR"/>
        </w:rPr>
      </w:pPr>
      <w:r w:rsidRPr="00AB4DCC">
        <w:rPr>
          <w:lang w:val="fr-FR"/>
        </w:rPr>
        <w:t>a)</w:t>
      </w:r>
      <w:r w:rsidRPr="00AB4DCC">
        <w:rPr>
          <w:lang w:val="fr-FR"/>
        </w:rPr>
        <w:tab/>
        <w:t>Un témoin lumineux continu doit informer le conducteur du fait que le système ACPE a été désactivé. Le témoin lumineux jaune mentionné au paragraphe 5.4.3 peut être utilisé à cette fin</w:t>
      </w:r>
      <w:r w:rsidR="00AB6B32">
        <w:rPr>
          <w:lang w:val="fr-FR"/>
        </w:rPr>
        <w:t> ;</w:t>
      </w:r>
    </w:p>
    <w:p w14:paraId="36DC6EEC" w14:textId="27932330" w:rsidR="00A20ACD" w:rsidRPr="00AB4DCC" w:rsidRDefault="00A20ACD" w:rsidP="00571A25">
      <w:pPr>
        <w:pStyle w:val="SingleTxtG"/>
        <w:ind w:left="2835" w:hanging="567"/>
        <w:rPr>
          <w:color w:val="000000" w:themeColor="text1"/>
          <w:lang w:val="fr-FR"/>
        </w:rPr>
      </w:pPr>
      <w:r w:rsidRPr="00AB4DCC">
        <w:rPr>
          <w:lang w:val="fr-FR"/>
        </w:rPr>
        <w:t>b)</w:t>
      </w:r>
      <w:r w:rsidRPr="00AB4DCC">
        <w:rPr>
          <w:lang w:val="fr-FR"/>
        </w:rPr>
        <w:tab/>
        <w:t>Le conducteur doit régulièrement être informé du fait que le système est désactivé. Dans ce cas, cette information doit être donnée pendant au moins 10</w:t>
      </w:r>
      <w:r w:rsidR="004560AA">
        <w:rPr>
          <w:lang w:val="fr-FR"/>
        </w:rPr>
        <w:t> </w:t>
      </w:r>
      <w:r w:rsidRPr="00AB4DCC">
        <w:rPr>
          <w:lang w:val="fr-FR"/>
        </w:rPr>
        <w:t>s ou jusqu’à ce que le conducteur confirme l’avoir reçue.</w:t>
      </w:r>
      <w:bookmarkStart w:id="8" w:name="OLE_LINK15"/>
    </w:p>
    <w:p w14:paraId="41982855" w14:textId="51A00CAE" w:rsidR="00A20ACD" w:rsidRPr="00AB4DCC" w:rsidRDefault="00A20ACD" w:rsidP="00571A25">
      <w:pPr>
        <w:pStyle w:val="SingleTxtG"/>
        <w:ind w:left="2268"/>
        <w:rPr>
          <w:color w:val="000000" w:themeColor="text1"/>
          <w:lang w:val="fr-FR"/>
        </w:rPr>
      </w:pPr>
      <w:r w:rsidRPr="00AB4DCC">
        <w:rPr>
          <w:lang w:val="fr-FR"/>
        </w:rPr>
        <w:t>Cette information doit être donnée au moins tous les 7</w:t>
      </w:r>
      <w:r w:rsidR="004560AA">
        <w:rPr>
          <w:lang w:val="fr-FR"/>
        </w:rPr>
        <w:t> </w:t>
      </w:r>
      <w:r w:rsidRPr="00AB4DCC">
        <w:rPr>
          <w:lang w:val="fr-FR"/>
        </w:rPr>
        <w:t>jours ou tous les 10</w:t>
      </w:r>
      <w:r w:rsidR="004560AA">
        <w:rPr>
          <w:lang w:val="fr-FR"/>
        </w:rPr>
        <w:t> </w:t>
      </w:r>
      <w:r w:rsidRPr="00AB4DCC">
        <w:rPr>
          <w:lang w:val="fr-FR"/>
        </w:rPr>
        <w:t>démarrages du moteur (ou cycles de fonctionnement, selon le cas), sauf lorsqu’un nouveau démarrage du moteur (ou cycle de fonctionnement, selon le cas) survient automatiquement, en raison, par exemple, du fonctionnement d’un système arrêt-démarrage automatique. Cette information doit être distincte du signal de défaillance spécifié au paragraphe 5.4.3</w:t>
      </w:r>
      <w:r w:rsidR="00AB6B32">
        <w:rPr>
          <w:lang w:val="fr-FR"/>
        </w:rPr>
        <w:t> ;</w:t>
      </w:r>
      <w:bookmarkEnd w:id="8"/>
    </w:p>
    <w:p w14:paraId="05501222" w14:textId="76A37E53" w:rsidR="00A20ACD" w:rsidRPr="00AB4DCC" w:rsidRDefault="00A20ACD" w:rsidP="00571A25">
      <w:pPr>
        <w:pStyle w:val="SingleTxtG"/>
        <w:ind w:left="2835" w:hanging="567"/>
        <w:rPr>
          <w:color w:val="000000" w:themeColor="text1"/>
          <w:lang w:val="fr-FR"/>
        </w:rPr>
      </w:pPr>
      <w:r w:rsidRPr="00AB4DCC">
        <w:rPr>
          <w:lang w:val="fr-FR"/>
        </w:rPr>
        <w:t>c)</w:t>
      </w:r>
      <w:r w:rsidRPr="00AB4DCC">
        <w:rPr>
          <w:lang w:val="fr-FR"/>
        </w:rPr>
        <w:tab/>
        <w:t>Si la désactivation ne concerne qu’un sens de marche (avant ou arrière), un témoin lumineux continu doit s’allumer lorsque le conducteur enclenche la marche correspondante pour la première fois pendant le cycle de démarrage du moteur (ou le cycle de fonctionnement, selon le</w:t>
      </w:r>
      <w:r w:rsidR="004560AA">
        <w:rPr>
          <w:lang w:val="fr-FR"/>
        </w:rPr>
        <w:t> </w:t>
      </w:r>
      <w:r w:rsidRPr="00AB4DCC">
        <w:rPr>
          <w:lang w:val="fr-FR"/>
        </w:rPr>
        <w:t>cas).</w:t>
      </w:r>
    </w:p>
    <w:bookmarkEnd w:id="7"/>
    <w:p w14:paraId="6BD4603D" w14:textId="77777777" w:rsidR="00A20ACD" w:rsidRPr="00AB4DCC" w:rsidRDefault="00A20ACD" w:rsidP="00571A25">
      <w:pPr>
        <w:pStyle w:val="SingleTxtG"/>
        <w:ind w:left="2268"/>
        <w:rPr>
          <w:rFonts w:eastAsia="Calibri"/>
          <w:color w:val="000000" w:themeColor="text1"/>
          <w:lang w:val="fr-FR"/>
        </w:rPr>
      </w:pPr>
      <w:r w:rsidRPr="00AB4DCC">
        <w:rPr>
          <w:lang w:val="fr-FR"/>
        </w:rPr>
        <w:t>Le processus de désactivation à long terme doit être conçu de telle sorte que la désactivation ne soit possible que par deux actions volontaires au moins.</w:t>
      </w:r>
    </w:p>
    <w:p w14:paraId="4D7D05B6" w14:textId="77777777" w:rsidR="00A20ACD" w:rsidRPr="00AB4DCC" w:rsidRDefault="00A20ACD" w:rsidP="00DE2924">
      <w:pPr>
        <w:pStyle w:val="SingleTxtG"/>
        <w:ind w:left="2268" w:hanging="1134"/>
        <w:rPr>
          <w:bCs/>
          <w:lang w:val="fr-FR"/>
        </w:rPr>
      </w:pPr>
      <w:r w:rsidRPr="00AB4DCC">
        <w:rPr>
          <w:lang w:val="fr-FR"/>
        </w:rPr>
        <w:t>5.2.3</w:t>
      </w:r>
      <w:r w:rsidRPr="00AB4DCC">
        <w:rPr>
          <w:lang w:val="fr-FR"/>
        </w:rPr>
        <w:tab/>
        <w:t>Désactivation automatique</w:t>
      </w:r>
    </w:p>
    <w:p w14:paraId="5050F334" w14:textId="179B2487" w:rsidR="00A20ACD" w:rsidRPr="00AB4DCC" w:rsidRDefault="00A20ACD" w:rsidP="00DE2924">
      <w:pPr>
        <w:pStyle w:val="SingleTxtG"/>
        <w:ind w:left="2268" w:hanging="1134"/>
        <w:rPr>
          <w:bCs/>
          <w:lang w:val="fr-FR"/>
        </w:rPr>
      </w:pPr>
      <w:r w:rsidRPr="00AB4DCC">
        <w:rPr>
          <w:lang w:val="fr-FR"/>
        </w:rPr>
        <w:t>5.2.3.1</w:t>
      </w:r>
      <w:r w:rsidRPr="00AB4DCC">
        <w:rPr>
          <w:lang w:val="fr-FR"/>
        </w:rPr>
        <w:tab/>
        <w:t>Si un véhicule est équipé d’un dispositif permettant de désactiver automatiquement le système ACPE, par exemple lorsqu’il transporte un porte</w:t>
      </w:r>
      <w:r w:rsidR="004560AA">
        <w:rPr>
          <w:lang w:val="fr-FR"/>
        </w:rPr>
        <w:noBreakHyphen/>
      </w:r>
      <w:r w:rsidRPr="00AB4DCC">
        <w:rPr>
          <w:lang w:val="fr-FR"/>
        </w:rPr>
        <w:t>vélo ou tracte une remorque, les conditions ci-après doivent s’appliquer, lorsqu’il y a lieu</w:t>
      </w:r>
      <w:r w:rsidR="00AB6B32">
        <w:rPr>
          <w:lang w:val="fr-FR"/>
        </w:rPr>
        <w:t> :</w:t>
      </w:r>
    </w:p>
    <w:p w14:paraId="4C8EF4CC" w14:textId="77777777" w:rsidR="00A20ACD" w:rsidRPr="00AB4DCC" w:rsidRDefault="00A20ACD" w:rsidP="00DE2924">
      <w:pPr>
        <w:pStyle w:val="SingleTxtG"/>
        <w:ind w:left="2268" w:hanging="1134"/>
        <w:rPr>
          <w:bCs/>
          <w:lang w:val="fr-FR"/>
        </w:rPr>
      </w:pPr>
      <w:r w:rsidRPr="00AB4DCC">
        <w:rPr>
          <w:lang w:val="fr-FR"/>
        </w:rPr>
        <w:t>5.2.3.1.1</w:t>
      </w:r>
      <w:r w:rsidRPr="00AB4DCC">
        <w:rPr>
          <w:lang w:val="fr-FR"/>
        </w:rPr>
        <w:tab/>
        <w:t>Le constructeur du véhicule doit communiquer au service technique, au moment de l’homologation de type, la liste de ces situations et les critères correspondants de désactivation du système ACPE, et cette liste doit être annexée au procès-verbal d’épreuve.</w:t>
      </w:r>
    </w:p>
    <w:p w14:paraId="235206F6" w14:textId="77777777" w:rsidR="00A20ACD" w:rsidRPr="00AB4DCC" w:rsidRDefault="00A20ACD" w:rsidP="00DE2924">
      <w:pPr>
        <w:pStyle w:val="SingleTxtG"/>
        <w:ind w:left="2268" w:hanging="1134"/>
        <w:rPr>
          <w:bCs/>
          <w:color w:val="000000" w:themeColor="text1"/>
          <w:lang w:val="fr-FR"/>
        </w:rPr>
      </w:pPr>
      <w:r w:rsidRPr="00AB4DCC">
        <w:rPr>
          <w:lang w:val="fr-FR"/>
        </w:rPr>
        <w:t>5.2.3.1.2</w:t>
      </w:r>
      <w:r w:rsidRPr="00AB4DCC">
        <w:rPr>
          <w:lang w:val="fr-FR"/>
        </w:rPr>
        <w:tab/>
        <w:t>Le système ACPE doit être réactivé automatiquement dès que les conditions ayant entraîné sa désactivation automatique ne sont plus réunies.</w:t>
      </w:r>
    </w:p>
    <w:p w14:paraId="1CE1BE79" w14:textId="77777777" w:rsidR="00A20ACD" w:rsidRPr="00AB4DCC" w:rsidRDefault="00A20ACD" w:rsidP="00DE2924">
      <w:pPr>
        <w:pStyle w:val="SingleTxtG"/>
        <w:ind w:left="2268" w:hanging="1134"/>
        <w:rPr>
          <w:bCs/>
          <w:color w:val="000000" w:themeColor="text1"/>
          <w:lang w:val="fr-FR"/>
        </w:rPr>
      </w:pPr>
      <w:r w:rsidRPr="00AB4DCC">
        <w:rPr>
          <w:lang w:val="fr-FR"/>
        </w:rPr>
        <w:t>5.2.3.1.3</w:t>
      </w:r>
      <w:r w:rsidRPr="00AB4DCC">
        <w:rPr>
          <w:lang w:val="fr-FR"/>
        </w:rPr>
        <w:tab/>
        <w:t>Le conducteur doit être averti de la désactivation au moins au moment où elle se produit, à moins qu’un signal de défaillance ne soit émis conformément au paragraphe 5.3.3.</w:t>
      </w:r>
    </w:p>
    <w:p w14:paraId="1B54D6CA" w14:textId="77777777" w:rsidR="00A20ACD" w:rsidRPr="00AB4DCC" w:rsidRDefault="00A20ACD" w:rsidP="00DE2924">
      <w:pPr>
        <w:pStyle w:val="SingleTxtG"/>
        <w:ind w:left="2268" w:hanging="1134"/>
        <w:rPr>
          <w:lang w:val="fr-FR"/>
        </w:rPr>
      </w:pPr>
      <w:r w:rsidRPr="00AB4DCC">
        <w:rPr>
          <w:lang w:val="fr-FR"/>
        </w:rPr>
        <w:t>5.2.3.1.3.1</w:t>
      </w:r>
      <w:r w:rsidRPr="00AB4DCC">
        <w:rPr>
          <w:lang w:val="fr-FR"/>
        </w:rPr>
        <w:tab/>
        <w:t>Lorsqu’un système de conduite automatisé contrôle le véhicule ou qu’un système actif d’aide à la conduite est activé (par exemple, ALKS ou ACSF de catégorie A), le système ACPE peut être suspendu ou ses stratégies de contrôle adaptées sans que le conducteur en soit informé, tant qu’il demeure certain que le véhicule fournit au moins les mêmes capacités de limitation de l’accélération que le système ACPE. La suspension du système ACPE ou l’adaptation de ses stratégies de contrôle doivent être démontrées par le constructeur à l’autorité d’homologation, documents à l’appui, lors de l’inspection du concept de sécurité dans le cadre de l’évaluation prévue à l’annexe 3.</w:t>
      </w:r>
    </w:p>
    <w:p w14:paraId="20C0CB04" w14:textId="4A46DD89" w:rsidR="00A20ACD" w:rsidRPr="00AB4DCC" w:rsidRDefault="00A20ACD" w:rsidP="00DE2924">
      <w:pPr>
        <w:pStyle w:val="SingleTxtG"/>
        <w:ind w:left="2268" w:hanging="1134"/>
        <w:rPr>
          <w:bCs/>
          <w:color w:val="000000" w:themeColor="text1"/>
          <w:lang w:val="fr-FR"/>
        </w:rPr>
      </w:pPr>
      <w:r w:rsidRPr="00AB4DCC">
        <w:rPr>
          <w:lang w:val="fr-FR"/>
        </w:rPr>
        <w:t>5.3</w:t>
      </w:r>
      <w:r w:rsidRPr="00AB4DCC">
        <w:rPr>
          <w:lang w:val="fr-FR"/>
        </w:rPr>
        <w:tab/>
        <w:t>Détection de défaillance/vérification automatique</w:t>
      </w:r>
    </w:p>
    <w:p w14:paraId="1F3924CF" w14:textId="77777777" w:rsidR="00A20ACD" w:rsidRPr="00AB4DCC" w:rsidRDefault="00A20ACD" w:rsidP="00DE2924">
      <w:pPr>
        <w:pStyle w:val="SingleTxtG"/>
        <w:ind w:left="2268" w:hanging="1134"/>
        <w:rPr>
          <w:bCs/>
          <w:color w:val="000000" w:themeColor="text1"/>
          <w:lang w:val="fr-FR"/>
        </w:rPr>
      </w:pPr>
      <w:r w:rsidRPr="00AB4DCC">
        <w:rPr>
          <w:lang w:val="fr-FR"/>
        </w:rPr>
        <w:t>5.3.1</w:t>
      </w:r>
      <w:r w:rsidRPr="00AB4DCC">
        <w:rPr>
          <w:lang w:val="fr-FR"/>
        </w:rPr>
        <w:tab/>
        <w:t>Lorsqu’une défaillance du système ACPE empêche de satisfaire aux prescriptions du présent Règlement, le conducteur doit en être informé au moyen d’un signal de défaillance. Ce signal doit être tel que spécifié au paragraphe 5.4.3.</w:t>
      </w:r>
    </w:p>
    <w:p w14:paraId="6E45D032" w14:textId="77777777" w:rsidR="00A20ACD" w:rsidRPr="00AB4DCC" w:rsidRDefault="00A20ACD" w:rsidP="00DE2924">
      <w:pPr>
        <w:pStyle w:val="SingleTxtG"/>
        <w:ind w:left="2268" w:hanging="1134"/>
        <w:rPr>
          <w:bCs/>
          <w:color w:val="000000" w:themeColor="text1"/>
          <w:lang w:val="fr-FR"/>
        </w:rPr>
      </w:pPr>
      <w:r w:rsidRPr="00AB4DCC">
        <w:rPr>
          <w:lang w:val="fr-FR"/>
        </w:rPr>
        <w:t>5.3.1.1</w:t>
      </w:r>
      <w:r w:rsidRPr="00AB4DCC">
        <w:rPr>
          <w:lang w:val="fr-FR"/>
        </w:rPr>
        <w:tab/>
        <w:t>Lorsque le système ACPE est temporairement indisponible, par exemple en raison de conditions météorologiques défavorables, il n’est pas nécessaire d’en avertir le conducteur par un signal de défaillance.</w:t>
      </w:r>
    </w:p>
    <w:p w14:paraId="0750F472" w14:textId="77777777" w:rsidR="00A20ACD" w:rsidRPr="00AB4DCC" w:rsidRDefault="00A20ACD" w:rsidP="00DE2924">
      <w:pPr>
        <w:pStyle w:val="SingleTxtG"/>
        <w:ind w:left="2268" w:hanging="1134"/>
        <w:rPr>
          <w:bCs/>
          <w:color w:val="000000" w:themeColor="text1"/>
          <w:lang w:val="fr-FR"/>
        </w:rPr>
      </w:pPr>
      <w:r w:rsidRPr="00AB4DCC">
        <w:rPr>
          <w:lang w:val="fr-FR"/>
        </w:rPr>
        <w:t>5.3.2</w:t>
      </w:r>
      <w:r w:rsidRPr="00AB4DCC">
        <w:rPr>
          <w:lang w:val="fr-FR"/>
        </w:rPr>
        <w:tab/>
        <w:t>Il ne doit pas y avoir d’intervalle de temps appréciable entre les vérifications automatiques du système ACPE, ni de retard dans l’allumage du témoin d’avertissement en cas de défaillance électrique détectable.</w:t>
      </w:r>
    </w:p>
    <w:p w14:paraId="47BE6AA4" w14:textId="77777777" w:rsidR="00A20ACD" w:rsidRPr="00AB4DCC" w:rsidRDefault="00A20ACD" w:rsidP="00DE2924">
      <w:pPr>
        <w:pStyle w:val="SingleTxtG"/>
        <w:ind w:left="2268" w:hanging="1134"/>
        <w:rPr>
          <w:bCs/>
          <w:color w:val="000000" w:themeColor="text1"/>
          <w:lang w:val="fr-FR"/>
        </w:rPr>
      </w:pPr>
      <w:r w:rsidRPr="00AB4DCC">
        <w:rPr>
          <w:lang w:val="fr-FR"/>
        </w:rPr>
        <w:t>5.3.3</w:t>
      </w:r>
      <w:r w:rsidRPr="00AB4DCC">
        <w:rPr>
          <w:lang w:val="fr-FR"/>
        </w:rPr>
        <w:tab/>
        <w:t>Lorsqu’une défaillance non électrique est détectée (si, par exemple, un capteur est occulté ou mal aligné), le conducteur doit également en être informé par un signal de défaillance, à moins qu’il ait été averti de la désactivation du système conformément au paragraphe 5.2.3.1.3.</w:t>
      </w:r>
      <w:bookmarkStart w:id="9" w:name="OLE_LINK4"/>
      <w:bookmarkEnd w:id="9"/>
    </w:p>
    <w:p w14:paraId="6F0DFC61" w14:textId="77777777" w:rsidR="00A20ACD" w:rsidRPr="00AB4DCC" w:rsidRDefault="00A20ACD" w:rsidP="00DE2924">
      <w:pPr>
        <w:pStyle w:val="SingleTxtG"/>
        <w:ind w:left="2268" w:hanging="1134"/>
        <w:rPr>
          <w:bCs/>
          <w:color w:val="000000" w:themeColor="text1"/>
          <w:lang w:val="fr-FR"/>
        </w:rPr>
      </w:pPr>
      <w:r w:rsidRPr="00AB4DCC">
        <w:rPr>
          <w:lang w:val="fr-FR"/>
        </w:rPr>
        <w:t>5.3.4</w:t>
      </w:r>
      <w:r w:rsidRPr="00AB4DCC">
        <w:rPr>
          <w:lang w:val="fr-FR"/>
        </w:rPr>
        <w:tab/>
        <w:t>Si la vitesse du véhicule est supérieure à 10 km/h au moment où une défaillance est détectée, le signal d’avertissement doit être donné au plus tard la prochaine fois que la vitesse du véhicule est inférieure à 10 km/h.</w:t>
      </w:r>
    </w:p>
    <w:p w14:paraId="0697F72C" w14:textId="77777777" w:rsidR="00A20ACD" w:rsidRPr="00AB4DCC" w:rsidRDefault="00A20ACD" w:rsidP="00DE2924">
      <w:pPr>
        <w:pStyle w:val="SingleTxtG"/>
        <w:ind w:left="2268" w:hanging="1134"/>
        <w:rPr>
          <w:bCs/>
          <w:color w:val="000000" w:themeColor="text1"/>
          <w:lang w:val="fr-FR"/>
        </w:rPr>
      </w:pPr>
      <w:r w:rsidRPr="00AB4DCC">
        <w:rPr>
          <w:lang w:val="fr-FR"/>
        </w:rPr>
        <w:t>5.4</w:t>
      </w:r>
      <w:r w:rsidRPr="00AB4DCC">
        <w:rPr>
          <w:lang w:val="fr-FR"/>
        </w:rPr>
        <w:tab/>
        <w:t>Signaux d’avertissement</w:t>
      </w:r>
    </w:p>
    <w:p w14:paraId="0EF2160C" w14:textId="77777777" w:rsidR="00A20ACD" w:rsidRPr="00AB4DCC" w:rsidRDefault="00A20ACD" w:rsidP="00DE2924">
      <w:pPr>
        <w:pStyle w:val="SingleTxtG"/>
        <w:ind w:left="2268" w:hanging="1134"/>
        <w:rPr>
          <w:bCs/>
          <w:color w:val="000000" w:themeColor="text1"/>
          <w:lang w:val="fr-FR"/>
        </w:rPr>
      </w:pPr>
      <w:r w:rsidRPr="00AB4DCC">
        <w:rPr>
          <w:lang w:val="fr-FR"/>
        </w:rPr>
        <w:t>5.4.1</w:t>
      </w:r>
      <w:r w:rsidRPr="00AB4DCC">
        <w:rPr>
          <w:lang w:val="fr-FR"/>
        </w:rPr>
        <w:tab/>
        <w:t>Généralités</w:t>
      </w:r>
    </w:p>
    <w:p w14:paraId="784493A3" w14:textId="77777777" w:rsidR="00A20ACD" w:rsidRPr="00AB4DCC" w:rsidRDefault="00A20ACD" w:rsidP="00DE2924">
      <w:pPr>
        <w:pStyle w:val="SingleTxtG"/>
        <w:ind w:left="2268" w:hanging="1134"/>
        <w:rPr>
          <w:lang w:val="fr-FR"/>
        </w:rPr>
      </w:pPr>
      <w:r w:rsidRPr="00AB4DCC">
        <w:rPr>
          <w:lang w:val="fr-FR"/>
        </w:rPr>
        <w:t>5.4.1.1</w:t>
      </w:r>
      <w:r w:rsidRPr="00AB4DCC">
        <w:rPr>
          <w:lang w:val="fr-FR"/>
        </w:rPr>
        <w:tab/>
        <w:t>Les signaux d’avertissement visuels doivent être visibles même en plein jour et le bon état du voyant doit pouvoir être aisément vérifié par le conducteur depuis son siège.</w:t>
      </w:r>
    </w:p>
    <w:p w14:paraId="79E0C6C7" w14:textId="2187B0C5" w:rsidR="00A20ACD" w:rsidRPr="00AB4DCC" w:rsidRDefault="00A20ACD" w:rsidP="00DE2924">
      <w:pPr>
        <w:pStyle w:val="SingleTxtG"/>
        <w:ind w:left="2268" w:hanging="1134"/>
        <w:rPr>
          <w:bCs/>
          <w:color w:val="000000" w:themeColor="text1"/>
          <w:lang w:val="fr-FR"/>
        </w:rPr>
      </w:pPr>
      <w:r w:rsidRPr="00AB4DCC">
        <w:rPr>
          <w:lang w:val="fr-FR"/>
        </w:rPr>
        <w:t>5.4.1.2</w:t>
      </w:r>
      <w:r w:rsidRPr="00AB4DCC">
        <w:rPr>
          <w:lang w:val="fr-FR"/>
        </w:rPr>
        <w:tab/>
        <w:t xml:space="preserve">Chaque signal d’avertissement visuel du système ACPE doit être émis soit lorsque le contacteur de mise en marche (ou de démarrage, selon le cas) est en position </w:t>
      </w:r>
      <w:r w:rsidR="00401B26" w:rsidRPr="00AB4DCC">
        <w:rPr>
          <w:lang w:val="fr-FR"/>
        </w:rPr>
        <w:t>«</w:t>
      </w:r>
      <w:r w:rsidR="00401B26">
        <w:rPr>
          <w:lang w:val="fr-FR"/>
        </w:rPr>
        <w:t> </w:t>
      </w:r>
      <w:r w:rsidRPr="00AB4DCC">
        <w:rPr>
          <w:lang w:val="fr-FR"/>
        </w:rPr>
        <w:t>marche</w:t>
      </w:r>
      <w:r w:rsidR="00401B26">
        <w:rPr>
          <w:lang w:val="fr-FR"/>
        </w:rPr>
        <w:t> </w:t>
      </w:r>
      <w:r w:rsidR="00401B26" w:rsidRPr="00AB4DCC">
        <w:rPr>
          <w:lang w:val="fr-FR"/>
        </w:rPr>
        <w:t>»</w:t>
      </w:r>
      <w:r w:rsidRPr="00AB4DCC">
        <w:rPr>
          <w:lang w:val="fr-FR"/>
        </w:rPr>
        <w:t xml:space="preserve">, soit lorsqu’il est dans une position intermédiaire entre la position </w:t>
      </w:r>
      <w:r w:rsidR="00401B26" w:rsidRPr="00AB4DCC">
        <w:rPr>
          <w:lang w:val="fr-FR"/>
        </w:rPr>
        <w:t>«</w:t>
      </w:r>
      <w:r w:rsidR="00401B26">
        <w:rPr>
          <w:lang w:val="fr-FR"/>
        </w:rPr>
        <w:t> </w:t>
      </w:r>
      <w:r w:rsidRPr="00AB4DCC">
        <w:rPr>
          <w:lang w:val="fr-FR"/>
        </w:rPr>
        <w:t>marche</w:t>
      </w:r>
      <w:r w:rsidR="00401B26">
        <w:rPr>
          <w:lang w:val="fr-FR"/>
        </w:rPr>
        <w:t> </w:t>
      </w:r>
      <w:r w:rsidR="00401B26" w:rsidRPr="00AB4DCC">
        <w:rPr>
          <w:lang w:val="fr-FR"/>
        </w:rPr>
        <w:t>»</w:t>
      </w:r>
      <w:r w:rsidRPr="00AB4DCC">
        <w:rPr>
          <w:lang w:val="fr-FR"/>
        </w:rPr>
        <w:t xml:space="preserve"> et la position </w:t>
      </w:r>
      <w:r w:rsidR="00401B26" w:rsidRPr="00AB4DCC">
        <w:rPr>
          <w:lang w:val="fr-FR"/>
        </w:rPr>
        <w:t>«</w:t>
      </w:r>
      <w:r w:rsidR="00401B26">
        <w:rPr>
          <w:lang w:val="fr-FR"/>
        </w:rPr>
        <w:t> </w:t>
      </w:r>
      <w:r w:rsidRPr="00AB4DCC">
        <w:rPr>
          <w:lang w:val="fr-FR"/>
        </w:rPr>
        <w:t>démarrage</w:t>
      </w:r>
      <w:r w:rsidR="00401B26">
        <w:rPr>
          <w:lang w:val="fr-FR"/>
        </w:rPr>
        <w:t> </w:t>
      </w:r>
      <w:r w:rsidR="00401B26" w:rsidRPr="00AB4DCC">
        <w:rPr>
          <w:lang w:val="fr-FR"/>
        </w:rPr>
        <w:t>»</w:t>
      </w:r>
      <w:r w:rsidRPr="00AB4DCC">
        <w:rPr>
          <w:lang w:val="fr-FR"/>
        </w:rPr>
        <w:t>, qui est désignée par le constructeur comme une position de vérification (système initial (contact mis)). Cette prescription ne s’applique pas aux signaux d’avertissement affichés sur un espace commun.</w:t>
      </w:r>
    </w:p>
    <w:p w14:paraId="3F36B628" w14:textId="77777777" w:rsidR="00A20ACD" w:rsidRPr="00AB4DCC" w:rsidRDefault="00A20ACD" w:rsidP="00DE2924">
      <w:pPr>
        <w:pStyle w:val="SingleTxtG"/>
        <w:ind w:left="2268" w:hanging="1134"/>
        <w:rPr>
          <w:bCs/>
          <w:color w:val="000000" w:themeColor="text1"/>
          <w:lang w:val="fr-FR"/>
        </w:rPr>
      </w:pPr>
      <w:r w:rsidRPr="00AB4DCC">
        <w:rPr>
          <w:lang w:val="fr-FR"/>
        </w:rPr>
        <w:t>5.4.2</w:t>
      </w:r>
      <w:r w:rsidRPr="00AB4DCC">
        <w:rPr>
          <w:lang w:val="fr-FR"/>
        </w:rPr>
        <w:tab/>
        <w:t>Signal d’avertissement en cas d’intervention du système</w:t>
      </w:r>
    </w:p>
    <w:p w14:paraId="30F6EBBB" w14:textId="77777777" w:rsidR="00A20ACD" w:rsidRPr="00AB4DCC" w:rsidRDefault="00A20ACD" w:rsidP="00571A25">
      <w:pPr>
        <w:pStyle w:val="SingleTxtG"/>
        <w:ind w:left="2268"/>
        <w:rPr>
          <w:bCs/>
          <w:color w:val="000000" w:themeColor="text1"/>
          <w:lang w:val="fr-FR"/>
        </w:rPr>
      </w:pPr>
      <w:r w:rsidRPr="00AB4DCC">
        <w:rPr>
          <w:lang w:val="fr-FR"/>
        </w:rPr>
        <w:t>Le conducteur est averti de l’intervention du système par un signal visuel. En outre, un signal haptique ou sonore doit être émis, à moins qu’il ne le soit déjà par un autre système du véhicule capable de détecter des objets (par exemple, le système d’aide au stationnement).</w:t>
      </w:r>
    </w:p>
    <w:p w14:paraId="0BBE3E8D" w14:textId="77777777" w:rsidR="00A20ACD" w:rsidRPr="00AB4DCC" w:rsidRDefault="00A20ACD" w:rsidP="00571A25">
      <w:pPr>
        <w:pStyle w:val="SingleTxtG"/>
        <w:ind w:left="2268"/>
        <w:rPr>
          <w:bCs/>
          <w:lang w:val="fr-FR"/>
        </w:rPr>
      </w:pPr>
      <w:r w:rsidRPr="00AB4DCC">
        <w:rPr>
          <w:lang w:val="fr-FR"/>
        </w:rPr>
        <w:t>Le signal d’avertissement visuel peut être le clignotement du signal de défaillance.</w:t>
      </w:r>
    </w:p>
    <w:p w14:paraId="1C7263FE" w14:textId="77777777" w:rsidR="00A20ACD" w:rsidRPr="00AB4DCC" w:rsidRDefault="00A20ACD" w:rsidP="00571A25">
      <w:pPr>
        <w:pStyle w:val="SingleTxtG"/>
        <w:ind w:left="2268"/>
        <w:rPr>
          <w:bCs/>
          <w:lang w:val="fr-FR"/>
        </w:rPr>
      </w:pPr>
      <w:r w:rsidRPr="00AB4DCC">
        <w:rPr>
          <w:lang w:val="fr-FR"/>
        </w:rPr>
        <w:t>Une description des signaux d’avertissement doit être présentée par le constructeur du véhicule au moment de l’homologation de type et être consignée dans le procès-verbal d’essai.</w:t>
      </w:r>
    </w:p>
    <w:p w14:paraId="6B72C6A9" w14:textId="77777777" w:rsidR="00A20ACD" w:rsidRPr="00AB4DCC" w:rsidRDefault="00A20ACD" w:rsidP="00DE2924">
      <w:pPr>
        <w:pStyle w:val="SingleTxtG"/>
        <w:ind w:left="2268" w:hanging="1134"/>
        <w:rPr>
          <w:bCs/>
          <w:lang w:val="fr-FR"/>
        </w:rPr>
      </w:pPr>
      <w:bookmarkStart w:id="10" w:name="OLE_LINK20"/>
      <w:r w:rsidRPr="00AB4DCC">
        <w:rPr>
          <w:lang w:val="fr-FR"/>
        </w:rPr>
        <w:t>5.4.3</w:t>
      </w:r>
      <w:r w:rsidRPr="00AB4DCC">
        <w:rPr>
          <w:lang w:val="fr-FR"/>
        </w:rPr>
        <w:tab/>
        <w:t>Signal de défaillance</w:t>
      </w:r>
    </w:p>
    <w:p w14:paraId="2D3C34DC" w14:textId="77777777" w:rsidR="00A20ACD" w:rsidRPr="00AB4DCC" w:rsidRDefault="00A20ACD" w:rsidP="00A20ACD">
      <w:pPr>
        <w:spacing w:after="120" w:line="240" w:lineRule="auto"/>
        <w:ind w:left="2268" w:right="1134"/>
        <w:rPr>
          <w:bCs/>
          <w:lang w:val="fr-FR"/>
        </w:rPr>
      </w:pPr>
      <w:r w:rsidRPr="00AB4DCC">
        <w:rPr>
          <w:lang w:val="fr-FR"/>
        </w:rPr>
        <w:t>Le signal de défaillance doit être un signal visuel continu de couleur jaune.</w:t>
      </w:r>
    </w:p>
    <w:bookmarkEnd w:id="10"/>
    <w:p w14:paraId="79C4B250" w14:textId="77777777" w:rsidR="00A20ACD" w:rsidRPr="00AB4DCC" w:rsidRDefault="00A20ACD" w:rsidP="00DE2924">
      <w:pPr>
        <w:pStyle w:val="SingleTxtG"/>
        <w:ind w:left="2268" w:hanging="1134"/>
        <w:rPr>
          <w:lang w:val="fr-FR"/>
        </w:rPr>
      </w:pPr>
      <w:r w:rsidRPr="00AB4DCC">
        <w:rPr>
          <w:lang w:val="fr-FR"/>
        </w:rPr>
        <w:t>5.5</w:t>
      </w:r>
      <w:r w:rsidRPr="00AB4DCC">
        <w:rPr>
          <w:lang w:val="fr-FR"/>
        </w:rPr>
        <w:tab/>
        <w:t>Dispositions relatives au contrôle technique périodique</w:t>
      </w:r>
    </w:p>
    <w:p w14:paraId="09F99177" w14:textId="77777777" w:rsidR="00A20ACD" w:rsidRPr="00AB4DCC" w:rsidRDefault="00A20ACD" w:rsidP="00DE2924">
      <w:pPr>
        <w:pStyle w:val="SingleTxtG"/>
        <w:ind w:left="2268" w:hanging="1134"/>
        <w:rPr>
          <w:bCs/>
          <w:lang w:val="fr-FR"/>
        </w:rPr>
      </w:pPr>
      <w:r w:rsidRPr="00AB4DCC">
        <w:rPr>
          <w:lang w:val="fr-FR"/>
        </w:rPr>
        <w:t>5.5.1</w:t>
      </w:r>
      <w:r w:rsidRPr="00AB4DCC">
        <w:rPr>
          <w:lang w:val="fr-FR"/>
        </w:rPr>
        <w:tab/>
        <w:t>Lors des contrôles techniques périodiques, il doit être possible de confirmer le bon état de fonctionnement du système ACPE par une observation visuelle de l’état du signal de défaillance. Après remise du contact et contrôle des lampes, le signal de défaillance doit rester activé si une défaillance était présente à la fin du précédent démarrage du moteur (ou cycle de fonctionnement, selon le cas), à moins que cette défaillance ne soit plus détectée.</w:t>
      </w:r>
    </w:p>
    <w:p w14:paraId="464E3302" w14:textId="77777777" w:rsidR="00A20ACD" w:rsidRPr="00AB4DCC" w:rsidRDefault="00A20ACD" w:rsidP="00571A25">
      <w:pPr>
        <w:pStyle w:val="SingleTxtG"/>
        <w:ind w:left="2268"/>
        <w:rPr>
          <w:rFonts w:eastAsia="Calibri"/>
          <w:lang w:val="fr-FR"/>
        </w:rPr>
      </w:pPr>
      <w:r w:rsidRPr="00AB4DCC">
        <w:rPr>
          <w:lang w:val="fr-FR"/>
        </w:rPr>
        <w:t>Lorsque le signal de défaillance se trouve sur un espace d’affichage commun, il convient de confirmer le bon fonctionnement de cet espace avant de vérifier l’état du signal de défaillance.</w:t>
      </w:r>
    </w:p>
    <w:p w14:paraId="4107B715" w14:textId="77777777" w:rsidR="00A20ACD" w:rsidRPr="00AB4DCC" w:rsidRDefault="00A20ACD" w:rsidP="00DE2924">
      <w:pPr>
        <w:pStyle w:val="SingleTxtG"/>
        <w:ind w:left="2268" w:hanging="1134"/>
        <w:rPr>
          <w:bCs/>
          <w:lang w:val="fr-FR"/>
        </w:rPr>
      </w:pPr>
      <w:r w:rsidRPr="00AB4DCC">
        <w:rPr>
          <w:lang w:val="fr-FR"/>
        </w:rPr>
        <w:t>5.5.2</w:t>
      </w:r>
      <w:r w:rsidRPr="00AB4DCC">
        <w:rPr>
          <w:lang w:val="fr-FR"/>
        </w:rPr>
        <w:tab/>
        <w:t>Au moment de l’homologation de type, les moyens mis en œuvre pour empêcher que l’on puisse par des mesures simples interférer de manière non autorisée avec le fonctionnement du signal de défaillance choisi par le constructeur doivent être décrits à titre confidentiel.</w:t>
      </w:r>
    </w:p>
    <w:p w14:paraId="600774EC" w14:textId="77777777" w:rsidR="00A20ACD" w:rsidRPr="00AB4DCC" w:rsidRDefault="00A20ACD" w:rsidP="00571A25">
      <w:pPr>
        <w:pStyle w:val="SingleTxtG"/>
        <w:ind w:left="2268"/>
        <w:rPr>
          <w:rFonts w:eastAsia="Calibri"/>
          <w:lang w:val="fr-FR"/>
        </w:rPr>
      </w:pPr>
      <w:r w:rsidRPr="00AB4DCC">
        <w:rPr>
          <w:lang w:val="fr-FR"/>
        </w:rPr>
        <w:t>À défaut, on considère qu’il est satisfait à cette prescription relative à la protection lorsqu’il existe un autre moyen de vérifier le fonctionnement correct du système ACPE.</w:t>
      </w:r>
    </w:p>
    <w:p w14:paraId="191D68D7" w14:textId="77777777" w:rsidR="00A20ACD" w:rsidRPr="00AB4DCC" w:rsidRDefault="00A20ACD" w:rsidP="00571A25">
      <w:pPr>
        <w:pStyle w:val="HChG"/>
        <w:tabs>
          <w:tab w:val="clear" w:pos="851"/>
        </w:tabs>
        <w:ind w:left="2268"/>
        <w:rPr>
          <w:lang w:val="fr-FR"/>
        </w:rPr>
      </w:pPr>
      <w:r w:rsidRPr="00AB4DCC">
        <w:rPr>
          <w:bCs/>
          <w:lang w:val="fr-FR"/>
        </w:rPr>
        <w:t>6.</w:t>
      </w:r>
      <w:r w:rsidRPr="00AB4DCC">
        <w:rPr>
          <w:lang w:val="fr-FR"/>
        </w:rPr>
        <w:tab/>
      </w:r>
      <w:r w:rsidRPr="00AB4DCC">
        <w:rPr>
          <w:bCs/>
          <w:lang w:val="fr-FR"/>
        </w:rPr>
        <w:t>Procédure d’essai</w:t>
      </w:r>
    </w:p>
    <w:p w14:paraId="184BB130" w14:textId="77777777" w:rsidR="00A20ACD" w:rsidRPr="00AB4DCC" w:rsidRDefault="00A20ACD" w:rsidP="00DE2924">
      <w:pPr>
        <w:pStyle w:val="SingleTxtG"/>
        <w:ind w:left="2268" w:hanging="1134"/>
        <w:rPr>
          <w:color w:val="000000" w:themeColor="text1"/>
          <w:lang w:val="fr-FR"/>
        </w:rPr>
      </w:pPr>
      <w:r w:rsidRPr="00AB4DCC">
        <w:rPr>
          <w:lang w:val="fr-FR"/>
        </w:rPr>
        <w:t>6.1</w:t>
      </w:r>
      <w:r w:rsidRPr="00AB4DCC">
        <w:rPr>
          <w:lang w:val="fr-FR"/>
        </w:rPr>
        <w:tab/>
        <w:t>Revêtement d’essai et conditions ambiantes</w:t>
      </w:r>
    </w:p>
    <w:p w14:paraId="2AD930F1" w14:textId="77777777" w:rsidR="00A20ACD" w:rsidRPr="00AB4DCC" w:rsidRDefault="00A20ACD" w:rsidP="00DE2924">
      <w:pPr>
        <w:pStyle w:val="SingleTxtG"/>
        <w:ind w:left="2268" w:hanging="1134"/>
        <w:rPr>
          <w:color w:val="000000" w:themeColor="text1"/>
          <w:lang w:val="fr-FR"/>
        </w:rPr>
      </w:pPr>
      <w:r w:rsidRPr="00AB4DCC">
        <w:rPr>
          <w:lang w:val="fr-FR"/>
        </w:rPr>
        <w:t>6.1.1</w:t>
      </w:r>
      <w:r w:rsidRPr="00AB4DCC">
        <w:rPr>
          <w:lang w:val="fr-FR"/>
        </w:rPr>
        <w:tab/>
        <w:t>L’essai doit être effectué sur une route en béton ou en bitume plane et sèche, offrant une bonne adhérence.</w:t>
      </w:r>
    </w:p>
    <w:p w14:paraId="6937515C" w14:textId="4B052AFB" w:rsidR="00A20ACD" w:rsidRPr="00AB4DCC" w:rsidRDefault="00A20ACD" w:rsidP="00DE2924">
      <w:pPr>
        <w:pStyle w:val="SingleTxtG"/>
        <w:ind w:left="2268" w:hanging="1134"/>
        <w:rPr>
          <w:color w:val="000000" w:themeColor="text1"/>
          <w:lang w:val="fr-FR"/>
        </w:rPr>
      </w:pPr>
      <w:r w:rsidRPr="00AB4DCC">
        <w:rPr>
          <w:lang w:val="fr-FR"/>
        </w:rPr>
        <w:t>6.1.2</w:t>
      </w:r>
      <w:r w:rsidRPr="00AB4DCC">
        <w:rPr>
          <w:lang w:val="fr-FR"/>
        </w:rPr>
        <w:tab/>
        <w:t>Le revêtement d’essai doit avoir une pente régulière ne dépassant pas 1</w:t>
      </w:r>
      <w:r w:rsidR="004560AA">
        <w:rPr>
          <w:lang w:val="fr-FR"/>
        </w:rPr>
        <w:t> %</w:t>
      </w:r>
      <w:r w:rsidRPr="00AB4DCC">
        <w:rPr>
          <w:lang w:val="fr-FR"/>
        </w:rPr>
        <w:t>.</w:t>
      </w:r>
    </w:p>
    <w:p w14:paraId="0A391F06" w14:textId="77777777" w:rsidR="00A20ACD" w:rsidRPr="00AB4DCC" w:rsidRDefault="00A20ACD" w:rsidP="00DE2924">
      <w:pPr>
        <w:pStyle w:val="SingleTxtG"/>
        <w:ind w:left="2268" w:hanging="1134"/>
        <w:rPr>
          <w:color w:val="000000" w:themeColor="text1"/>
          <w:lang w:val="fr-FR"/>
        </w:rPr>
      </w:pPr>
      <w:r w:rsidRPr="00AB4DCC">
        <w:rPr>
          <w:lang w:val="fr-FR"/>
        </w:rPr>
        <w:t>6.1.3</w:t>
      </w:r>
      <w:r w:rsidRPr="00AB4DCC">
        <w:rPr>
          <w:lang w:val="fr-FR"/>
        </w:rPr>
        <w:tab/>
        <w:t>La température ambiante doit être comprise entre 0 °C et 45 °C.</w:t>
      </w:r>
    </w:p>
    <w:p w14:paraId="4C67F289" w14:textId="77777777" w:rsidR="00A20ACD" w:rsidRPr="00AB4DCC" w:rsidRDefault="00A20ACD" w:rsidP="00DE2924">
      <w:pPr>
        <w:pStyle w:val="SingleTxtG"/>
        <w:ind w:left="2268" w:hanging="1134"/>
        <w:rPr>
          <w:color w:val="000000" w:themeColor="text1"/>
          <w:lang w:val="fr-FR"/>
        </w:rPr>
      </w:pPr>
      <w:r w:rsidRPr="00AB4DCC">
        <w:rPr>
          <w:lang w:val="fr-FR"/>
        </w:rPr>
        <w:t>6.1.4</w:t>
      </w:r>
      <w:r w:rsidRPr="00AB4DCC">
        <w:rPr>
          <w:lang w:val="fr-FR"/>
        </w:rPr>
        <w:tab/>
        <w:t>La visibilité horizontale doit être telle qu’elle permette d’observer la cible du début à la fin de l’essai.</w:t>
      </w:r>
    </w:p>
    <w:p w14:paraId="4AD044F1" w14:textId="77777777" w:rsidR="00A20ACD" w:rsidRPr="00AB4DCC" w:rsidRDefault="00A20ACD" w:rsidP="00DE2924">
      <w:pPr>
        <w:pStyle w:val="SingleTxtG"/>
        <w:ind w:left="2268" w:hanging="1134"/>
        <w:rPr>
          <w:color w:val="000000" w:themeColor="text1"/>
          <w:lang w:val="fr-FR"/>
        </w:rPr>
      </w:pPr>
      <w:r w:rsidRPr="00AB4DCC">
        <w:rPr>
          <w:lang w:val="fr-FR"/>
        </w:rPr>
        <w:t>6.1.5</w:t>
      </w:r>
      <w:r w:rsidRPr="00AB4DCC">
        <w:rPr>
          <w:lang w:val="fr-FR"/>
        </w:rPr>
        <w:tab/>
        <w:t>Les essais doivent être effectués lorsque le vent ne risque pas de fausser les résultats.</w:t>
      </w:r>
    </w:p>
    <w:p w14:paraId="32F19CDB" w14:textId="54B075A0" w:rsidR="00A20ACD" w:rsidRPr="00AB4DCC" w:rsidRDefault="00A20ACD" w:rsidP="00DE2924">
      <w:pPr>
        <w:pStyle w:val="SingleTxtG"/>
        <w:ind w:left="2268" w:hanging="1134"/>
        <w:rPr>
          <w:color w:val="000000" w:themeColor="text1"/>
          <w:lang w:val="fr-FR"/>
        </w:rPr>
      </w:pPr>
      <w:r w:rsidRPr="00AB4DCC">
        <w:rPr>
          <w:lang w:val="fr-FR"/>
        </w:rPr>
        <w:t>6.1.6</w:t>
      </w:r>
      <w:r w:rsidRPr="00AB4DCC">
        <w:rPr>
          <w:lang w:val="fr-FR"/>
        </w:rPr>
        <w:tab/>
        <w:t>L’éclairage ambiant naturel doit être homogène dans la zone d’essai et dépasser 1</w:t>
      </w:r>
      <w:r w:rsidR="004560AA">
        <w:rPr>
          <w:lang w:val="fr-FR"/>
        </w:rPr>
        <w:t> </w:t>
      </w:r>
      <w:r w:rsidRPr="00AB4DCC">
        <w:rPr>
          <w:lang w:val="fr-FR"/>
        </w:rPr>
        <w:t>000</w:t>
      </w:r>
      <w:r w:rsidR="004560AA">
        <w:rPr>
          <w:lang w:val="fr-FR"/>
        </w:rPr>
        <w:t xml:space="preserve"> </w:t>
      </w:r>
      <w:r w:rsidRPr="00AB4DCC">
        <w:rPr>
          <w:lang w:val="fr-FR"/>
        </w:rPr>
        <w:t>lux. Il faut veiller à ce que l’essai ne soit pas effectué lorsque le véhicule se déplace vers le soleil ou s’en éloigne sous un angle rasant.</w:t>
      </w:r>
    </w:p>
    <w:p w14:paraId="7A1B4616" w14:textId="77777777" w:rsidR="00A20ACD" w:rsidRPr="00AB4DCC" w:rsidRDefault="00A20ACD" w:rsidP="00DE2924">
      <w:pPr>
        <w:pStyle w:val="SingleTxtG"/>
        <w:ind w:left="2268" w:hanging="1134"/>
        <w:rPr>
          <w:color w:val="000000" w:themeColor="text1"/>
          <w:lang w:val="fr-FR"/>
        </w:rPr>
      </w:pPr>
      <w:r w:rsidRPr="00AB4DCC">
        <w:rPr>
          <w:lang w:val="fr-FR"/>
        </w:rPr>
        <w:t>6.1.7</w:t>
      </w:r>
      <w:r w:rsidRPr="00AB4DCC">
        <w:rPr>
          <w:lang w:val="fr-FR"/>
        </w:rPr>
        <w:tab/>
        <w:t>À la demande du constructeur et avec l’accord du service technique, les essais peuvent être effectués dans des conditions d’essai différentes (conditions non optimales, par exemple sur une chaussée non sèche ou à une température ambiante inférieure à la température minimale prévue), mais les prescriptions fonctionnelles doivent être respectées.</w:t>
      </w:r>
    </w:p>
    <w:p w14:paraId="035CB39B" w14:textId="77777777" w:rsidR="00A20ACD" w:rsidRPr="00AB4DCC" w:rsidRDefault="00A20ACD" w:rsidP="00DE2924">
      <w:pPr>
        <w:pStyle w:val="SingleTxtG"/>
        <w:ind w:left="2268" w:hanging="1134"/>
        <w:rPr>
          <w:lang w:val="fr-FR"/>
        </w:rPr>
      </w:pPr>
      <w:r w:rsidRPr="00AB4DCC">
        <w:rPr>
          <w:lang w:val="fr-FR"/>
        </w:rPr>
        <w:t>[6.2</w:t>
      </w:r>
      <w:r w:rsidRPr="00AB4DCC">
        <w:rPr>
          <w:lang w:val="fr-FR"/>
        </w:rPr>
        <w:tab/>
        <w:t>Instruments de mesure</w:t>
      </w:r>
    </w:p>
    <w:p w14:paraId="1662ED4B" w14:textId="77777777" w:rsidR="00A20ACD" w:rsidRPr="00AB4DCC" w:rsidRDefault="00A20ACD" w:rsidP="00DE2924">
      <w:pPr>
        <w:pStyle w:val="SingleTxtG"/>
        <w:ind w:left="2268" w:hanging="1134"/>
        <w:rPr>
          <w:color w:val="000000" w:themeColor="text1"/>
          <w:lang w:val="fr-FR"/>
        </w:rPr>
      </w:pPr>
      <w:r w:rsidRPr="00AB4DCC">
        <w:rPr>
          <w:lang w:val="fr-FR"/>
        </w:rPr>
        <w:t>6.2.1</w:t>
      </w:r>
      <w:r w:rsidRPr="00AB4DCC">
        <w:rPr>
          <w:lang w:val="fr-FR"/>
        </w:rPr>
        <w:tab/>
        <w:t>La vitesse du véhicule doit être mesurée avec une précision de +/- 0,1 km/h.</w:t>
      </w:r>
    </w:p>
    <w:p w14:paraId="6C36219F" w14:textId="77777777" w:rsidR="00A20ACD" w:rsidRPr="00AB4DCC" w:rsidRDefault="00A20ACD" w:rsidP="00DE2924">
      <w:pPr>
        <w:pStyle w:val="SingleTxtG"/>
        <w:ind w:left="2268" w:hanging="1134"/>
        <w:rPr>
          <w:color w:val="000000" w:themeColor="text1"/>
          <w:lang w:val="fr-FR"/>
        </w:rPr>
      </w:pPr>
      <w:r w:rsidRPr="00AB4DCC">
        <w:rPr>
          <w:lang w:val="fr-FR"/>
        </w:rPr>
        <w:t>6.2.2</w:t>
      </w:r>
      <w:r w:rsidRPr="00AB4DCC">
        <w:rPr>
          <w:lang w:val="fr-FR"/>
        </w:rPr>
        <w:tab/>
        <w:t>La position du véhicule doit être mesurée avec une précision de +/- 0,03 m.</w:t>
      </w:r>
    </w:p>
    <w:p w14:paraId="73B4C69F" w14:textId="77777777" w:rsidR="00A20ACD" w:rsidRPr="00AB4DCC" w:rsidRDefault="00A20ACD" w:rsidP="00DE2924">
      <w:pPr>
        <w:pStyle w:val="SingleTxtG"/>
        <w:ind w:left="2268" w:hanging="1134"/>
        <w:rPr>
          <w:color w:val="000000" w:themeColor="text1"/>
          <w:lang w:val="fr-FR"/>
        </w:rPr>
      </w:pPr>
      <w:r w:rsidRPr="00AB4DCC">
        <w:rPr>
          <w:lang w:val="fr-FR"/>
        </w:rPr>
        <w:t>6.2.3</w:t>
      </w:r>
      <w:r w:rsidRPr="00AB4DCC">
        <w:rPr>
          <w:lang w:val="fr-FR"/>
        </w:rPr>
        <w:tab/>
        <w:t>La force exercée sur la commande d’accélérateur (le cas échéant) doit être mesurée avec une précision de +/- 1 N.</w:t>
      </w:r>
    </w:p>
    <w:p w14:paraId="7934B752" w14:textId="0770491B" w:rsidR="00A20ACD" w:rsidRPr="00AB4DCC" w:rsidRDefault="00A20ACD" w:rsidP="00DE2924">
      <w:pPr>
        <w:pStyle w:val="SingleTxtG"/>
        <w:ind w:left="2268" w:hanging="1134"/>
        <w:rPr>
          <w:bCs/>
          <w:color w:val="000000" w:themeColor="text1"/>
          <w:lang w:val="fr-FR"/>
        </w:rPr>
      </w:pPr>
      <w:r w:rsidRPr="00AB4DCC">
        <w:rPr>
          <w:lang w:val="fr-FR"/>
        </w:rPr>
        <w:t>6.2.4</w:t>
      </w:r>
      <w:r w:rsidRPr="00AB4DCC">
        <w:rPr>
          <w:lang w:val="fr-FR"/>
        </w:rPr>
        <w:tab/>
        <w:t>La position de la commande d’accélérateur doit être mesurée avec une précision de +/- 1</w:t>
      </w:r>
      <w:r w:rsidR="004560AA">
        <w:rPr>
          <w:lang w:val="fr-FR"/>
        </w:rPr>
        <w:t> %</w:t>
      </w:r>
      <w:r w:rsidR="00AB6B32">
        <w:rPr>
          <w:lang w:val="fr-FR"/>
        </w:rPr>
        <w:t> ;</w:t>
      </w:r>
      <w:r w:rsidRPr="00AB4DCC">
        <w:rPr>
          <w:lang w:val="fr-FR"/>
        </w:rPr>
        <w:t xml:space="preserve"> à défaut (au choix du constructeur), cette mesure peut être prise au moyen du capteur de position du véhicule.</w:t>
      </w:r>
    </w:p>
    <w:p w14:paraId="7669C4D7" w14:textId="77777777" w:rsidR="00A20ACD" w:rsidRPr="00AB4DCC" w:rsidRDefault="00A20ACD" w:rsidP="00DE2924">
      <w:pPr>
        <w:pStyle w:val="SingleTxtG"/>
        <w:ind w:left="2268" w:hanging="1134"/>
        <w:rPr>
          <w:color w:val="000000" w:themeColor="text1"/>
          <w:lang w:val="fr-FR"/>
        </w:rPr>
      </w:pPr>
      <w:r w:rsidRPr="00AB4DCC">
        <w:rPr>
          <w:lang w:val="fr-FR"/>
        </w:rPr>
        <w:t>6.2.5</w:t>
      </w:r>
      <w:r w:rsidRPr="00AB4DCC">
        <w:rPr>
          <w:lang w:val="fr-FR"/>
        </w:rPr>
        <w:tab/>
        <w:t>Les mesures doivent être enregistrées à une fréquence d’au moins 100 Hz.]</w:t>
      </w:r>
    </w:p>
    <w:p w14:paraId="52B15647" w14:textId="77777777" w:rsidR="00A20ACD" w:rsidRPr="00AB4DCC" w:rsidRDefault="00A20ACD" w:rsidP="00DE2924">
      <w:pPr>
        <w:pStyle w:val="SingleTxtG"/>
        <w:ind w:left="2268" w:hanging="1134"/>
        <w:rPr>
          <w:color w:val="000000" w:themeColor="text1"/>
          <w:lang w:val="fr-FR"/>
        </w:rPr>
      </w:pPr>
      <w:r w:rsidRPr="00AB4DCC">
        <w:rPr>
          <w:lang w:val="fr-FR"/>
        </w:rPr>
        <w:t>6.2</w:t>
      </w:r>
      <w:r w:rsidRPr="00AB4DCC">
        <w:rPr>
          <w:lang w:val="fr-FR"/>
        </w:rPr>
        <w:tab/>
        <w:t>Véhicule d’essai</w:t>
      </w:r>
    </w:p>
    <w:p w14:paraId="7847CA77" w14:textId="77777777" w:rsidR="00A20ACD" w:rsidRPr="00AB4DCC" w:rsidRDefault="00A20ACD" w:rsidP="00DE2924">
      <w:pPr>
        <w:pStyle w:val="SingleTxtG"/>
        <w:ind w:left="2268" w:hanging="1134"/>
        <w:rPr>
          <w:color w:val="000000" w:themeColor="text1"/>
          <w:lang w:val="fr-FR"/>
        </w:rPr>
      </w:pPr>
      <w:r w:rsidRPr="00AB4DCC">
        <w:rPr>
          <w:lang w:val="fr-FR"/>
        </w:rPr>
        <w:t>6.2.1</w:t>
      </w:r>
      <w:r w:rsidRPr="00AB4DCC">
        <w:rPr>
          <w:lang w:val="fr-FR"/>
        </w:rPr>
        <w:tab/>
        <w:t>Conditionnement préalable à l’essai</w:t>
      </w:r>
    </w:p>
    <w:p w14:paraId="752F2DEA" w14:textId="1F51752F" w:rsidR="00A20ACD" w:rsidRPr="00AB4DCC" w:rsidRDefault="00A20ACD" w:rsidP="00571A25">
      <w:pPr>
        <w:pStyle w:val="SingleTxtG"/>
        <w:ind w:left="2268"/>
        <w:rPr>
          <w:bCs/>
          <w:lang w:val="fr-FR"/>
        </w:rPr>
      </w:pPr>
      <w:r w:rsidRPr="00AB4DCC">
        <w:rPr>
          <w:lang w:val="fr-FR"/>
        </w:rPr>
        <w:t>Sur demande du constructeur du véhicule</w:t>
      </w:r>
      <w:r w:rsidR="00AB6B32">
        <w:rPr>
          <w:lang w:val="fr-FR"/>
        </w:rPr>
        <w:t> :</w:t>
      </w:r>
    </w:p>
    <w:p w14:paraId="2E015F6C" w14:textId="40BD2C3C" w:rsidR="00A20ACD" w:rsidRPr="00AB4DCC" w:rsidRDefault="00A20ACD" w:rsidP="00571A25">
      <w:pPr>
        <w:pStyle w:val="SingleTxtG"/>
        <w:ind w:left="2835" w:hanging="567"/>
        <w:rPr>
          <w:bCs/>
          <w:lang w:val="fr-FR"/>
        </w:rPr>
      </w:pPr>
      <w:r w:rsidRPr="00AB4DCC">
        <w:rPr>
          <w:lang w:val="fr-FR"/>
        </w:rPr>
        <w:t>a)</w:t>
      </w:r>
      <w:r w:rsidRPr="00AB4DCC">
        <w:rPr>
          <w:lang w:val="fr-FR"/>
        </w:rPr>
        <w:tab/>
        <w:t>Le véhicule peut être conduit sur un trajet n’excédant pas 100 km comportant des sections urbaines et rurales, emprunté par d’autres véhicules et jalonné d’équipements routiers, pour initialiser le système de capteurs</w:t>
      </w:r>
      <w:r w:rsidR="00AB6B32">
        <w:rPr>
          <w:lang w:val="fr-FR"/>
        </w:rPr>
        <w:t> ;</w:t>
      </w:r>
    </w:p>
    <w:p w14:paraId="05B67DFE" w14:textId="77777777" w:rsidR="00A20ACD" w:rsidRPr="00AB4DCC" w:rsidRDefault="00A20ACD" w:rsidP="00571A25">
      <w:pPr>
        <w:pStyle w:val="SingleTxtG"/>
        <w:ind w:left="2835" w:hanging="567"/>
        <w:rPr>
          <w:lang w:val="fr-FR"/>
        </w:rPr>
      </w:pPr>
      <w:r w:rsidRPr="00AB4DCC">
        <w:rPr>
          <w:lang w:val="fr-FR"/>
        </w:rPr>
        <w:t>b)</w:t>
      </w:r>
      <w:r w:rsidRPr="00AB4DCC">
        <w:rPr>
          <w:lang w:val="fr-FR"/>
        </w:rPr>
        <w:tab/>
        <w:t>Le véhicule peut subir une série de freinages destinés à assurer que le système de frein de service est calé avant l’essai.</w:t>
      </w:r>
    </w:p>
    <w:p w14:paraId="450C1EE3" w14:textId="77777777" w:rsidR="00A20ACD" w:rsidRPr="00AB4DCC" w:rsidRDefault="00A20ACD" w:rsidP="00571A25">
      <w:pPr>
        <w:pStyle w:val="SingleTxtG"/>
        <w:ind w:left="2268"/>
        <w:rPr>
          <w:bCs/>
          <w:lang w:val="fr-FR"/>
        </w:rPr>
      </w:pPr>
      <w:r w:rsidRPr="00AB4DCC">
        <w:rPr>
          <w:lang w:val="fr-FR"/>
        </w:rPr>
        <w:t>Les détails de la stratégie de conditionnement demandée par le constructeur du véhicule doivent être précisés et consignés dans le dossier d’homologation de type du véhicule.</w:t>
      </w:r>
    </w:p>
    <w:p w14:paraId="7D09CB58" w14:textId="77777777" w:rsidR="00A20ACD" w:rsidRPr="00AB4DCC" w:rsidRDefault="00A20ACD" w:rsidP="00DE2924">
      <w:pPr>
        <w:pStyle w:val="SingleTxtG"/>
        <w:ind w:left="2268" w:hanging="1134"/>
        <w:rPr>
          <w:color w:val="000000" w:themeColor="text1"/>
          <w:lang w:val="fr-FR"/>
        </w:rPr>
      </w:pPr>
      <w:r w:rsidRPr="00AB4DCC">
        <w:rPr>
          <w:lang w:val="fr-FR"/>
        </w:rPr>
        <w:t>6.2.2</w:t>
      </w:r>
      <w:r w:rsidRPr="00AB4DCC">
        <w:rPr>
          <w:lang w:val="fr-FR"/>
        </w:rPr>
        <w:tab/>
        <w:t>Avant tout essai, il convient de s’assurer que le système ACPE est activé et prêt à fonctionner.</w:t>
      </w:r>
    </w:p>
    <w:p w14:paraId="7BCAE9D9" w14:textId="77777777" w:rsidR="00A20ACD" w:rsidRPr="00AB4DCC" w:rsidRDefault="00A20ACD" w:rsidP="00DE2924">
      <w:pPr>
        <w:pStyle w:val="SingleTxtG"/>
        <w:ind w:left="2268" w:hanging="1134"/>
        <w:rPr>
          <w:lang w:val="fr-FR"/>
        </w:rPr>
      </w:pPr>
      <w:r w:rsidRPr="00AB4DCC">
        <w:rPr>
          <w:lang w:val="fr-FR"/>
        </w:rPr>
        <w:t>6.2.3</w:t>
      </w:r>
      <w:r w:rsidRPr="00AB4DCC">
        <w:rPr>
          <w:lang w:val="fr-FR"/>
        </w:rPr>
        <w:tab/>
        <w:t>Masse du véhicule mis à l’essai</w:t>
      </w:r>
    </w:p>
    <w:p w14:paraId="327A25D7" w14:textId="67953656" w:rsidR="00A20ACD" w:rsidRPr="00AB4DCC" w:rsidRDefault="00A20ACD" w:rsidP="00571A25">
      <w:pPr>
        <w:pStyle w:val="SingleTxtG"/>
        <w:ind w:left="2268"/>
        <w:rPr>
          <w:bCs/>
          <w:lang w:val="fr-FR"/>
        </w:rPr>
      </w:pPr>
      <w:r w:rsidRPr="00AB4DCC">
        <w:rPr>
          <w:lang w:val="fr-FR"/>
        </w:rPr>
        <w:t>Le véhicule doit être soumis à l’essai</w:t>
      </w:r>
      <w:r w:rsidR="00AB6B32">
        <w:rPr>
          <w:lang w:val="fr-FR"/>
        </w:rPr>
        <w:t> :</w:t>
      </w:r>
    </w:p>
    <w:p w14:paraId="130A7443" w14:textId="0194AACE" w:rsidR="00A20ACD" w:rsidRPr="00AB4DCC" w:rsidRDefault="00A20ACD" w:rsidP="00571A25">
      <w:pPr>
        <w:pStyle w:val="SingleTxtG"/>
        <w:ind w:left="2835" w:hanging="567"/>
        <w:rPr>
          <w:bCs/>
          <w:lang w:val="fr-FR"/>
        </w:rPr>
      </w:pPr>
      <w:bookmarkStart w:id="11" w:name="_Hlk86222680"/>
      <w:r w:rsidRPr="00AB4DCC">
        <w:rPr>
          <w:lang w:val="fr-FR"/>
        </w:rPr>
        <w:t>a)</w:t>
      </w:r>
      <w:r w:rsidRPr="00AB4DCC">
        <w:rPr>
          <w:lang w:val="fr-FR"/>
        </w:rPr>
        <w:tab/>
        <w:t>À la masse minimale (masse du véhicule en ordre de marche avec une masse supplémentaire maximale de 125 kg)</w:t>
      </w:r>
      <w:r w:rsidR="00AB6B32">
        <w:rPr>
          <w:lang w:val="fr-FR"/>
        </w:rPr>
        <w:t> ;</w:t>
      </w:r>
    </w:p>
    <w:bookmarkEnd w:id="11"/>
    <w:p w14:paraId="131AE8F0" w14:textId="77777777" w:rsidR="00A20ACD" w:rsidRPr="00AB4DCC" w:rsidRDefault="00A20ACD" w:rsidP="00571A25">
      <w:pPr>
        <w:pStyle w:val="SingleTxtG"/>
        <w:ind w:left="2835" w:hanging="567"/>
        <w:rPr>
          <w:lang w:val="fr-FR"/>
        </w:rPr>
      </w:pPr>
      <w:r w:rsidRPr="00AB4DCC">
        <w:rPr>
          <w:lang w:val="fr-FR"/>
        </w:rPr>
        <w:t>b)</w:t>
      </w:r>
      <w:r w:rsidRPr="00AB4DCC">
        <w:rPr>
          <w:lang w:val="fr-FR"/>
        </w:rPr>
        <w:tab/>
        <w:t>À toute autre masse allant jusqu’à la masse en charge maximale techniquement admissible telle que spécifiée par le constructeur, si le service technique le juge utile. Aucune modification ne doit être apportée une fois que l’essai a commencé.</w:t>
      </w:r>
    </w:p>
    <w:p w14:paraId="0A66F451" w14:textId="77777777" w:rsidR="00A20ACD" w:rsidRPr="00AB4DCC" w:rsidRDefault="00A20ACD" w:rsidP="00DE2924">
      <w:pPr>
        <w:pStyle w:val="SingleTxtG"/>
        <w:ind w:left="2268" w:hanging="1134"/>
        <w:rPr>
          <w:color w:val="000000" w:themeColor="text1"/>
          <w:lang w:val="fr-FR"/>
        </w:rPr>
      </w:pPr>
      <w:r w:rsidRPr="00AB4DCC">
        <w:rPr>
          <w:lang w:val="fr-FR"/>
        </w:rPr>
        <w:t>6.3</w:t>
      </w:r>
      <w:r w:rsidRPr="00AB4DCC">
        <w:rPr>
          <w:lang w:val="fr-FR"/>
        </w:rPr>
        <w:tab/>
        <w:t>Cibles utilisées pour les essais</w:t>
      </w:r>
    </w:p>
    <w:p w14:paraId="2AB77296" w14:textId="7F6F7249" w:rsidR="00A20ACD" w:rsidRPr="00AB4DCC" w:rsidRDefault="00A20ACD" w:rsidP="00DE2924">
      <w:pPr>
        <w:pStyle w:val="SingleTxtG"/>
        <w:ind w:left="2268" w:hanging="1134"/>
        <w:rPr>
          <w:color w:val="000000" w:themeColor="text1"/>
          <w:lang w:val="fr-FR"/>
        </w:rPr>
      </w:pPr>
      <w:r w:rsidRPr="00AB4DCC">
        <w:rPr>
          <w:lang w:val="fr-FR"/>
        </w:rPr>
        <w:t>6.3.1</w:t>
      </w:r>
      <w:r w:rsidRPr="00AB4DCC">
        <w:rPr>
          <w:lang w:val="fr-FR"/>
        </w:rPr>
        <w:tab/>
        <w:t>La cible utilisée pour les essais doit être une voiture particulière normale de la catégorie M</w:t>
      </w:r>
      <w:r w:rsidRPr="00AB4DCC">
        <w:rPr>
          <w:vertAlign w:val="subscript"/>
          <w:lang w:val="fr-FR"/>
        </w:rPr>
        <w:t>1</w:t>
      </w:r>
      <w:r w:rsidRPr="00AB4DCC">
        <w:rPr>
          <w:lang w:val="fr-FR"/>
        </w:rPr>
        <w:t xml:space="preserve"> produite en grande série ou, à défaut, une </w:t>
      </w:r>
      <w:r w:rsidR="00401B26" w:rsidRPr="00AB4DCC">
        <w:rPr>
          <w:lang w:val="fr-FR"/>
        </w:rPr>
        <w:t>«</w:t>
      </w:r>
      <w:r w:rsidR="00401B26">
        <w:rPr>
          <w:lang w:val="fr-FR"/>
        </w:rPr>
        <w:t> </w:t>
      </w:r>
      <w:r w:rsidRPr="00AB4DCC">
        <w:rPr>
          <w:lang w:val="fr-FR"/>
        </w:rPr>
        <w:t>cible non rigide</w:t>
      </w:r>
      <w:r w:rsidR="00401B26">
        <w:rPr>
          <w:lang w:val="fr-FR"/>
        </w:rPr>
        <w:t> </w:t>
      </w:r>
      <w:r w:rsidR="00401B26" w:rsidRPr="00AB4DCC">
        <w:rPr>
          <w:lang w:val="fr-FR"/>
        </w:rPr>
        <w:t>»</w:t>
      </w:r>
      <w:r w:rsidRPr="00AB4DCC">
        <w:rPr>
          <w:lang w:val="fr-FR"/>
        </w:rPr>
        <w:t xml:space="preserve"> dont les caractéristiques d’identification applicables au système de capteurs du système ACPE soumis à l’essai conformément à la norme ISO 19206-1</w:t>
      </w:r>
      <w:r w:rsidR="00AB6B32">
        <w:rPr>
          <w:lang w:val="fr-FR"/>
        </w:rPr>
        <w:t>:</w:t>
      </w:r>
      <w:r w:rsidRPr="00AB4DCC">
        <w:rPr>
          <w:lang w:val="fr-FR"/>
        </w:rPr>
        <w:t>2018 ou à la norme ISO 19206-3</w:t>
      </w:r>
      <w:r w:rsidR="00AB6B32">
        <w:rPr>
          <w:lang w:val="fr-FR"/>
        </w:rPr>
        <w:t>:</w:t>
      </w:r>
      <w:r w:rsidRPr="00AB4DCC">
        <w:rPr>
          <w:lang w:val="fr-FR"/>
        </w:rPr>
        <w:t>2021, au choix du constructeur, sont représentatives d’un tel véhicule.</w:t>
      </w:r>
      <w:bookmarkStart w:id="12" w:name="OLE_LINK5"/>
      <w:bookmarkStart w:id="13" w:name="OLE_LINK13"/>
      <w:bookmarkEnd w:id="12"/>
      <w:bookmarkEnd w:id="13"/>
    </w:p>
    <w:p w14:paraId="5AB3AFF2" w14:textId="77777777" w:rsidR="00A20ACD" w:rsidRPr="00AB4DCC" w:rsidRDefault="00A20ACD" w:rsidP="00DE2924">
      <w:pPr>
        <w:pStyle w:val="SingleTxtG"/>
        <w:ind w:left="2268" w:hanging="1134"/>
        <w:rPr>
          <w:bCs/>
          <w:lang w:val="fr-FR"/>
        </w:rPr>
      </w:pPr>
      <w:r w:rsidRPr="00AB4DCC">
        <w:rPr>
          <w:lang w:val="fr-FR"/>
        </w:rPr>
        <w:t>6.4</w:t>
      </w:r>
      <w:r w:rsidRPr="00AB4DCC">
        <w:rPr>
          <w:lang w:val="fr-FR"/>
        </w:rPr>
        <w:tab/>
        <w:t>Essai de mauvais usage de la commande d’accélérateur</w:t>
      </w:r>
    </w:p>
    <w:p w14:paraId="3A71AD62" w14:textId="77777777" w:rsidR="00A20ACD" w:rsidRPr="00AB4DCC" w:rsidRDefault="00A20ACD" w:rsidP="00571A25">
      <w:pPr>
        <w:pStyle w:val="SingleTxtG"/>
        <w:ind w:left="2268"/>
        <w:rPr>
          <w:rFonts w:eastAsia="MS Gothic"/>
          <w:color w:val="000000" w:themeColor="text1"/>
          <w:lang w:val="fr-FR"/>
        </w:rPr>
      </w:pPr>
      <w:r w:rsidRPr="00AB4DCC">
        <w:rPr>
          <w:lang w:val="fr-FR"/>
        </w:rPr>
        <w:t>Le décalage latéral entre l’axe médian de la cible et celui du véhicule doit être compris entre 0,0 m et 0,2 m.</w:t>
      </w:r>
    </w:p>
    <w:p w14:paraId="3615539B" w14:textId="2ABFB836" w:rsidR="00A20ACD" w:rsidRPr="00AB4DCC" w:rsidRDefault="00A20ACD" w:rsidP="00571A25">
      <w:pPr>
        <w:pStyle w:val="SingleTxtG"/>
        <w:ind w:left="2268"/>
        <w:rPr>
          <w:color w:val="000000" w:themeColor="text1"/>
          <w:lang w:val="fr-FR"/>
        </w:rPr>
      </w:pPr>
      <w:r w:rsidRPr="00AB4DCC">
        <w:rPr>
          <w:lang w:val="fr-FR"/>
        </w:rPr>
        <w:t>La procédure d’essai est la suivante</w:t>
      </w:r>
      <w:r w:rsidR="00AB6B32">
        <w:rPr>
          <w:lang w:val="fr-FR"/>
        </w:rPr>
        <w:t> :</w:t>
      </w:r>
    </w:p>
    <w:p w14:paraId="6B353454" w14:textId="77777777" w:rsidR="00A20ACD" w:rsidRPr="00AB4DCC" w:rsidRDefault="00A20ACD" w:rsidP="00571A25">
      <w:pPr>
        <w:pStyle w:val="SingleTxtG"/>
        <w:ind w:left="2268"/>
        <w:rPr>
          <w:color w:val="000000" w:themeColor="text1"/>
          <w:lang w:val="fr-FR"/>
        </w:rPr>
      </w:pPr>
      <w:r w:rsidRPr="00AB4DCC">
        <w:rPr>
          <w:lang w:val="fr-FR"/>
        </w:rPr>
        <w:t>L’essai doit être réalisé avec et sans intervention prévue du système ACPE, en marche avant et en marche arrière, et au moins à une distance de 1,0 m (tolérance de +0,1 m) et de 1,5 m (tolérance de -0,1 m) de la position cible au début de l’essai (comme indiqué dans le tableau 1).</w:t>
      </w:r>
    </w:p>
    <w:p w14:paraId="73255E3E" w14:textId="77777777" w:rsidR="00A20ACD" w:rsidRPr="00AB4DCC" w:rsidRDefault="00A20ACD" w:rsidP="00714C7B">
      <w:pPr>
        <w:pStyle w:val="Titre1"/>
        <w:rPr>
          <w:lang w:val="fr-FR"/>
        </w:rPr>
      </w:pPr>
      <w:r w:rsidRPr="00AB4DCC">
        <w:rPr>
          <w:lang w:val="fr-FR"/>
        </w:rPr>
        <w:t>Tableau 1</w:t>
      </w:r>
    </w:p>
    <w:p w14:paraId="7B9D67BB" w14:textId="77777777" w:rsidR="00A20ACD" w:rsidRPr="00714C7B" w:rsidRDefault="00A20ACD" w:rsidP="00714C7B">
      <w:pPr>
        <w:pStyle w:val="SingleTxtG"/>
        <w:keepNext/>
        <w:jc w:val="left"/>
        <w:rPr>
          <w:b/>
          <w:bCs/>
          <w:color w:val="000000" w:themeColor="text1"/>
          <w:lang w:val="fr-FR"/>
        </w:rPr>
      </w:pPr>
      <w:r w:rsidRPr="00714C7B">
        <w:rPr>
          <w:b/>
          <w:bCs/>
          <w:lang w:val="fr-FR"/>
        </w:rPr>
        <w:t>Conditions d’essai</w:t>
      </w:r>
    </w:p>
    <w:tbl>
      <w:tblPr>
        <w:tblW w:w="8504" w:type="dxa"/>
        <w:tblInd w:w="1134" w:type="dxa"/>
        <w:tblLayout w:type="fixed"/>
        <w:tblCellMar>
          <w:left w:w="0" w:type="dxa"/>
          <w:right w:w="0" w:type="dxa"/>
        </w:tblCellMar>
        <w:tblLook w:val="04A0" w:firstRow="1" w:lastRow="0" w:firstColumn="1" w:lastColumn="0" w:noHBand="0" w:noVBand="1"/>
      </w:tblPr>
      <w:tblGrid>
        <w:gridCol w:w="1636"/>
        <w:gridCol w:w="2050"/>
        <w:gridCol w:w="1843"/>
        <w:gridCol w:w="1559"/>
        <w:gridCol w:w="1416"/>
      </w:tblGrid>
      <w:tr w:rsidR="00714C7B" w:rsidRPr="00714C7B" w14:paraId="42CE0EA9" w14:textId="77777777" w:rsidTr="00714C7B">
        <w:trPr>
          <w:tblHeader/>
        </w:trPr>
        <w:tc>
          <w:tcPr>
            <w:tcW w:w="1636" w:type="dxa"/>
            <w:tcBorders>
              <w:top w:val="single" w:sz="4" w:space="0" w:color="auto"/>
              <w:bottom w:val="single" w:sz="12" w:space="0" w:color="auto"/>
            </w:tcBorders>
            <w:shd w:val="clear" w:color="auto" w:fill="auto"/>
            <w:vAlign w:val="bottom"/>
          </w:tcPr>
          <w:p w14:paraId="60A170D6" w14:textId="77777777" w:rsidR="00A20ACD" w:rsidRPr="00714C7B" w:rsidRDefault="00A20ACD" w:rsidP="00714C7B">
            <w:pPr>
              <w:suppressAutoHyphens w:val="0"/>
              <w:spacing w:before="80" w:after="80" w:line="200" w:lineRule="exact"/>
              <w:rPr>
                <w:i/>
                <w:sz w:val="16"/>
                <w:lang w:val="fr-FR"/>
              </w:rPr>
            </w:pPr>
            <w:bookmarkStart w:id="14" w:name="_Hlk160096596"/>
            <w:r w:rsidRPr="00714C7B">
              <w:rPr>
                <w:i/>
                <w:sz w:val="16"/>
                <w:lang w:val="fr-FR"/>
              </w:rPr>
              <w:t>Sens de la marche</w:t>
            </w:r>
          </w:p>
        </w:tc>
        <w:tc>
          <w:tcPr>
            <w:tcW w:w="2050" w:type="dxa"/>
            <w:tcBorders>
              <w:top w:val="single" w:sz="4" w:space="0" w:color="auto"/>
              <w:bottom w:val="single" w:sz="12" w:space="0" w:color="auto"/>
            </w:tcBorders>
            <w:shd w:val="clear" w:color="auto" w:fill="auto"/>
            <w:vAlign w:val="bottom"/>
          </w:tcPr>
          <w:p w14:paraId="1EA5F25E" w14:textId="6695E9CE" w:rsidR="00A20ACD" w:rsidRPr="00714C7B" w:rsidRDefault="00A20ACD" w:rsidP="00714C7B">
            <w:pPr>
              <w:suppressAutoHyphens w:val="0"/>
              <w:spacing w:before="80" w:after="80" w:line="200" w:lineRule="exact"/>
              <w:jc w:val="right"/>
              <w:rPr>
                <w:i/>
                <w:sz w:val="16"/>
                <w:lang w:val="fr-FR"/>
              </w:rPr>
            </w:pPr>
            <w:r w:rsidRPr="00714C7B">
              <w:rPr>
                <w:i/>
                <w:sz w:val="16"/>
                <w:lang w:val="fr-FR"/>
              </w:rPr>
              <w:t xml:space="preserve">Distance par rapport </w:t>
            </w:r>
            <w:r w:rsidR="00714C7B">
              <w:rPr>
                <w:i/>
                <w:sz w:val="16"/>
                <w:lang w:val="fr-FR"/>
              </w:rPr>
              <w:br/>
            </w:r>
            <w:r w:rsidRPr="00714C7B">
              <w:rPr>
                <w:i/>
                <w:sz w:val="16"/>
                <w:lang w:val="fr-FR"/>
              </w:rPr>
              <w:t>à la cible /</w:t>
            </w:r>
            <w:r w:rsidR="00714C7B" w:rsidRPr="00714C7B">
              <w:rPr>
                <w:i/>
                <w:sz w:val="16"/>
                <w:lang w:val="fr-FR"/>
              </w:rPr>
              <w:br/>
            </w:r>
            <w:r w:rsidRPr="00714C7B">
              <w:rPr>
                <w:i/>
                <w:sz w:val="16"/>
                <w:lang w:val="fr-FR"/>
              </w:rPr>
              <w:t>Distance par rapport au point de mesure de la vitesse</w:t>
            </w:r>
            <w:r w:rsidR="00714C7B" w:rsidRPr="00714C7B">
              <w:rPr>
                <w:i/>
                <w:sz w:val="16"/>
                <w:lang w:val="fr-FR"/>
              </w:rPr>
              <w:br/>
            </w:r>
            <w:r w:rsidRPr="00714C7B">
              <w:rPr>
                <w:i/>
                <w:sz w:val="16"/>
                <w:lang w:val="fr-FR"/>
              </w:rPr>
              <w:t>(m)</w:t>
            </w:r>
          </w:p>
        </w:tc>
        <w:tc>
          <w:tcPr>
            <w:tcW w:w="1843" w:type="dxa"/>
            <w:tcBorders>
              <w:top w:val="single" w:sz="4" w:space="0" w:color="auto"/>
              <w:bottom w:val="single" w:sz="12" w:space="0" w:color="auto"/>
            </w:tcBorders>
            <w:shd w:val="clear" w:color="auto" w:fill="auto"/>
            <w:vAlign w:val="bottom"/>
          </w:tcPr>
          <w:p w14:paraId="0FB93227" w14:textId="5E520532" w:rsidR="00A20ACD" w:rsidRPr="00714C7B" w:rsidRDefault="00A20ACD" w:rsidP="00714C7B">
            <w:pPr>
              <w:suppressAutoHyphens w:val="0"/>
              <w:spacing w:before="80" w:after="80" w:line="200" w:lineRule="exact"/>
              <w:jc w:val="right"/>
              <w:rPr>
                <w:i/>
                <w:sz w:val="16"/>
                <w:lang w:val="fr-FR"/>
              </w:rPr>
            </w:pPr>
            <w:r w:rsidRPr="00714C7B">
              <w:rPr>
                <w:i/>
                <w:sz w:val="16"/>
                <w:lang w:val="fr-FR"/>
              </w:rPr>
              <w:t>Tolérance concernant</w:t>
            </w:r>
            <w:r w:rsidR="00714C7B">
              <w:rPr>
                <w:i/>
                <w:sz w:val="16"/>
                <w:lang w:val="fr-FR"/>
              </w:rPr>
              <w:br/>
            </w:r>
            <w:r w:rsidRPr="00714C7B">
              <w:rPr>
                <w:i/>
                <w:sz w:val="16"/>
                <w:lang w:val="fr-FR"/>
              </w:rPr>
              <w:t>la distance longitudinale</w:t>
            </w:r>
            <w:r w:rsidR="00714C7B" w:rsidRPr="00714C7B">
              <w:rPr>
                <w:i/>
                <w:sz w:val="16"/>
                <w:lang w:val="fr-FR"/>
              </w:rPr>
              <w:br/>
            </w:r>
            <w:r w:rsidRPr="00714C7B">
              <w:rPr>
                <w:i/>
                <w:sz w:val="16"/>
                <w:lang w:val="fr-FR"/>
              </w:rPr>
              <w:t>(m)</w:t>
            </w:r>
          </w:p>
        </w:tc>
        <w:tc>
          <w:tcPr>
            <w:tcW w:w="1559" w:type="dxa"/>
            <w:tcBorders>
              <w:top w:val="single" w:sz="4" w:space="0" w:color="auto"/>
              <w:bottom w:val="single" w:sz="12" w:space="0" w:color="auto"/>
            </w:tcBorders>
            <w:shd w:val="clear" w:color="auto" w:fill="auto"/>
            <w:vAlign w:val="bottom"/>
          </w:tcPr>
          <w:p w14:paraId="146E4EBE" w14:textId="336E636E" w:rsidR="00A20ACD" w:rsidRPr="00714C7B" w:rsidRDefault="00A20ACD" w:rsidP="00714C7B">
            <w:pPr>
              <w:suppressAutoHyphens w:val="0"/>
              <w:spacing w:before="80" w:after="80" w:line="200" w:lineRule="exact"/>
              <w:jc w:val="right"/>
              <w:rPr>
                <w:i/>
                <w:sz w:val="16"/>
                <w:lang w:val="fr-FR"/>
              </w:rPr>
            </w:pPr>
            <w:r w:rsidRPr="00714C7B">
              <w:rPr>
                <w:i/>
                <w:sz w:val="16"/>
                <w:lang w:val="fr-FR"/>
              </w:rPr>
              <w:t>Tolérance concernant la distance latérale (décalage)</w:t>
            </w:r>
            <w:r w:rsidR="00714C7B" w:rsidRPr="00714C7B">
              <w:rPr>
                <w:i/>
                <w:sz w:val="16"/>
                <w:lang w:val="fr-FR"/>
              </w:rPr>
              <w:br/>
            </w:r>
            <w:r w:rsidRPr="00714C7B">
              <w:rPr>
                <w:i/>
                <w:sz w:val="16"/>
                <w:lang w:val="fr-FR"/>
              </w:rPr>
              <w:t>(m)</w:t>
            </w:r>
          </w:p>
        </w:tc>
        <w:tc>
          <w:tcPr>
            <w:tcW w:w="1416" w:type="dxa"/>
            <w:tcBorders>
              <w:top w:val="single" w:sz="4" w:space="0" w:color="auto"/>
              <w:bottom w:val="single" w:sz="12" w:space="0" w:color="auto"/>
            </w:tcBorders>
            <w:shd w:val="clear" w:color="auto" w:fill="auto"/>
            <w:vAlign w:val="bottom"/>
          </w:tcPr>
          <w:p w14:paraId="66CF892A" w14:textId="77777777" w:rsidR="00A20ACD" w:rsidRPr="00714C7B" w:rsidRDefault="00A20ACD" w:rsidP="00714C7B">
            <w:pPr>
              <w:suppressAutoHyphens w:val="0"/>
              <w:spacing w:before="80" w:after="80" w:line="200" w:lineRule="exact"/>
              <w:jc w:val="right"/>
              <w:rPr>
                <w:i/>
                <w:sz w:val="16"/>
                <w:lang w:val="fr-FR"/>
              </w:rPr>
            </w:pPr>
            <w:r w:rsidRPr="00714C7B">
              <w:rPr>
                <w:i/>
                <w:sz w:val="16"/>
                <w:lang w:val="fr-FR"/>
              </w:rPr>
              <w:t>Présence de la cible</w:t>
            </w:r>
          </w:p>
        </w:tc>
      </w:tr>
      <w:tr w:rsidR="00714C7B" w:rsidRPr="00714C7B" w14:paraId="2DFAD044" w14:textId="77777777" w:rsidTr="00714C7B">
        <w:tc>
          <w:tcPr>
            <w:tcW w:w="1636" w:type="dxa"/>
            <w:tcBorders>
              <w:top w:val="single" w:sz="12" w:space="0" w:color="auto"/>
            </w:tcBorders>
            <w:shd w:val="clear" w:color="auto" w:fill="auto"/>
          </w:tcPr>
          <w:p w14:paraId="761553A4" w14:textId="77777777" w:rsidR="00A20ACD" w:rsidRPr="00714C7B" w:rsidRDefault="00A20ACD" w:rsidP="00714C7B">
            <w:pPr>
              <w:suppressAutoHyphens w:val="0"/>
              <w:spacing w:before="40" w:after="40" w:line="220" w:lineRule="exact"/>
              <w:rPr>
                <w:sz w:val="18"/>
                <w:lang w:val="fr-FR"/>
              </w:rPr>
            </w:pPr>
            <w:r w:rsidRPr="00714C7B">
              <w:rPr>
                <w:sz w:val="18"/>
                <w:lang w:val="fr-FR"/>
              </w:rPr>
              <w:t>Marche avant</w:t>
            </w:r>
          </w:p>
        </w:tc>
        <w:tc>
          <w:tcPr>
            <w:tcW w:w="2050" w:type="dxa"/>
            <w:tcBorders>
              <w:top w:val="single" w:sz="12" w:space="0" w:color="auto"/>
            </w:tcBorders>
            <w:shd w:val="clear" w:color="auto" w:fill="auto"/>
            <w:vAlign w:val="bottom"/>
          </w:tcPr>
          <w:p w14:paraId="2B36AA26" w14:textId="77777777" w:rsidR="00A20ACD" w:rsidRPr="00714C7B" w:rsidRDefault="00A20ACD" w:rsidP="00714C7B">
            <w:pPr>
              <w:suppressAutoHyphens w:val="0"/>
              <w:spacing w:before="40" w:after="40" w:line="220" w:lineRule="exact"/>
              <w:jc w:val="right"/>
              <w:rPr>
                <w:sz w:val="18"/>
                <w:lang w:val="fr-FR"/>
              </w:rPr>
            </w:pPr>
            <w:r w:rsidRPr="00714C7B">
              <w:rPr>
                <w:sz w:val="18"/>
                <w:lang w:val="fr-FR"/>
              </w:rPr>
              <w:t>1,0</w:t>
            </w:r>
          </w:p>
        </w:tc>
        <w:tc>
          <w:tcPr>
            <w:tcW w:w="1843" w:type="dxa"/>
            <w:tcBorders>
              <w:top w:val="single" w:sz="12" w:space="0" w:color="auto"/>
            </w:tcBorders>
            <w:shd w:val="clear" w:color="auto" w:fill="auto"/>
            <w:vAlign w:val="bottom"/>
          </w:tcPr>
          <w:p w14:paraId="6B2A391C" w14:textId="77777777" w:rsidR="00A20ACD" w:rsidRPr="00714C7B" w:rsidRDefault="00A20ACD" w:rsidP="00714C7B">
            <w:pPr>
              <w:suppressAutoHyphens w:val="0"/>
              <w:spacing w:before="40" w:after="40" w:line="220" w:lineRule="exact"/>
              <w:jc w:val="right"/>
              <w:rPr>
                <w:sz w:val="18"/>
                <w:lang w:val="fr-FR"/>
              </w:rPr>
            </w:pPr>
            <w:r w:rsidRPr="00714C7B">
              <w:rPr>
                <w:sz w:val="18"/>
                <w:lang w:val="fr-FR"/>
              </w:rPr>
              <w:t>+ 0,1</w:t>
            </w:r>
          </w:p>
        </w:tc>
        <w:tc>
          <w:tcPr>
            <w:tcW w:w="1559" w:type="dxa"/>
            <w:tcBorders>
              <w:top w:val="single" w:sz="12" w:space="0" w:color="auto"/>
            </w:tcBorders>
            <w:shd w:val="clear" w:color="auto" w:fill="auto"/>
            <w:vAlign w:val="bottom"/>
          </w:tcPr>
          <w:p w14:paraId="4DDDE80C" w14:textId="77777777" w:rsidR="00A20ACD" w:rsidRPr="00714C7B" w:rsidRDefault="00A20ACD" w:rsidP="00714C7B">
            <w:pPr>
              <w:suppressAutoHyphens w:val="0"/>
              <w:spacing w:before="40" w:after="40" w:line="220" w:lineRule="exact"/>
              <w:jc w:val="right"/>
              <w:rPr>
                <w:sz w:val="18"/>
                <w:lang w:val="fr-FR"/>
              </w:rPr>
            </w:pPr>
            <w:r w:rsidRPr="00714C7B">
              <w:rPr>
                <w:sz w:val="18"/>
                <w:lang w:val="fr-FR"/>
              </w:rPr>
              <w:t>+/-0,2</w:t>
            </w:r>
          </w:p>
        </w:tc>
        <w:tc>
          <w:tcPr>
            <w:tcW w:w="1416" w:type="dxa"/>
            <w:tcBorders>
              <w:top w:val="single" w:sz="12" w:space="0" w:color="auto"/>
            </w:tcBorders>
            <w:shd w:val="clear" w:color="auto" w:fill="auto"/>
            <w:vAlign w:val="bottom"/>
          </w:tcPr>
          <w:p w14:paraId="551BFE62" w14:textId="77777777" w:rsidR="00A20ACD" w:rsidRPr="00714C7B" w:rsidRDefault="00A20ACD" w:rsidP="00714C7B">
            <w:pPr>
              <w:suppressAutoHyphens w:val="0"/>
              <w:spacing w:before="40" w:after="40" w:line="220" w:lineRule="exact"/>
              <w:jc w:val="right"/>
              <w:rPr>
                <w:sz w:val="18"/>
                <w:lang w:val="fr-FR"/>
              </w:rPr>
            </w:pPr>
            <w:r w:rsidRPr="00714C7B">
              <w:rPr>
                <w:sz w:val="18"/>
                <w:lang w:val="fr-FR"/>
              </w:rPr>
              <w:t xml:space="preserve">Oui </w:t>
            </w:r>
          </w:p>
        </w:tc>
      </w:tr>
      <w:tr w:rsidR="00714C7B" w:rsidRPr="00714C7B" w14:paraId="0D765BFC" w14:textId="77777777" w:rsidTr="00714C7B">
        <w:tc>
          <w:tcPr>
            <w:tcW w:w="1636" w:type="dxa"/>
            <w:shd w:val="clear" w:color="auto" w:fill="auto"/>
          </w:tcPr>
          <w:p w14:paraId="0A14924E" w14:textId="77777777" w:rsidR="00A20ACD" w:rsidRPr="00714C7B" w:rsidRDefault="00A20ACD" w:rsidP="00714C7B">
            <w:pPr>
              <w:suppressAutoHyphens w:val="0"/>
              <w:spacing w:before="40" w:after="40" w:line="220" w:lineRule="exact"/>
              <w:rPr>
                <w:sz w:val="18"/>
                <w:lang w:val="fr-FR"/>
              </w:rPr>
            </w:pPr>
            <w:r w:rsidRPr="00714C7B">
              <w:rPr>
                <w:sz w:val="18"/>
                <w:lang w:val="fr-FR"/>
              </w:rPr>
              <w:t>Marche avant</w:t>
            </w:r>
          </w:p>
        </w:tc>
        <w:tc>
          <w:tcPr>
            <w:tcW w:w="2050" w:type="dxa"/>
            <w:shd w:val="clear" w:color="auto" w:fill="auto"/>
            <w:vAlign w:val="bottom"/>
          </w:tcPr>
          <w:p w14:paraId="523D6665" w14:textId="77777777" w:rsidR="00A20ACD" w:rsidRPr="00714C7B" w:rsidRDefault="00A20ACD" w:rsidP="00714C7B">
            <w:pPr>
              <w:suppressAutoHyphens w:val="0"/>
              <w:spacing w:before="40" w:after="40" w:line="220" w:lineRule="exact"/>
              <w:jc w:val="right"/>
              <w:rPr>
                <w:sz w:val="18"/>
                <w:lang w:val="fr-FR"/>
              </w:rPr>
            </w:pPr>
            <w:r w:rsidRPr="00714C7B">
              <w:rPr>
                <w:sz w:val="18"/>
                <w:lang w:val="fr-FR"/>
              </w:rPr>
              <w:t>1,0</w:t>
            </w:r>
          </w:p>
        </w:tc>
        <w:tc>
          <w:tcPr>
            <w:tcW w:w="1843" w:type="dxa"/>
            <w:shd w:val="clear" w:color="auto" w:fill="auto"/>
            <w:vAlign w:val="bottom"/>
          </w:tcPr>
          <w:p w14:paraId="188E030A" w14:textId="77777777" w:rsidR="00A20ACD" w:rsidRPr="00714C7B" w:rsidRDefault="00A20ACD" w:rsidP="00714C7B">
            <w:pPr>
              <w:suppressAutoHyphens w:val="0"/>
              <w:spacing w:before="40" w:after="40" w:line="220" w:lineRule="exact"/>
              <w:jc w:val="right"/>
              <w:rPr>
                <w:sz w:val="18"/>
                <w:lang w:val="fr-FR"/>
              </w:rPr>
            </w:pPr>
            <w:r w:rsidRPr="00714C7B">
              <w:rPr>
                <w:sz w:val="18"/>
                <w:lang w:val="fr-FR"/>
              </w:rPr>
              <w:t>+ 0,1</w:t>
            </w:r>
          </w:p>
        </w:tc>
        <w:tc>
          <w:tcPr>
            <w:tcW w:w="1559" w:type="dxa"/>
            <w:shd w:val="clear" w:color="auto" w:fill="auto"/>
            <w:vAlign w:val="bottom"/>
          </w:tcPr>
          <w:p w14:paraId="1B176203" w14:textId="77777777" w:rsidR="00A20ACD" w:rsidRPr="00714C7B" w:rsidRDefault="00A20ACD" w:rsidP="00714C7B">
            <w:pPr>
              <w:suppressAutoHyphens w:val="0"/>
              <w:spacing w:before="40" w:after="40" w:line="220" w:lineRule="exact"/>
              <w:jc w:val="right"/>
              <w:rPr>
                <w:sz w:val="18"/>
                <w:lang w:val="fr-FR"/>
              </w:rPr>
            </w:pPr>
            <w:proofErr w:type="spellStart"/>
            <w:r w:rsidRPr="00714C7B">
              <w:rPr>
                <w:sz w:val="18"/>
                <w:lang w:val="fr-FR"/>
              </w:rPr>
              <w:t>s.o</w:t>
            </w:r>
            <w:proofErr w:type="spellEnd"/>
            <w:r w:rsidRPr="00714C7B">
              <w:rPr>
                <w:sz w:val="18"/>
                <w:lang w:val="fr-FR"/>
              </w:rPr>
              <w:t>.</w:t>
            </w:r>
          </w:p>
        </w:tc>
        <w:tc>
          <w:tcPr>
            <w:tcW w:w="1416" w:type="dxa"/>
            <w:shd w:val="clear" w:color="auto" w:fill="auto"/>
            <w:vAlign w:val="bottom"/>
          </w:tcPr>
          <w:p w14:paraId="6B17DC96" w14:textId="6E5B16DD" w:rsidR="00A20ACD" w:rsidRPr="00714C7B" w:rsidRDefault="00A20ACD" w:rsidP="00714C7B">
            <w:pPr>
              <w:suppressAutoHyphens w:val="0"/>
              <w:spacing w:before="40" w:after="40" w:line="220" w:lineRule="exact"/>
              <w:jc w:val="right"/>
              <w:rPr>
                <w:sz w:val="18"/>
                <w:lang w:val="fr-FR"/>
              </w:rPr>
            </w:pPr>
            <w:r w:rsidRPr="00714C7B">
              <w:rPr>
                <w:sz w:val="18"/>
                <w:lang w:val="fr-FR"/>
              </w:rPr>
              <w:t>Non*</w:t>
            </w:r>
          </w:p>
        </w:tc>
      </w:tr>
      <w:tr w:rsidR="00714C7B" w:rsidRPr="00714C7B" w14:paraId="21B6599E" w14:textId="77777777" w:rsidTr="00714C7B">
        <w:tc>
          <w:tcPr>
            <w:tcW w:w="1636" w:type="dxa"/>
            <w:shd w:val="clear" w:color="auto" w:fill="auto"/>
          </w:tcPr>
          <w:p w14:paraId="10B37ED5" w14:textId="77777777" w:rsidR="00A20ACD" w:rsidRPr="00714C7B" w:rsidRDefault="00A20ACD" w:rsidP="00714C7B">
            <w:pPr>
              <w:suppressAutoHyphens w:val="0"/>
              <w:spacing w:before="40" w:after="40" w:line="220" w:lineRule="exact"/>
              <w:rPr>
                <w:sz w:val="18"/>
                <w:lang w:val="fr-FR"/>
              </w:rPr>
            </w:pPr>
            <w:r w:rsidRPr="00714C7B">
              <w:rPr>
                <w:sz w:val="18"/>
                <w:lang w:val="fr-FR"/>
              </w:rPr>
              <w:t>Marche avant</w:t>
            </w:r>
          </w:p>
        </w:tc>
        <w:tc>
          <w:tcPr>
            <w:tcW w:w="2050" w:type="dxa"/>
            <w:shd w:val="clear" w:color="auto" w:fill="auto"/>
            <w:vAlign w:val="bottom"/>
          </w:tcPr>
          <w:p w14:paraId="51157244" w14:textId="77777777" w:rsidR="00A20ACD" w:rsidRPr="00714C7B" w:rsidRDefault="00A20ACD" w:rsidP="00714C7B">
            <w:pPr>
              <w:suppressAutoHyphens w:val="0"/>
              <w:spacing w:before="40" w:after="40" w:line="220" w:lineRule="exact"/>
              <w:jc w:val="right"/>
              <w:rPr>
                <w:sz w:val="18"/>
                <w:lang w:val="fr-FR"/>
              </w:rPr>
            </w:pPr>
            <w:r w:rsidRPr="00714C7B">
              <w:rPr>
                <w:sz w:val="18"/>
                <w:lang w:val="fr-FR"/>
              </w:rPr>
              <w:t>1,5</w:t>
            </w:r>
          </w:p>
        </w:tc>
        <w:tc>
          <w:tcPr>
            <w:tcW w:w="1843" w:type="dxa"/>
            <w:shd w:val="clear" w:color="auto" w:fill="auto"/>
            <w:vAlign w:val="bottom"/>
          </w:tcPr>
          <w:p w14:paraId="3ECD8015" w14:textId="77777777" w:rsidR="00A20ACD" w:rsidRPr="00714C7B" w:rsidRDefault="00A20ACD" w:rsidP="00714C7B">
            <w:pPr>
              <w:suppressAutoHyphens w:val="0"/>
              <w:spacing w:before="40" w:after="40" w:line="220" w:lineRule="exact"/>
              <w:jc w:val="right"/>
              <w:rPr>
                <w:sz w:val="18"/>
                <w:lang w:val="fr-FR"/>
              </w:rPr>
            </w:pPr>
            <w:r w:rsidRPr="00714C7B">
              <w:rPr>
                <w:sz w:val="18"/>
                <w:lang w:val="fr-FR"/>
              </w:rPr>
              <w:t>-0,1</w:t>
            </w:r>
          </w:p>
        </w:tc>
        <w:tc>
          <w:tcPr>
            <w:tcW w:w="1559" w:type="dxa"/>
            <w:shd w:val="clear" w:color="auto" w:fill="auto"/>
            <w:vAlign w:val="bottom"/>
          </w:tcPr>
          <w:p w14:paraId="6CB77640" w14:textId="77777777" w:rsidR="00A20ACD" w:rsidRPr="00714C7B" w:rsidRDefault="00A20ACD" w:rsidP="00714C7B">
            <w:pPr>
              <w:suppressAutoHyphens w:val="0"/>
              <w:spacing w:before="40" w:after="40" w:line="220" w:lineRule="exact"/>
              <w:jc w:val="right"/>
              <w:rPr>
                <w:sz w:val="18"/>
                <w:lang w:val="fr-FR"/>
              </w:rPr>
            </w:pPr>
            <w:r w:rsidRPr="00714C7B">
              <w:rPr>
                <w:sz w:val="18"/>
                <w:lang w:val="fr-FR"/>
              </w:rPr>
              <w:t>+/-0,2</w:t>
            </w:r>
          </w:p>
        </w:tc>
        <w:tc>
          <w:tcPr>
            <w:tcW w:w="1416" w:type="dxa"/>
            <w:shd w:val="clear" w:color="auto" w:fill="auto"/>
            <w:vAlign w:val="bottom"/>
          </w:tcPr>
          <w:p w14:paraId="5540602C" w14:textId="77777777" w:rsidR="00A20ACD" w:rsidRPr="00714C7B" w:rsidRDefault="00A20ACD" w:rsidP="00714C7B">
            <w:pPr>
              <w:suppressAutoHyphens w:val="0"/>
              <w:spacing w:before="40" w:after="40" w:line="220" w:lineRule="exact"/>
              <w:jc w:val="right"/>
              <w:rPr>
                <w:sz w:val="18"/>
                <w:lang w:val="fr-FR"/>
              </w:rPr>
            </w:pPr>
            <w:r w:rsidRPr="00714C7B">
              <w:rPr>
                <w:sz w:val="18"/>
                <w:lang w:val="fr-FR"/>
              </w:rPr>
              <w:t xml:space="preserve">Oui </w:t>
            </w:r>
          </w:p>
        </w:tc>
      </w:tr>
      <w:tr w:rsidR="00714C7B" w:rsidRPr="00714C7B" w14:paraId="4375D61E" w14:textId="77777777" w:rsidTr="00714C7B">
        <w:tc>
          <w:tcPr>
            <w:tcW w:w="1636" w:type="dxa"/>
            <w:shd w:val="clear" w:color="auto" w:fill="auto"/>
          </w:tcPr>
          <w:p w14:paraId="6B98CFDF" w14:textId="77777777" w:rsidR="00A20ACD" w:rsidRPr="00714C7B" w:rsidRDefault="00A20ACD" w:rsidP="00714C7B">
            <w:pPr>
              <w:suppressAutoHyphens w:val="0"/>
              <w:spacing w:before="40" w:after="40" w:line="220" w:lineRule="exact"/>
              <w:rPr>
                <w:sz w:val="18"/>
                <w:lang w:val="fr-FR"/>
              </w:rPr>
            </w:pPr>
            <w:r w:rsidRPr="00714C7B">
              <w:rPr>
                <w:sz w:val="18"/>
                <w:lang w:val="fr-FR"/>
              </w:rPr>
              <w:t>Marche avant</w:t>
            </w:r>
          </w:p>
        </w:tc>
        <w:tc>
          <w:tcPr>
            <w:tcW w:w="2050" w:type="dxa"/>
            <w:shd w:val="clear" w:color="auto" w:fill="auto"/>
            <w:vAlign w:val="bottom"/>
          </w:tcPr>
          <w:p w14:paraId="606B972B" w14:textId="77777777" w:rsidR="00A20ACD" w:rsidRPr="00714C7B" w:rsidRDefault="00A20ACD" w:rsidP="00714C7B">
            <w:pPr>
              <w:suppressAutoHyphens w:val="0"/>
              <w:spacing w:before="40" w:after="40" w:line="220" w:lineRule="exact"/>
              <w:jc w:val="right"/>
              <w:rPr>
                <w:sz w:val="18"/>
                <w:lang w:val="fr-FR"/>
              </w:rPr>
            </w:pPr>
            <w:r w:rsidRPr="00714C7B">
              <w:rPr>
                <w:sz w:val="18"/>
                <w:lang w:val="fr-FR"/>
              </w:rPr>
              <w:t>1,5</w:t>
            </w:r>
          </w:p>
        </w:tc>
        <w:tc>
          <w:tcPr>
            <w:tcW w:w="1843" w:type="dxa"/>
            <w:shd w:val="clear" w:color="auto" w:fill="auto"/>
            <w:vAlign w:val="bottom"/>
          </w:tcPr>
          <w:p w14:paraId="1A9341E3" w14:textId="77777777" w:rsidR="00A20ACD" w:rsidRPr="00714C7B" w:rsidRDefault="00A20ACD" w:rsidP="00714C7B">
            <w:pPr>
              <w:suppressAutoHyphens w:val="0"/>
              <w:spacing w:before="40" w:after="40" w:line="220" w:lineRule="exact"/>
              <w:jc w:val="right"/>
              <w:rPr>
                <w:sz w:val="18"/>
                <w:lang w:val="fr-FR"/>
              </w:rPr>
            </w:pPr>
            <w:r w:rsidRPr="00714C7B">
              <w:rPr>
                <w:sz w:val="18"/>
                <w:lang w:val="fr-FR"/>
              </w:rPr>
              <w:t>-0,1</w:t>
            </w:r>
          </w:p>
        </w:tc>
        <w:tc>
          <w:tcPr>
            <w:tcW w:w="1559" w:type="dxa"/>
            <w:shd w:val="clear" w:color="auto" w:fill="auto"/>
            <w:vAlign w:val="bottom"/>
          </w:tcPr>
          <w:p w14:paraId="1E535F35" w14:textId="77777777" w:rsidR="00A20ACD" w:rsidRPr="00714C7B" w:rsidRDefault="00A20ACD" w:rsidP="00714C7B">
            <w:pPr>
              <w:suppressAutoHyphens w:val="0"/>
              <w:spacing w:before="40" w:after="40" w:line="220" w:lineRule="exact"/>
              <w:jc w:val="right"/>
              <w:rPr>
                <w:sz w:val="18"/>
                <w:lang w:val="fr-FR"/>
              </w:rPr>
            </w:pPr>
            <w:proofErr w:type="spellStart"/>
            <w:r w:rsidRPr="00714C7B">
              <w:rPr>
                <w:sz w:val="18"/>
                <w:lang w:val="fr-FR"/>
              </w:rPr>
              <w:t>s.o</w:t>
            </w:r>
            <w:proofErr w:type="spellEnd"/>
            <w:r w:rsidRPr="00714C7B">
              <w:rPr>
                <w:sz w:val="18"/>
                <w:lang w:val="fr-FR"/>
              </w:rPr>
              <w:t>.</w:t>
            </w:r>
          </w:p>
        </w:tc>
        <w:tc>
          <w:tcPr>
            <w:tcW w:w="1416" w:type="dxa"/>
            <w:shd w:val="clear" w:color="auto" w:fill="auto"/>
            <w:vAlign w:val="bottom"/>
          </w:tcPr>
          <w:p w14:paraId="7F784180" w14:textId="37890D5A" w:rsidR="00A20ACD" w:rsidRPr="00714C7B" w:rsidRDefault="00A20ACD" w:rsidP="00714C7B">
            <w:pPr>
              <w:suppressAutoHyphens w:val="0"/>
              <w:spacing w:before="40" w:after="40" w:line="220" w:lineRule="exact"/>
              <w:jc w:val="right"/>
              <w:rPr>
                <w:sz w:val="18"/>
                <w:lang w:val="fr-FR"/>
              </w:rPr>
            </w:pPr>
            <w:r w:rsidRPr="00714C7B">
              <w:rPr>
                <w:sz w:val="18"/>
                <w:lang w:val="fr-FR"/>
              </w:rPr>
              <w:t>Non*</w:t>
            </w:r>
          </w:p>
        </w:tc>
      </w:tr>
      <w:tr w:rsidR="00714C7B" w:rsidRPr="00714C7B" w14:paraId="216B081C" w14:textId="77777777" w:rsidTr="00714C7B">
        <w:tc>
          <w:tcPr>
            <w:tcW w:w="1636" w:type="dxa"/>
            <w:shd w:val="clear" w:color="auto" w:fill="auto"/>
          </w:tcPr>
          <w:p w14:paraId="1AA4183D" w14:textId="77777777" w:rsidR="00A20ACD" w:rsidRPr="00714C7B" w:rsidRDefault="00A20ACD" w:rsidP="00714C7B">
            <w:pPr>
              <w:suppressAutoHyphens w:val="0"/>
              <w:spacing w:before="40" w:after="40" w:line="220" w:lineRule="exact"/>
              <w:rPr>
                <w:sz w:val="18"/>
                <w:lang w:val="fr-FR"/>
              </w:rPr>
            </w:pPr>
            <w:r w:rsidRPr="00714C7B">
              <w:rPr>
                <w:sz w:val="18"/>
                <w:lang w:val="fr-FR"/>
              </w:rPr>
              <w:t xml:space="preserve">Marche arrière </w:t>
            </w:r>
          </w:p>
        </w:tc>
        <w:tc>
          <w:tcPr>
            <w:tcW w:w="2050" w:type="dxa"/>
            <w:shd w:val="clear" w:color="auto" w:fill="auto"/>
            <w:vAlign w:val="bottom"/>
          </w:tcPr>
          <w:p w14:paraId="24429FBF" w14:textId="77777777" w:rsidR="00A20ACD" w:rsidRPr="00714C7B" w:rsidRDefault="00A20ACD" w:rsidP="00714C7B">
            <w:pPr>
              <w:suppressAutoHyphens w:val="0"/>
              <w:spacing w:before="40" w:after="40" w:line="220" w:lineRule="exact"/>
              <w:jc w:val="right"/>
              <w:rPr>
                <w:sz w:val="18"/>
                <w:lang w:val="fr-FR"/>
              </w:rPr>
            </w:pPr>
            <w:r w:rsidRPr="00714C7B">
              <w:rPr>
                <w:sz w:val="18"/>
                <w:lang w:val="fr-FR"/>
              </w:rPr>
              <w:t>1,0</w:t>
            </w:r>
          </w:p>
        </w:tc>
        <w:tc>
          <w:tcPr>
            <w:tcW w:w="1843" w:type="dxa"/>
            <w:shd w:val="clear" w:color="auto" w:fill="auto"/>
            <w:vAlign w:val="bottom"/>
          </w:tcPr>
          <w:p w14:paraId="2AF73615" w14:textId="77777777" w:rsidR="00A20ACD" w:rsidRPr="00714C7B" w:rsidRDefault="00A20ACD" w:rsidP="00714C7B">
            <w:pPr>
              <w:suppressAutoHyphens w:val="0"/>
              <w:spacing w:before="40" w:after="40" w:line="220" w:lineRule="exact"/>
              <w:jc w:val="right"/>
              <w:rPr>
                <w:sz w:val="18"/>
                <w:lang w:val="fr-FR"/>
              </w:rPr>
            </w:pPr>
            <w:r w:rsidRPr="00714C7B">
              <w:rPr>
                <w:sz w:val="18"/>
                <w:lang w:val="fr-FR"/>
              </w:rPr>
              <w:t>+ 0,1</w:t>
            </w:r>
          </w:p>
        </w:tc>
        <w:tc>
          <w:tcPr>
            <w:tcW w:w="1559" w:type="dxa"/>
            <w:shd w:val="clear" w:color="auto" w:fill="auto"/>
            <w:vAlign w:val="bottom"/>
          </w:tcPr>
          <w:p w14:paraId="68E29958" w14:textId="77777777" w:rsidR="00A20ACD" w:rsidRPr="00714C7B" w:rsidRDefault="00A20ACD" w:rsidP="00714C7B">
            <w:pPr>
              <w:suppressAutoHyphens w:val="0"/>
              <w:spacing w:before="40" w:after="40" w:line="220" w:lineRule="exact"/>
              <w:jc w:val="right"/>
              <w:rPr>
                <w:sz w:val="18"/>
                <w:lang w:val="fr-FR"/>
              </w:rPr>
            </w:pPr>
            <w:r w:rsidRPr="00714C7B">
              <w:rPr>
                <w:sz w:val="18"/>
                <w:lang w:val="fr-FR"/>
              </w:rPr>
              <w:t>+/-0,2</w:t>
            </w:r>
          </w:p>
        </w:tc>
        <w:tc>
          <w:tcPr>
            <w:tcW w:w="1416" w:type="dxa"/>
            <w:shd w:val="clear" w:color="auto" w:fill="auto"/>
            <w:vAlign w:val="bottom"/>
          </w:tcPr>
          <w:p w14:paraId="5821BD61" w14:textId="77777777" w:rsidR="00A20ACD" w:rsidRPr="00714C7B" w:rsidRDefault="00A20ACD" w:rsidP="00714C7B">
            <w:pPr>
              <w:suppressAutoHyphens w:val="0"/>
              <w:spacing w:before="40" w:after="40" w:line="220" w:lineRule="exact"/>
              <w:jc w:val="right"/>
              <w:rPr>
                <w:sz w:val="18"/>
                <w:lang w:val="fr-FR"/>
              </w:rPr>
            </w:pPr>
            <w:r w:rsidRPr="00714C7B">
              <w:rPr>
                <w:sz w:val="18"/>
                <w:lang w:val="fr-FR"/>
              </w:rPr>
              <w:t xml:space="preserve">Oui </w:t>
            </w:r>
          </w:p>
        </w:tc>
      </w:tr>
      <w:tr w:rsidR="00714C7B" w:rsidRPr="00714C7B" w14:paraId="242FAE04" w14:textId="77777777" w:rsidTr="00714C7B">
        <w:tc>
          <w:tcPr>
            <w:tcW w:w="1636" w:type="dxa"/>
            <w:shd w:val="clear" w:color="auto" w:fill="auto"/>
          </w:tcPr>
          <w:p w14:paraId="2222D3CB" w14:textId="77777777" w:rsidR="00A20ACD" w:rsidRPr="00714C7B" w:rsidRDefault="00A20ACD" w:rsidP="00714C7B">
            <w:pPr>
              <w:suppressAutoHyphens w:val="0"/>
              <w:spacing w:before="40" w:after="40" w:line="220" w:lineRule="exact"/>
              <w:rPr>
                <w:sz w:val="18"/>
                <w:lang w:val="fr-FR"/>
              </w:rPr>
            </w:pPr>
            <w:r w:rsidRPr="00714C7B">
              <w:rPr>
                <w:sz w:val="18"/>
                <w:lang w:val="fr-FR"/>
              </w:rPr>
              <w:t>Marche arrière</w:t>
            </w:r>
          </w:p>
        </w:tc>
        <w:tc>
          <w:tcPr>
            <w:tcW w:w="2050" w:type="dxa"/>
            <w:shd w:val="clear" w:color="auto" w:fill="auto"/>
            <w:vAlign w:val="bottom"/>
          </w:tcPr>
          <w:p w14:paraId="2D23E060" w14:textId="77777777" w:rsidR="00A20ACD" w:rsidRPr="00714C7B" w:rsidRDefault="00A20ACD" w:rsidP="00714C7B">
            <w:pPr>
              <w:suppressAutoHyphens w:val="0"/>
              <w:spacing w:before="40" w:after="40" w:line="220" w:lineRule="exact"/>
              <w:jc w:val="right"/>
              <w:rPr>
                <w:sz w:val="18"/>
                <w:lang w:val="fr-FR"/>
              </w:rPr>
            </w:pPr>
            <w:r w:rsidRPr="00714C7B">
              <w:rPr>
                <w:sz w:val="18"/>
                <w:lang w:val="fr-FR"/>
              </w:rPr>
              <w:t>1,0</w:t>
            </w:r>
          </w:p>
        </w:tc>
        <w:tc>
          <w:tcPr>
            <w:tcW w:w="1843" w:type="dxa"/>
            <w:shd w:val="clear" w:color="auto" w:fill="auto"/>
            <w:vAlign w:val="bottom"/>
          </w:tcPr>
          <w:p w14:paraId="54637D3E" w14:textId="77777777" w:rsidR="00A20ACD" w:rsidRPr="00714C7B" w:rsidRDefault="00A20ACD" w:rsidP="00714C7B">
            <w:pPr>
              <w:suppressAutoHyphens w:val="0"/>
              <w:spacing w:before="40" w:after="40" w:line="220" w:lineRule="exact"/>
              <w:jc w:val="right"/>
              <w:rPr>
                <w:sz w:val="18"/>
                <w:lang w:val="fr-FR"/>
              </w:rPr>
            </w:pPr>
            <w:r w:rsidRPr="00714C7B">
              <w:rPr>
                <w:sz w:val="18"/>
                <w:lang w:val="fr-FR"/>
              </w:rPr>
              <w:t>+ 0,1</w:t>
            </w:r>
          </w:p>
        </w:tc>
        <w:tc>
          <w:tcPr>
            <w:tcW w:w="1559" w:type="dxa"/>
            <w:shd w:val="clear" w:color="auto" w:fill="auto"/>
            <w:vAlign w:val="bottom"/>
          </w:tcPr>
          <w:p w14:paraId="07C8A079" w14:textId="77777777" w:rsidR="00A20ACD" w:rsidRPr="00714C7B" w:rsidRDefault="00A20ACD" w:rsidP="00714C7B">
            <w:pPr>
              <w:suppressAutoHyphens w:val="0"/>
              <w:spacing w:before="40" w:after="40" w:line="220" w:lineRule="exact"/>
              <w:jc w:val="right"/>
              <w:rPr>
                <w:sz w:val="18"/>
                <w:lang w:val="fr-FR"/>
              </w:rPr>
            </w:pPr>
            <w:proofErr w:type="spellStart"/>
            <w:r w:rsidRPr="00714C7B">
              <w:rPr>
                <w:sz w:val="18"/>
                <w:lang w:val="fr-FR"/>
              </w:rPr>
              <w:t>s.o</w:t>
            </w:r>
            <w:proofErr w:type="spellEnd"/>
            <w:r w:rsidRPr="00714C7B">
              <w:rPr>
                <w:sz w:val="18"/>
                <w:lang w:val="fr-FR"/>
              </w:rPr>
              <w:t>.</w:t>
            </w:r>
          </w:p>
        </w:tc>
        <w:tc>
          <w:tcPr>
            <w:tcW w:w="1416" w:type="dxa"/>
            <w:shd w:val="clear" w:color="auto" w:fill="auto"/>
            <w:vAlign w:val="bottom"/>
          </w:tcPr>
          <w:p w14:paraId="36C0F97B" w14:textId="3D828A55" w:rsidR="00A20ACD" w:rsidRPr="00714C7B" w:rsidRDefault="00A20ACD" w:rsidP="00714C7B">
            <w:pPr>
              <w:suppressAutoHyphens w:val="0"/>
              <w:spacing w:before="40" w:after="40" w:line="220" w:lineRule="exact"/>
              <w:jc w:val="right"/>
              <w:rPr>
                <w:sz w:val="18"/>
                <w:lang w:val="fr-FR"/>
              </w:rPr>
            </w:pPr>
            <w:r w:rsidRPr="00714C7B">
              <w:rPr>
                <w:sz w:val="18"/>
                <w:lang w:val="fr-FR"/>
              </w:rPr>
              <w:t>Non*</w:t>
            </w:r>
            <w:r w:rsidR="0067037F">
              <w:rPr>
                <w:sz w:val="18"/>
                <w:lang w:val="fr-FR"/>
              </w:rPr>
              <w:t>*</w:t>
            </w:r>
          </w:p>
        </w:tc>
      </w:tr>
      <w:tr w:rsidR="00714C7B" w:rsidRPr="00714C7B" w14:paraId="37500A5C" w14:textId="77777777" w:rsidTr="00714C7B">
        <w:tc>
          <w:tcPr>
            <w:tcW w:w="1636" w:type="dxa"/>
            <w:shd w:val="clear" w:color="auto" w:fill="auto"/>
          </w:tcPr>
          <w:p w14:paraId="54338A1F" w14:textId="77777777" w:rsidR="00A20ACD" w:rsidRPr="00714C7B" w:rsidRDefault="00A20ACD" w:rsidP="00714C7B">
            <w:pPr>
              <w:suppressAutoHyphens w:val="0"/>
              <w:spacing w:before="40" w:after="40" w:line="220" w:lineRule="exact"/>
              <w:rPr>
                <w:sz w:val="18"/>
                <w:lang w:val="fr-FR"/>
              </w:rPr>
            </w:pPr>
            <w:r w:rsidRPr="00714C7B">
              <w:rPr>
                <w:sz w:val="18"/>
                <w:lang w:val="fr-FR"/>
              </w:rPr>
              <w:t>Marche arrière</w:t>
            </w:r>
          </w:p>
        </w:tc>
        <w:tc>
          <w:tcPr>
            <w:tcW w:w="2050" w:type="dxa"/>
            <w:shd w:val="clear" w:color="auto" w:fill="auto"/>
            <w:vAlign w:val="bottom"/>
          </w:tcPr>
          <w:p w14:paraId="5846A9B7" w14:textId="77777777" w:rsidR="00A20ACD" w:rsidRPr="00714C7B" w:rsidRDefault="00A20ACD" w:rsidP="00714C7B">
            <w:pPr>
              <w:suppressAutoHyphens w:val="0"/>
              <w:spacing w:before="40" w:after="40" w:line="220" w:lineRule="exact"/>
              <w:jc w:val="right"/>
              <w:rPr>
                <w:sz w:val="18"/>
                <w:lang w:val="fr-FR"/>
              </w:rPr>
            </w:pPr>
            <w:r w:rsidRPr="00714C7B">
              <w:rPr>
                <w:sz w:val="18"/>
                <w:lang w:val="fr-FR"/>
              </w:rPr>
              <w:t>1,5</w:t>
            </w:r>
          </w:p>
        </w:tc>
        <w:tc>
          <w:tcPr>
            <w:tcW w:w="1843" w:type="dxa"/>
            <w:shd w:val="clear" w:color="auto" w:fill="auto"/>
            <w:vAlign w:val="bottom"/>
          </w:tcPr>
          <w:p w14:paraId="29E9C53F" w14:textId="77777777" w:rsidR="00A20ACD" w:rsidRPr="00714C7B" w:rsidRDefault="00A20ACD" w:rsidP="00714C7B">
            <w:pPr>
              <w:suppressAutoHyphens w:val="0"/>
              <w:spacing w:before="40" w:after="40" w:line="220" w:lineRule="exact"/>
              <w:jc w:val="right"/>
              <w:rPr>
                <w:sz w:val="18"/>
                <w:lang w:val="fr-FR"/>
              </w:rPr>
            </w:pPr>
            <w:r w:rsidRPr="00714C7B">
              <w:rPr>
                <w:sz w:val="18"/>
                <w:lang w:val="fr-FR"/>
              </w:rPr>
              <w:t>-0,1</w:t>
            </w:r>
          </w:p>
        </w:tc>
        <w:tc>
          <w:tcPr>
            <w:tcW w:w="1559" w:type="dxa"/>
            <w:shd w:val="clear" w:color="auto" w:fill="auto"/>
            <w:vAlign w:val="bottom"/>
          </w:tcPr>
          <w:p w14:paraId="0840CDB8" w14:textId="77777777" w:rsidR="00A20ACD" w:rsidRPr="00714C7B" w:rsidRDefault="00A20ACD" w:rsidP="00714C7B">
            <w:pPr>
              <w:suppressAutoHyphens w:val="0"/>
              <w:spacing w:before="40" w:after="40" w:line="220" w:lineRule="exact"/>
              <w:jc w:val="right"/>
              <w:rPr>
                <w:sz w:val="18"/>
                <w:lang w:val="fr-FR"/>
              </w:rPr>
            </w:pPr>
            <w:r w:rsidRPr="00714C7B">
              <w:rPr>
                <w:sz w:val="18"/>
                <w:lang w:val="fr-FR"/>
              </w:rPr>
              <w:t>+/-0,2</w:t>
            </w:r>
          </w:p>
        </w:tc>
        <w:tc>
          <w:tcPr>
            <w:tcW w:w="1416" w:type="dxa"/>
            <w:shd w:val="clear" w:color="auto" w:fill="auto"/>
            <w:vAlign w:val="bottom"/>
          </w:tcPr>
          <w:p w14:paraId="3920B86D" w14:textId="77777777" w:rsidR="00A20ACD" w:rsidRPr="00714C7B" w:rsidRDefault="00A20ACD" w:rsidP="00714C7B">
            <w:pPr>
              <w:suppressAutoHyphens w:val="0"/>
              <w:spacing w:before="40" w:after="40" w:line="220" w:lineRule="exact"/>
              <w:jc w:val="right"/>
              <w:rPr>
                <w:sz w:val="18"/>
                <w:lang w:val="fr-FR"/>
              </w:rPr>
            </w:pPr>
            <w:r w:rsidRPr="00714C7B">
              <w:rPr>
                <w:sz w:val="18"/>
                <w:lang w:val="fr-FR"/>
              </w:rPr>
              <w:t xml:space="preserve">Oui </w:t>
            </w:r>
          </w:p>
        </w:tc>
      </w:tr>
      <w:tr w:rsidR="00714C7B" w:rsidRPr="00714C7B" w14:paraId="76080834" w14:textId="77777777" w:rsidTr="00714C7B">
        <w:tc>
          <w:tcPr>
            <w:tcW w:w="1636" w:type="dxa"/>
            <w:tcBorders>
              <w:bottom w:val="single" w:sz="12" w:space="0" w:color="auto"/>
            </w:tcBorders>
            <w:shd w:val="clear" w:color="auto" w:fill="auto"/>
          </w:tcPr>
          <w:p w14:paraId="14AA4052" w14:textId="77777777" w:rsidR="00A20ACD" w:rsidRPr="00714C7B" w:rsidRDefault="00A20ACD" w:rsidP="00714C7B">
            <w:pPr>
              <w:suppressAutoHyphens w:val="0"/>
              <w:spacing w:before="40" w:after="40" w:line="220" w:lineRule="exact"/>
              <w:rPr>
                <w:sz w:val="18"/>
                <w:lang w:val="fr-FR"/>
              </w:rPr>
            </w:pPr>
            <w:r w:rsidRPr="00714C7B">
              <w:rPr>
                <w:sz w:val="18"/>
                <w:lang w:val="fr-FR"/>
              </w:rPr>
              <w:t>Marche arrière</w:t>
            </w:r>
          </w:p>
        </w:tc>
        <w:tc>
          <w:tcPr>
            <w:tcW w:w="2050" w:type="dxa"/>
            <w:tcBorders>
              <w:bottom w:val="single" w:sz="12" w:space="0" w:color="auto"/>
            </w:tcBorders>
            <w:shd w:val="clear" w:color="auto" w:fill="auto"/>
            <w:vAlign w:val="bottom"/>
          </w:tcPr>
          <w:p w14:paraId="6272358C" w14:textId="77777777" w:rsidR="00A20ACD" w:rsidRPr="00714C7B" w:rsidRDefault="00A20ACD" w:rsidP="00714C7B">
            <w:pPr>
              <w:suppressAutoHyphens w:val="0"/>
              <w:spacing w:before="40" w:after="40" w:line="220" w:lineRule="exact"/>
              <w:jc w:val="right"/>
              <w:rPr>
                <w:sz w:val="18"/>
                <w:lang w:val="fr-FR"/>
              </w:rPr>
            </w:pPr>
            <w:r w:rsidRPr="00714C7B">
              <w:rPr>
                <w:sz w:val="18"/>
                <w:lang w:val="fr-FR"/>
              </w:rPr>
              <w:t>1,5</w:t>
            </w:r>
          </w:p>
        </w:tc>
        <w:tc>
          <w:tcPr>
            <w:tcW w:w="1843" w:type="dxa"/>
            <w:tcBorders>
              <w:bottom w:val="single" w:sz="12" w:space="0" w:color="auto"/>
            </w:tcBorders>
            <w:shd w:val="clear" w:color="auto" w:fill="auto"/>
            <w:vAlign w:val="bottom"/>
          </w:tcPr>
          <w:p w14:paraId="527D18B2" w14:textId="77777777" w:rsidR="00A20ACD" w:rsidRPr="00714C7B" w:rsidRDefault="00A20ACD" w:rsidP="00714C7B">
            <w:pPr>
              <w:suppressAutoHyphens w:val="0"/>
              <w:spacing w:before="40" w:after="40" w:line="220" w:lineRule="exact"/>
              <w:jc w:val="right"/>
              <w:rPr>
                <w:sz w:val="18"/>
                <w:lang w:val="fr-FR"/>
              </w:rPr>
            </w:pPr>
            <w:r w:rsidRPr="00714C7B">
              <w:rPr>
                <w:sz w:val="18"/>
                <w:lang w:val="fr-FR"/>
              </w:rPr>
              <w:t>-0,1</w:t>
            </w:r>
          </w:p>
        </w:tc>
        <w:tc>
          <w:tcPr>
            <w:tcW w:w="1559" w:type="dxa"/>
            <w:tcBorders>
              <w:bottom w:val="single" w:sz="12" w:space="0" w:color="auto"/>
            </w:tcBorders>
            <w:shd w:val="clear" w:color="auto" w:fill="auto"/>
            <w:vAlign w:val="bottom"/>
          </w:tcPr>
          <w:p w14:paraId="24294087" w14:textId="77777777" w:rsidR="00A20ACD" w:rsidRPr="00714C7B" w:rsidRDefault="00A20ACD" w:rsidP="00714C7B">
            <w:pPr>
              <w:suppressAutoHyphens w:val="0"/>
              <w:spacing w:before="40" w:after="40" w:line="220" w:lineRule="exact"/>
              <w:jc w:val="right"/>
              <w:rPr>
                <w:sz w:val="18"/>
                <w:lang w:val="fr-FR"/>
              </w:rPr>
            </w:pPr>
            <w:proofErr w:type="spellStart"/>
            <w:r w:rsidRPr="00714C7B">
              <w:rPr>
                <w:sz w:val="18"/>
                <w:lang w:val="fr-FR"/>
              </w:rPr>
              <w:t>s.o</w:t>
            </w:r>
            <w:proofErr w:type="spellEnd"/>
            <w:r w:rsidRPr="00714C7B">
              <w:rPr>
                <w:sz w:val="18"/>
                <w:lang w:val="fr-FR"/>
              </w:rPr>
              <w:t>.</w:t>
            </w:r>
          </w:p>
        </w:tc>
        <w:tc>
          <w:tcPr>
            <w:tcW w:w="1416" w:type="dxa"/>
            <w:tcBorders>
              <w:bottom w:val="single" w:sz="12" w:space="0" w:color="auto"/>
            </w:tcBorders>
            <w:shd w:val="clear" w:color="auto" w:fill="auto"/>
            <w:vAlign w:val="bottom"/>
          </w:tcPr>
          <w:p w14:paraId="5D9D490B" w14:textId="5401B771" w:rsidR="00A20ACD" w:rsidRPr="00714C7B" w:rsidRDefault="00A20ACD" w:rsidP="00714C7B">
            <w:pPr>
              <w:suppressAutoHyphens w:val="0"/>
              <w:spacing w:before="40" w:after="40" w:line="220" w:lineRule="exact"/>
              <w:jc w:val="right"/>
              <w:rPr>
                <w:sz w:val="18"/>
                <w:lang w:val="fr-FR"/>
              </w:rPr>
            </w:pPr>
            <w:r w:rsidRPr="00714C7B">
              <w:rPr>
                <w:sz w:val="18"/>
                <w:lang w:val="fr-FR"/>
              </w:rPr>
              <w:t>Non*</w:t>
            </w:r>
            <w:r w:rsidR="0067037F">
              <w:rPr>
                <w:sz w:val="18"/>
                <w:lang w:val="fr-FR"/>
              </w:rPr>
              <w:t>*</w:t>
            </w:r>
          </w:p>
        </w:tc>
      </w:tr>
    </w:tbl>
    <w:bookmarkEnd w:id="14"/>
    <w:p w14:paraId="2D2FB199" w14:textId="647D9C4E" w:rsidR="00A20ACD" w:rsidRPr="00571A25" w:rsidRDefault="00A20ACD" w:rsidP="00571A25">
      <w:pPr>
        <w:pStyle w:val="SingleTxtG"/>
        <w:spacing w:after="0" w:line="220" w:lineRule="atLeast"/>
        <w:ind w:firstLine="170"/>
        <w:rPr>
          <w:sz w:val="18"/>
          <w:szCs w:val="18"/>
          <w:lang w:val="fr-FR"/>
        </w:rPr>
      </w:pPr>
      <w:r w:rsidRPr="00571A25">
        <w:rPr>
          <w:sz w:val="18"/>
          <w:szCs w:val="18"/>
          <w:lang w:val="fr-FR"/>
        </w:rPr>
        <w:t>Présence de la cible</w:t>
      </w:r>
      <w:r w:rsidR="00571A25">
        <w:rPr>
          <w:sz w:val="18"/>
          <w:szCs w:val="18"/>
          <w:lang w:val="fr-FR"/>
        </w:rPr>
        <w:t> :</w:t>
      </w:r>
    </w:p>
    <w:p w14:paraId="19BCF40E" w14:textId="6EABF885" w:rsidR="00A20ACD" w:rsidRPr="00571A25" w:rsidRDefault="00A20ACD" w:rsidP="00571A25">
      <w:pPr>
        <w:pStyle w:val="SingleTxtG"/>
        <w:spacing w:after="0" w:line="220" w:lineRule="atLeast"/>
        <w:ind w:firstLine="284"/>
        <w:rPr>
          <w:color w:val="000000" w:themeColor="text1"/>
          <w:sz w:val="18"/>
          <w:szCs w:val="18"/>
          <w:lang w:val="fr-FR"/>
        </w:rPr>
      </w:pPr>
      <w:r w:rsidRPr="00571A25">
        <w:rPr>
          <w:sz w:val="18"/>
          <w:szCs w:val="18"/>
          <w:lang w:val="fr-FR"/>
        </w:rPr>
        <w:t>Oui</w:t>
      </w:r>
      <w:r w:rsidR="00AB6B32" w:rsidRPr="00571A25">
        <w:rPr>
          <w:sz w:val="18"/>
          <w:szCs w:val="18"/>
          <w:lang w:val="fr-FR"/>
        </w:rPr>
        <w:t> :</w:t>
      </w:r>
      <w:r w:rsidRPr="00571A25">
        <w:rPr>
          <w:sz w:val="18"/>
          <w:szCs w:val="18"/>
          <w:lang w:val="fr-FR"/>
        </w:rPr>
        <w:t xml:space="preserve"> avec intervention du système ACPE</w:t>
      </w:r>
    </w:p>
    <w:p w14:paraId="00EB7CC7" w14:textId="3CC82B38" w:rsidR="00A20ACD" w:rsidRPr="00571A25" w:rsidRDefault="00A20ACD" w:rsidP="00571A25">
      <w:pPr>
        <w:pStyle w:val="SingleTxtG"/>
        <w:spacing w:after="0" w:line="220" w:lineRule="atLeast"/>
        <w:ind w:firstLine="284"/>
        <w:rPr>
          <w:color w:val="000000" w:themeColor="text1"/>
          <w:sz w:val="18"/>
          <w:szCs w:val="18"/>
          <w:lang w:val="fr-FR"/>
        </w:rPr>
      </w:pPr>
      <w:r w:rsidRPr="00571A25">
        <w:rPr>
          <w:sz w:val="18"/>
          <w:szCs w:val="18"/>
          <w:lang w:val="fr-FR"/>
        </w:rPr>
        <w:t>Non</w:t>
      </w:r>
      <w:r w:rsidR="00AB6B32" w:rsidRPr="00571A25">
        <w:rPr>
          <w:sz w:val="18"/>
          <w:szCs w:val="18"/>
          <w:lang w:val="fr-FR"/>
        </w:rPr>
        <w:t> :</w:t>
      </w:r>
      <w:r w:rsidRPr="00571A25">
        <w:rPr>
          <w:sz w:val="18"/>
          <w:szCs w:val="18"/>
          <w:lang w:val="fr-FR"/>
        </w:rPr>
        <w:t xml:space="preserve"> sans intervention du système ACPE ou avec désactivation du système ACPE</w:t>
      </w:r>
    </w:p>
    <w:p w14:paraId="651EA0E7" w14:textId="77777777" w:rsidR="00A20ACD" w:rsidRPr="00571A25" w:rsidRDefault="00A20ACD" w:rsidP="00571A25">
      <w:pPr>
        <w:pStyle w:val="SingleTxtG"/>
        <w:spacing w:after="0" w:line="220" w:lineRule="atLeast"/>
        <w:ind w:firstLine="170"/>
        <w:rPr>
          <w:color w:val="000000" w:themeColor="text1"/>
          <w:sz w:val="18"/>
          <w:szCs w:val="18"/>
          <w:lang w:val="fr-FR"/>
        </w:rPr>
      </w:pPr>
      <w:r w:rsidRPr="00571A25">
        <w:rPr>
          <w:sz w:val="18"/>
          <w:szCs w:val="18"/>
          <w:lang w:val="fr-FR"/>
        </w:rPr>
        <w:t>*</w:t>
      </w:r>
      <w:r w:rsidRPr="00571A25">
        <w:rPr>
          <w:sz w:val="18"/>
          <w:szCs w:val="18"/>
          <w:lang w:val="fr-FR"/>
        </w:rPr>
        <w:tab/>
        <w:t>Ces essais peuvent être combinés.</w:t>
      </w:r>
    </w:p>
    <w:p w14:paraId="630FAA1D" w14:textId="77777777" w:rsidR="00A20ACD" w:rsidRPr="00571A25" w:rsidRDefault="00A20ACD" w:rsidP="00571A25">
      <w:pPr>
        <w:pStyle w:val="SingleTxtG"/>
        <w:spacing w:after="0" w:line="220" w:lineRule="atLeast"/>
        <w:ind w:firstLine="170"/>
        <w:rPr>
          <w:color w:val="000000" w:themeColor="text1"/>
          <w:sz w:val="18"/>
          <w:szCs w:val="18"/>
          <w:lang w:val="fr-FR"/>
        </w:rPr>
      </w:pPr>
      <w:r w:rsidRPr="00571A25">
        <w:rPr>
          <w:sz w:val="18"/>
          <w:szCs w:val="18"/>
          <w:lang w:val="fr-FR"/>
        </w:rPr>
        <w:t>**</w:t>
      </w:r>
      <w:r w:rsidRPr="00571A25">
        <w:rPr>
          <w:sz w:val="18"/>
          <w:szCs w:val="18"/>
          <w:lang w:val="fr-FR"/>
        </w:rPr>
        <w:tab/>
        <w:t>Ces essais peuvent être combinés.</w:t>
      </w:r>
    </w:p>
    <w:p w14:paraId="6AFE0AED" w14:textId="2DCB928D" w:rsidR="00A20ACD" w:rsidRPr="00AB4DCC" w:rsidRDefault="00A20ACD" w:rsidP="00571A25">
      <w:pPr>
        <w:pStyle w:val="SingleTxtG"/>
        <w:spacing w:before="120"/>
        <w:ind w:left="2268"/>
        <w:rPr>
          <w:bCs/>
          <w:lang w:val="fr-FR"/>
        </w:rPr>
      </w:pPr>
      <w:r w:rsidRPr="00AB4DCC">
        <w:rPr>
          <w:lang w:val="fr-FR"/>
        </w:rPr>
        <w:t>La méthode à appliquer pour chaque essai doit être la suivante</w:t>
      </w:r>
      <w:r w:rsidR="00AB6B32">
        <w:rPr>
          <w:lang w:val="fr-FR"/>
        </w:rPr>
        <w:t> :</w:t>
      </w:r>
    </w:p>
    <w:p w14:paraId="2EF6119F" w14:textId="1527FCF1" w:rsidR="00A20ACD" w:rsidRPr="00AB4DCC" w:rsidRDefault="00A20ACD" w:rsidP="00571A25">
      <w:pPr>
        <w:pStyle w:val="SingleTxtG"/>
        <w:ind w:left="2835" w:hanging="567"/>
        <w:rPr>
          <w:bCs/>
          <w:lang w:val="fr-FR"/>
        </w:rPr>
      </w:pPr>
      <w:r w:rsidRPr="00AB4DCC">
        <w:rPr>
          <w:lang w:val="fr-FR"/>
        </w:rPr>
        <w:t>a)</w:t>
      </w:r>
      <w:r w:rsidRPr="00AB4DCC">
        <w:rPr>
          <w:lang w:val="fr-FR"/>
        </w:rPr>
        <w:tab/>
        <w:t>Positionner le véhicule à la distance de la cible ou du point de mesure de la vitesse indiquée dans le tableau 1</w:t>
      </w:r>
      <w:r w:rsidR="00AB6B32">
        <w:rPr>
          <w:lang w:val="fr-FR"/>
        </w:rPr>
        <w:t> ;</w:t>
      </w:r>
    </w:p>
    <w:p w14:paraId="310ECD6A" w14:textId="600729CD" w:rsidR="00A20ACD" w:rsidRPr="00AB4DCC" w:rsidRDefault="00A20ACD" w:rsidP="00571A25">
      <w:pPr>
        <w:pStyle w:val="SingleTxtG"/>
        <w:ind w:left="2835" w:hanging="567"/>
        <w:rPr>
          <w:bCs/>
          <w:lang w:val="fr-FR"/>
        </w:rPr>
      </w:pPr>
      <w:r w:rsidRPr="00AB4DCC">
        <w:rPr>
          <w:lang w:val="fr-FR"/>
        </w:rPr>
        <w:t>b)</w:t>
      </w:r>
      <w:r w:rsidRPr="00AB4DCC">
        <w:rPr>
          <w:lang w:val="fr-FR"/>
        </w:rPr>
        <w:tab/>
        <w:t>Maintenir le véhicule à l’arrêt et sélectionner le sens de la marche correspondant</w:t>
      </w:r>
      <w:r w:rsidR="00AB6B32">
        <w:rPr>
          <w:lang w:val="fr-FR"/>
        </w:rPr>
        <w:t> ;</w:t>
      </w:r>
    </w:p>
    <w:p w14:paraId="1FEB2E61" w14:textId="27296534" w:rsidR="00A20ACD" w:rsidRPr="00AB4DCC" w:rsidRDefault="00A20ACD" w:rsidP="00571A25">
      <w:pPr>
        <w:pStyle w:val="SingleTxtG"/>
        <w:ind w:left="2835" w:hanging="567"/>
        <w:rPr>
          <w:bCs/>
          <w:lang w:val="fr-FR"/>
        </w:rPr>
      </w:pPr>
      <w:r w:rsidRPr="00AB4DCC">
        <w:rPr>
          <w:lang w:val="fr-FR"/>
        </w:rPr>
        <w:t>c)</w:t>
      </w:r>
      <w:r w:rsidRPr="00AB4DCC">
        <w:rPr>
          <w:lang w:val="fr-FR"/>
        </w:rPr>
        <w:tab/>
        <w:t>Accélérer le véhicule, tout en maintenant la commande de direction en position neutre, en actionnant la commande d’accélérateur de façon à obtenir les conditions de déclenchement appropriées (comme indiqué au paragraphe 5.1.2.) avant que le véhicule n’atteigne une vitesse de 0,5</w:t>
      </w:r>
      <w:r w:rsidR="0067037F">
        <w:rPr>
          <w:lang w:val="fr-FR"/>
        </w:rPr>
        <w:t> </w:t>
      </w:r>
      <w:r w:rsidRPr="00AB4DCC">
        <w:rPr>
          <w:lang w:val="fr-FR"/>
        </w:rPr>
        <w:t>km/h</w:t>
      </w:r>
      <w:r w:rsidR="00AB6B32">
        <w:rPr>
          <w:lang w:val="fr-FR"/>
        </w:rPr>
        <w:t> ;</w:t>
      </w:r>
    </w:p>
    <w:p w14:paraId="1C5F1509" w14:textId="77777777" w:rsidR="00A20ACD" w:rsidRPr="00AB4DCC" w:rsidRDefault="00A20ACD" w:rsidP="00571A25">
      <w:pPr>
        <w:pStyle w:val="SingleTxtG"/>
        <w:ind w:left="2835" w:hanging="567"/>
        <w:rPr>
          <w:bCs/>
          <w:lang w:val="fr-FR"/>
        </w:rPr>
      </w:pPr>
      <w:r w:rsidRPr="00AB4DCC">
        <w:rPr>
          <w:lang w:val="fr-FR"/>
        </w:rPr>
        <w:t>d)</w:t>
      </w:r>
      <w:r w:rsidRPr="00AB4DCC">
        <w:rPr>
          <w:lang w:val="fr-FR"/>
        </w:rPr>
        <w:tab/>
        <w:t>Enregistrer la vitesse au point de collision (le cas échéant) ou la vitesse au point de mesure de la vitesse correspondant.</w:t>
      </w:r>
    </w:p>
    <w:p w14:paraId="06B6ACED" w14:textId="77777777" w:rsidR="00A20ACD" w:rsidRPr="00AB4DCC" w:rsidRDefault="00A20ACD" w:rsidP="00571A25">
      <w:pPr>
        <w:pStyle w:val="SingleTxtG"/>
        <w:ind w:left="2268"/>
        <w:rPr>
          <w:bCs/>
          <w:color w:val="000000" w:themeColor="text1"/>
          <w:lang w:val="fr-FR"/>
        </w:rPr>
      </w:pPr>
      <w:r w:rsidRPr="00AB4DCC">
        <w:rPr>
          <w:lang w:val="fr-FR"/>
        </w:rPr>
        <w:t>Avant le début de l’essai, le véhicule peut être conduit en direction de la cible sur une distance maximale de 20 m jusqu’à la position de départ et/ou le moteur peut être éteint puis rallumé, si le constructeur le demande.</w:t>
      </w:r>
    </w:p>
    <w:p w14:paraId="2914AB7C" w14:textId="77777777" w:rsidR="00A20ACD" w:rsidRPr="00AB4DCC" w:rsidRDefault="00A20ACD" w:rsidP="00DE2924">
      <w:pPr>
        <w:pStyle w:val="SingleTxtG"/>
        <w:ind w:left="2268" w:hanging="1134"/>
        <w:rPr>
          <w:bCs/>
          <w:lang w:val="fr-FR"/>
        </w:rPr>
      </w:pPr>
      <w:r w:rsidRPr="00AB4DCC">
        <w:rPr>
          <w:lang w:val="fr-FR"/>
        </w:rPr>
        <w:t>6.5</w:t>
      </w:r>
      <w:r w:rsidRPr="00AB4DCC">
        <w:rPr>
          <w:lang w:val="fr-FR"/>
        </w:rPr>
        <w:tab/>
        <w:t>S’il le juge utile, le service technique peut effectuer des essais dans n’importe lesquelles des conditions énoncées au paragraphe 5.1 lors des essais décrits au paragraphe 6.4.</w:t>
      </w:r>
    </w:p>
    <w:p w14:paraId="19036E0B" w14:textId="3CE5480C" w:rsidR="00A20ACD" w:rsidRPr="00AB4DCC" w:rsidRDefault="00A20ACD" w:rsidP="00571A25">
      <w:pPr>
        <w:pStyle w:val="HChG"/>
        <w:tabs>
          <w:tab w:val="clear" w:pos="851"/>
        </w:tabs>
        <w:ind w:left="2268"/>
        <w:rPr>
          <w:lang w:val="fr-FR"/>
        </w:rPr>
      </w:pPr>
      <w:r w:rsidRPr="00AB4DCC">
        <w:rPr>
          <w:bCs/>
          <w:lang w:val="fr-FR"/>
        </w:rPr>
        <w:t>7.</w:t>
      </w:r>
      <w:r w:rsidRPr="00AB4DCC">
        <w:rPr>
          <w:lang w:val="fr-FR"/>
        </w:rPr>
        <w:tab/>
      </w:r>
      <w:r w:rsidRPr="00AB4DCC">
        <w:rPr>
          <w:bCs/>
          <w:lang w:val="fr-FR"/>
        </w:rPr>
        <w:t>Modification du type de véhicule et extension de</w:t>
      </w:r>
      <w:r w:rsidR="00571A25">
        <w:rPr>
          <w:bCs/>
          <w:lang w:val="fr-FR"/>
        </w:rPr>
        <w:t> </w:t>
      </w:r>
      <w:r w:rsidRPr="00AB4DCC">
        <w:rPr>
          <w:bCs/>
          <w:lang w:val="fr-FR"/>
        </w:rPr>
        <w:t>l’homologation</w:t>
      </w:r>
    </w:p>
    <w:p w14:paraId="33A1661A" w14:textId="2D1E4172" w:rsidR="00A20ACD" w:rsidRPr="00AB4DCC" w:rsidRDefault="00A20ACD" w:rsidP="00DE2924">
      <w:pPr>
        <w:pStyle w:val="SingleTxtG"/>
        <w:ind w:left="2268" w:hanging="1134"/>
        <w:rPr>
          <w:color w:val="000000" w:themeColor="text1"/>
          <w:lang w:val="fr-FR"/>
        </w:rPr>
      </w:pPr>
      <w:r w:rsidRPr="00AB4DCC">
        <w:rPr>
          <w:lang w:val="fr-FR"/>
        </w:rPr>
        <w:t>7.1</w:t>
      </w:r>
      <w:r w:rsidRPr="00AB4DCC">
        <w:rPr>
          <w:lang w:val="fr-FR"/>
        </w:rPr>
        <w:tab/>
        <w:t>Toute modification du type de véhicule défini au paragraphe 2.2 doit être notifiée à l’autorité d’homologation de type ayant octroyé l’homologation. Cette autorité peut alors</w:t>
      </w:r>
      <w:r w:rsidR="00AB6B32">
        <w:rPr>
          <w:lang w:val="fr-FR"/>
        </w:rPr>
        <w:t> :</w:t>
      </w:r>
    </w:p>
    <w:p w14:paraId="51D6BF92" w14:textId="0E7AFE5C" w:rsidR="00A20ACD" w:rsidRPr="00AB4DCC" w:rsidRDefault="00A20ACD" w:rsidP="00DE2924">
      <w:pPr>
        <w:pStyle w:val="SingleTxtG"/>
        <w:ind w:left="2268" w:hanging="1134"/>
        <w:rPr>
          <w:lang w:val="fr-FR"/>
        </w:rPr>
      </w:pPr>
      <w:r w:rsidRPr="00AB4DCC">
        <w:rPr>
          <w:lang w:val="fr-FR"/>
        </w:rPr>
        <w:t>7.1.1</w:t>
      </w:r>
      <w:r w:rsidRPr="00AB4DCC">
        <w:rPr>
          <w:lang w:val="fr-FR"/>
        </w:rPr>
        <w:tab/>
        <w:t>Soit considérer que les modifications apportées n’influencent pas défavorablement les conditions d’octroi de l’homologation et accorder une extension de l’homologation</w:t>
      </w:r>
      <w:r w:rsidR="00AB6B32">
        <w:rPr>
          <w:lang w:val="fr-FR"/>
        </w:rPr>
        <w:t> ;</w:t>
      </w:r>
    </w:p>
    <w:p w14:paraId="368032DC" w14:textId="77777777" w:rsidR="00A20ACD" w:rsidRPr="00AB4DCC" w:rsidRDefault="00A20ACD" w:rsidP="00DE2924">
      <w:pPr>
        <w:pStyle w:val="SingleTxtG"/>
        <w:ind w:left="2268" w:hanging="1134"/>
        <w:rPr>
          <w:lang w:val="fr-FR"/>
        </w:rPr>
      </w:pPr>
      <w:r w:rsidRPr="00AB4DCC">
        <w:rPr>
          <w:lang w:val="fr-FR"/>
        </w:rPr>
        <w:t>7.1.2</w:t>
      </w:r>
      <w:r w:rsidRPr="00AB4DCC">
        <w:rPr>
          <w:lang w:val="fr-FR"/>
        </w:rPr>
        <w:tab/>
        <w:t>Soit considérer que les modifications apportées ont une influence sur les conditions d’octroi de l’homologation et exiger de nouveaux essais ou des vérifications complémentaires avant d’accorder l’extension de l’homologation.</w:t>
      </w:r>
    </w:p>
    <w:p w14:paraId="6F2BEE32" w14:textId="77777777" w:rsidR="00A20ACD" w:rsidRPr="0067037F" w:rsidRDefault="00A20ACD" w:rsidP="00DE2924">
      <w:pPr>
        <w:pStyle w:val="SingleTxtG"/>
        <w:ind w:left="2268" w:hanging="1134"/>
        <w:rPr>
          <w:spacing w:val="-1"/>
          <w:lang w:val="fr-FR"/>
        </w:rPr>
      </w:pPr>
      <w:r w:rsidRPr="00AB4DCC">
        <w:rPr>
          <w:lang w:val="fr-FR"/>
        </w:rPr>
        <w:t>7.2</w:t>
      </w:r>
      <w:r w:rsidRPr="00AB4DCC">
        <w:rPr>
          <w:lang w:val="fr-FR"/>
        </w:rPr>
        <w:tab/>
      </w:r>
      <w:r w:rsidRPr="0067037F">
        <w:rPr>
          <w:spacing w:val="-1"/>
          <w:lang w:val="fr-FR"/>
        </w:rPr>
        <w:t>La décision d’octroi ou de refus de l’extension, avec l’indication des modifications, doit être notifiée aux Parties contractantes à l’Accord appliquant le présent Règlement selon la procédure indiquée au paragraphe 4.3.</w:t>
      </w:r>
    </w:p>
    <w:p w14:paraId="035DF0EC" w14:textId="77777777" w:rsidR="00A20ACD" w:rsidRPr="00AB4DCC" w:rsidRDefault="00A20ACD" w:rsidP="00DE2924">
      <w:pPr>
        <w:pStyle w:val="SingleTxtG"/>
        <w:ind w:left="2268" w:hanging="1134"/>
        <w:rPr>
          <w:lang w:val="fr-FR"/>
        </w:rPr>
      </w:pPr>
      <w:r w:rsidRPr="00AB4DCC">
        <w:rPr>
          <w:lang w:val="fr-FR"/>
        </w:rPr>
        <w:t>7.3</w:t>
      </w:r>
      <w:r w:rsidRPr="00AB4DCC">
        <w:rPr>
          <w:lang w:val="fr-FR"/>
        </w:rPr>
        <w:tab/>
        <w:t>L’autorité d’homologation de type doit notifier la décision d’extension aux autres Parties contractantes au moyen de la fiche de communication qui figure à l’annexe 1 du présent Règlement. Elle doit attribuer à chaque extension un numéro d’ordre dénommé numéro d’extension.</w:t>
      </w:r>
    </w:p>
    <w:p w14:paraId="45F051D8" w14:textId="77777777" w:rsidR="00A20ACD" w:rsidRPr="00AB4DCC" w:rsidRDefault="00A20ACD" w:rsidP="00571A25">
      <w:pPr>
        <w:pStyle w:val="HChG"/>
        <w:tabs>
          <w:tab w:val="clear" w:pos="851"/>
        </w:tabs>
        <w:ind w:left="2268"/>
        <w:rPr>
          <w:lang w:val="fr-FR"/>
        </w:rPr>
      </w:pPr>
      <w:r w:rsidRPr="00AB4DCC">
        <w:rPr>
          <w:bCs/>
          <w:lang w:val="fr-FR"/>
        </w:rPr>
        <w:t>8.</w:t>
      </w:r>
      <w:r w:rsidRPr="00AB4DCC">
        <w:rPr>
          <w:lang w:val="fr-FR"/>
        </w:rPr>
        <w:tab/>
      </w:r>
      <w:r w:rsidRPr="00AB4DCC">
        <w:rPr>
          <w:bCs/>
          <w:lang w:val="fr-FR"/>
        </w:rPr>
        <w:t>Conformité de la production</w:t>
      </w:r>
    </w:p>
    <w:p w14:paraId="2F80A994" w14:textId="7A977496" w:rsidR="00A20ACD" w:rsidRPr="00AB4DCC" w:rsidRDefault="00A20ACD" w:rsidP="00DE2924">
      <w:pPr>
        <w:pStyle w:val="SingleTxtG"/>
        <w:ind w:left="2268" w:hanging="1134"/>
        <w:rPr>
          <w:lang w:val="fr-FR"/>
        </w:rPr>
      </w:pPr>
      <w:r w:rsidRPr="00AB4DCC">
        <w:rPr>
          <w:lang w:val="fr-FR"/>
        </w:rPr>
        <w:t>8.1</w:t>
      </w:r>
      <w:r w:rsidRPr="00AB4DCC">
        <w:rPr>
          <w:lang w:val="fr-FR"/>
        </w:rPr>
        <w:tab/>
        <w:t>Les procédures de conformité de la production doivent être conformes à celles qui sont définies à l’annexe 1 de l’Accord de 1958 (E/ECE/TRANS/</w:t>
      </w:r>
      <w:r w:rsidR="0067037F">
        <w:rPr>
          <w:lang w:val="fr-FR"/>
        </w:rPr>
        <w:t xml:space="preserve"> </w:t>
      </w:r>
      <w:r w:rsidRPr="00AB4DCC">
        <w:rPr>
          <w:lang w:val="fr-FR"/>
        </w:rPr>
        <w:t>505/Rev.3) et satisfaire aux prescriptions suivantes</w:t>
      </w:r>
      <w:r w:rsidR="00AB6B32">
        <w:rPr>
          <w:lang w:val="fr-FR"/>
        </w:rPr>
        <w:t> :</w:t>
      </w:r>
    </w:p>
    <w:p w14:paraId="75F671FF" w14:textId="11843543" w:rsidR="00A20ACD" w:rsidRPr="00AB4DCC" w:rsidRDefault="00A20ACD" w:rsidP="00DE2924">
      <w:pPr>
        <w:pStyle w:val="SingleTxtG"/>
        <w:ind w:left="2268" w:hanging="1134"/>
        <w:rPr>
          <w:lang w:val="fr-FR"/>
        </w:rPr>
      </w:pPr>
      <w:r w:rsidRPr="00AB4DCC">
        <w:rPr>
          <w:lang w:val="fr-FR"/>
        </w:rPr>
        <w:t>8.2</w:t>
      </w:r>
      <w:r w:rsidRPr="00AB4DCC">
        <w:rPr>
          <w:lang w:val="fr-FR"/>
        </w:rPr>
        <w:tab/>
        <w:t>Tout véhicule homologué en application du présent Règlement doit être construit de façon à être conforme au type homologué en satisfaisant aux prescriptions du paragraphe 5 ci-dessus</w:t>
      </w:r>
      <w:r w:rsidR="00AB6B32">
        <w:rPr>
          <w:lang w:val="fr-FR"/>
        </w:rPr>
        <w:t> ;</w:t>
      </w:r>
    </w:p>
    <w:p w14:paraId="0A803EAC" w14:textId="77777777" w:rsidR="00A20ACD" w:rsidRPr="00AB4DCC" w:rsidRDefault="00A20ACD" w:rsidP="00DE2924">
      <w:pPr>
        <w:pStyle w:val="SingleTxtG"/>
        <w:ind w:left="2268" w:hanging="1134"/>
        <w:rPr>
          <w:lang w:val="fr-FR"/>
        </w:rPr>
      </w:pPr>
      <w:r w:rsidRPr="00AB4DCC">
        <w:rPr>
          <w:lang w:val="fr-FR"/>
        </w:rPr>
        <w:t>8.3</w:t>
      </w:r>
      <w:r w:rsidRPr="00AB4DCC">
        <w:rPr>
          <w:lang w:val="fr-FR"/>
        </w:rPr>
        <w:tab/>
        <w:t>L’autorité d’homologation de type qui a accordé l’homologation peut à tout moment vérifier que les méthodes de contrôle de la conformité sont appliquées correctement dans chaque unité de production. La fréquence normale de ces vérifications doit être d’une fois tous les deux ans.</w:t>
      </w:r>
    </w:p>
    <w:p w14:paraId="74F109D9" w14:textId="77777777" w:rsidR="00A20ACD" w:rsidRPr="00AB4DCC" w:rsidRDefault="00A20ACD" w:rsidP="00571A25">
      <w:pPr>
        <w:pStyle w:val="HChG"/>
        <w:tabs>
          <w:tab w:val="clear" w:pos="851"/>
        </w:tabs>
        <w:ind w:left="2268"/>
        <w:rPr>
          <w:lang w:val="fr-FR"/>
        </w:rPr>
      </w:pPr>
      <w:r w:rsidRPr="00AB4DCC">
        <w:rPr>
          <w:bCs/>
          <w:lang w:val="fr-FR"/>
        </w:rPr>
        <w:t>9.</w:t>
      </w:r>
      <w:r w:rsidRPr="00AB4DCC">
        <w:rPr>
          <w:lang w:val="fr-FR"/>
        </w:rPr>
        <w:tab/>
      </w:r>
      <w:r w:rsidRPr="00AB4DCC">
        <w:rPr>
          <w:bCs/>
          <w:lang w:val="fr-FR"/>
        </w:rPr>
        <w:t>Sanctions pour non-conformité de la production</w:t>
      </w:r>
    </w:p>
    <w:p w14:paraId="5E13C0F7" w14:textId="77777777" w:rsidR="00A20ACD" w:rsidRPr="00AB4DCC" w:rsidRDefault="00A20ACD" w:rsidP="00DE2924">
      <w:pPr>
        <w:pStyle w:val="SingleTxtG"/>
        <w:ind w:left="2268" w:hanging="1134"/>
        <w:rPr>
          <w:color w:val="000000" w:themeColor="text1"/>
          <w:lang w:val="fr-FR"/>
        </w:rPr>
      </w:pPr>
      <w:r w:rsidRPr="00AB4DCC">
        <w:rPr>
          <w:lang w:val="fr-FR"/>
        </w:rPr>
        <w:t>9.1</w:t>
      </w:r>
      <w:r w:rsidRPr="00AB4DCC">
        <w:rPr>
          <w:lang w:val="fr-FR"/>
        </w:rPr>
        <w:tab/>
        <w:t>L’homologation délivrée pour un type de véhicule en application du présent Règlement peut être retirée si les prescriptions énoncées au paragraphe 8 ne sont pas respectées.</w:t>
      </w:r>
    </w:p>
    <w:p w14:paraId="36DEBCBE" w14:textId="77777777" w:rsidR="00A20ACD" w:rsidRPr="00AB4DCC" w:rsidRDefault="00A20ACD" w:rsidP="00DE2924">
      <w:pPr>
        <w:pStyle w:val="SingleTxtG"/>
        <w:ind w:left="2268" w:hanging="1134"/>
        <w:rPr>
          <w:lang w:val="fr-FR"/>
        </w:rPr>
      </w:pPr>
      <w:r w:rsidRPr="00AB4DCC">
        <w:rPr>
          <w:lang w:val="fr-FR"/>
        </w:rPr>
        <w:t>9.2</w:t>
      </w:r>
      <w:r w:rsidRPr="00AB4DCC">
        <w:rPr>
          <w:lang w:val="fr-FR"/>
        </w:rPr>
        <w:tab/>
        <w:t>Lorsqu’une Partie contractante retire une homologation qu’elle avait accordée, elle doit en aviser immédiatement les autres Parties contractantes appliquant le présent Règlement par l’envoi d’une fiche de communication conforme au modèle de l’annexe 1 du présent Règlement.</w:t>
      </w:r>
    </w:p>
    <w:p w14:paraId="19FB85EA" w14:textId="77777777" w:rsidR="00A20ACD" w:rsidRPr="00AB4DCC" w:rsidRDefault="00A20ACD" w:rsidP="00571A25">
      <w:pPr>
        <w:pStyle w:val="HChG"/>
        <w:tabs>
          <w:tab w:val="clear" w:pos="851"/>
        </w:tabs>
        <w:ind w:left="2268"/>
        <w:rPr>
          <w:lang w:val="fr-FR"/>
        </w:rPr>
      </w:pPr>
      <w:r w:rsidRPr="00AB4DCC">
        <w:rPr>
          <w:bCs/>
          <w:lang w:val="fr-FR"/>
        </w:rPr>
        <w:t>10.</w:t>
      </w:r>
      <w:r w:rsidRPr="00AB4DCC">
        <w:rPr>
          <w:lang w:val="fr-FR"/>
        </w:rPr>
        <w:tab/>
      </w:r>
      <w:r w:rsidRPr="00AB4DCC">
        <w:rPr>
          <w:bCs/>
          <w:lang w:val="fr-FR"/>
        </w:rPr>
        <w:t>Noms et adresses des services techniques chargés des essais d’homologation et des autorités d’homologation de type</w:t>
      </w:r>
    </w:p>
    <w:p w14:paraId="614D2105" w14:textId="77777777" w:rsidR="00A20ACD" w:rsidRPr="00AB4DCC" w:rsidRDefault="00A20ACD" w:rsidP="00571A25">
      <w:pPr>
        <w:pStyle w:val="SingleTxtG"/>
        <w:ind w:left="2268"/>
        <w:rPr>
          <w:sz w:val="21"/>
          <w:szCs w:val="21"/>
          <w:lang w:val="fr-FR"/>
        </w:rPr>
      </w:pPr>
      <w:r w:rsidRPr="00AB4DCC">
        <w:rPr>
          <w:lang w:val="fr-FR"/>
        </w:rPr>
        <w:t>Si le titulaire de l’homologation arrête définitivement la fabrication d’un type de véhicule homologué conformément au présent Règlement, il doit en informer l’autorité qui a délivré l’homologation, laquelle doit à son tour en informer immédiatement les autres Parties contractantes à l’Accord appliquant le présent Règlement, au moyen d’une fiche de communication conforme au modèle de l’annexe 1 du présent Règlement.</w:t>
      </w:r>
    </w:p>
    <w:p w14:paraId="66F8B3CD" w14:textId="77777777" w:rsidR="00A20ACD" w:rsidRPr="00AB4DCC" w:rsidRDefault="00A20ACD" w:rsidP="00A20ACD">
      <w:pPr>
        <w:pStyle w:val="Paragraphedeliste"/>
        <w:keepNext/>
        <w:keepLines/>
        <w:tabs>
          <w:tab w:val="right" w:pos="851"/>
        </w:tabs>
        <w:spacing w:before="360" w:after="240" w:line="300" w:lineRule="exact"/>
        <w:ind w:left="2268" w:right="1134" w:hanging="1134"/>
        <w:contextualSpacing w:val="0"/>
        <w:rPr>
          <w:sz w:val="28"/>
          <w:szCs w:val="28"/>
          <w:lang w:val="fr-FR"/>
        </w:rPr>
      </w:pPr>
      <w:bookmarkStart w:id="15" w:name="_Toc530068551"/>
      <w:r w:rsidRPr="00AB4DCC">
        <w:rPr>
          <w:b/>
          <w:bCs/>
          <w:sz w:val="28"/>
          <w:szCs w:val="28"/>
          <w:lang w:val="fr-FR"/>
        </w:rPr>
        <w:t>11.</w:t>
      </w:r>
      <w:r w:rsidRPr="00AB4DCC">
        <w:rPr>
          <w:sz w:val="28"/>
          <w:szCs w:val="28"/>
          <w:lang w:val="fr-FR"/>
        </w:rPr>
        <w:tab/>
      </w:r>
      <w:r w:rsidRPr="00AB4DCC">
        <w:rPr>
          <w:sz w:val="28"/>
          <w:szCs w:val="28"/>
          <w:lang w:val="fr-FR"/>
        </w:rPr>
        <w:tab/>
      </w:r>
      <w:r w:rsidRPr="00AB4DCC">
        <w:rPr>
          <w:b/>
          <w:bCs/>
          <w:sz w:val="28"/>
          <w:szCs w:val="28"/>
          <w:lang w:val="fr-FR"/>
        </w:rPr>
        <w:t>Noms et adresses des services techniques chargés des essais d’homologation et des autorités d’homologation de type</w:t>
      </w:r>
      <w:bookmarkEnd w:id="15"/>
    </w:p>
    <w:p w14:paraId="6177AAA9" w14:textId="0CC3C686" w:rsidR="00F9573C" w:rsidRDefault="00A20ACD" w:rsidP="00571A25">
      <w:pPr>
        <w:pStyle w:val="SingleTxtG"/>
        <w:ind w:left="2268"/>
        <w:rPr>
          <w:lang w:val="fr-FR"/>
        </w:rPr>
      </w:pPr>
      <w:r w:rsidRPr="00AB4DCC">
        <w:rPr>
          <w:lang w:val="fr-FR"/>
        </w:rPr>
        <w:t>Les Parties contractantes à l’Accord appliquant le présent Règlement communiquent au Secrétariat de l’Organisation des Nations Unies</w:t>
      </w:r>
      <w:r w:rsidRPr="00DE2924">
        <w:rPr>
          <w:rStyle w:val="Appelnotedebasdep"/>
        </w:rPr>
        <w:footnoteReference w:id="5"/>
      </w:r>
      <w:r w:rsidRPr="00AB4DCC">
        <w:rPr>
          <w:lang w:val="fr-FR"/>
        </w:rPr>
        <w:t xml:space="preserve"> les noms et adresses des services techniques responsables des essais d’homologation et des services administratifs qui délivrent l’homologation et auxquels doivent être envoyées les fiches d’homologation ou d’extension, de refus ou de retrait d’homologation émises dans les autres pays.</w:t>
      </w:r>
    </w:p>
    <w:p w14:paraId="0279B6E0" w14:textId="77777777" w:rsidR="0037414E" w:rsidRDefault="0037414E">
      <w:pPr>
        <w:suppressAutoHyphens w:val="0"/>
        <w:kinsoku/>
        <w:overflowPunct/>
        <w:autoSpaceDE/>
        <w:autoSpaceDN/>
        <w:adjustRightInd/>
        <w:snapToGrid/>
        <w:spacing w:after="200" w:line="276" w:lineRule="auto"/>
        <w:sectPr w:rsidR="0037414E" w:rsidSect="00100EC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11658A0E" w14:textId="77777777" w:rsidR="0037414E" w:rsidRPr="00AB4DCC" w:rsidRDefault="0037414E" w:rsidP="0037414E">
      <w:pPr>
        <w:pStyle w:val="HChG"/>
        <w:rPr>
          <w:lang w:val="fr-FR"/>
        </w:rPr>
      </w:pPr>
      <w:bookmarkStart w:id="16" w:name="_GoBack"/>
      <w:bookmarkStart w:id="17" w:name="_Toc530068552"/>
      <w:bookmarkEnd w:id="16"/>
      <w:r w:rsidRPr="00AB4DCC">
        <w:rPr>
          <w:lang w:val="fr-FR"/>
        </w:rPr>
        <w:t>Annexe 1</w:t>
      </w:r>
      <w:bookmarkEnd w:id="17"/>
    </w:p>
    <w:p w14:paraId="7F6DF873" w14:textId="77777777" w:rsidR="0037414E" w:rsidRPr="00AB4DCC" w:rsidRDefault="0037414E" w:rsidP="0037414E">
      <w:pPr>
        <w:pStyle w:val="HChG"/>
        <w:rPr>
          <w:lang w:val="fr-FR"/>
        </w:rPr>
      </w:pPr>
      <w:r w:rsidRPr="00AB4DCC">
        <w:rPr>
          <w:lang w:val="fr-FR"/>
        </w:rPr>
        <w:tab/>
      </w:r>
      <w:r w:rsidRPr="00AB4DCC">
        <w:rPr>
          <w:lang w:val="fr-FR"/>
        </w:rPr>
        <w:tab/>
        <w:t>Communication</w:t>
      </w:r>
    </w:p>
    <w:p w14:paraId="38E14AEA" w14:textId="77777777" w:rsidR="0037414E" w:rsidRPr="00AB4DCC" w:rsidRDefault="0037414E" w:rsidP="0037414E">
      <w:pPr>
        <w:pStyle w:val="SingleTxtG"/>
        <w:rPr>
          <w:lang w:val="fr-FR"/>
        </w:rPr>
      </w:pPr>
      <w:r w:rsidRPr="00AB4DCC">
        <w:rPr>
          <w:lang w:val="fr-FR"/>
        </w:rPr>
        <w:t>(Format maximal</w:t>
      </w:r>
      <w:r>
        <w:rPr>
          <w:lang w:val="fr-FR"/>
        </w:rPr>
        <w:t> :</w:t>
      </w:r>
      <w:r w:rsidRPr="00AB4DCC">
        <w:rPr>
          <w:lang w:val="fr-FR"/>
        </w:rPr>
        <w:t xml:space="preserve"> A.4 (210 x 297 mm))</w:t>
      </w:r>
    </w:p>
    <w:p w14:paraId="3603C5A8" w14:textId="77777777" w:rsidR="0037414E" w:rsidRPr="00AB4DCC" w:rsidRDefault="0037414E" w:rsidP="0037414E">
      <w:pPr>
        <w:jc w:val="center"/>
        <w:rPr>
          <w:lang w:val="fr-FR"/>
        </w:rPr>
      </w:pPr>
    </w:p>
    <w:tbl>
      <w:tblPr>
        <w:tblW w:w="7513" w:type="dxa"/>
        <w:tblInd w:w="1134" w:type="dxa"/>
        <w:tblLayout w:type="fixed"/>
        <w:tblCellMar>
          <w:left w:w="70" w:type="dxa"/>
          <w:right w:w="70" w:type="dxa"/>
        </w:tblCellMar>
        <w:tblLook w:val="0000" w:firstRow="0" w:lastRow="0" w:firstColumn="0" w:lastColumn="0" w:noHBand="0" w:noVBand="0"/>
      </w:tblPr>
      <w:tblGrid>
        <w:gridCol w:w="3686"/>
        <w:gridCol w:w="3827"/>
      </w:tblGrid>
      <w:tr w:rsidR="0037414E" w:rsidRPr="00AB4DCC" w14:paraId="39974A9C" w14:textId="77777777" w:rsidTr="0037414E">
        <w:tc>
          <w:tcPr>
            <w:tcW w:w="3686" w:type="dxa"/>
          </w:tcPr>
          <w:p w14:paraId="49C27EEB" w14:textId="77777777" w:rsidR="0037414E" w:rsidRPr="00AB4DCC" w:rsidRDefault="0037414E" w:rsidP="003E0E49">
            <w:pPr>
              <w:jc w:val="both"/>
              <w:rPr>
                <w:lang w:val="fr-FR"/>
              </w:rPr>
            </w:pPr>
            <w:r w:rsidRPr="00AB4DCC">
              <w:rPr>
                <w:noProof/>
                <w:lang w:val="fr-FR" w:eastAsia="zh-CN"/>
              </w:rPr>
              <w:drawing>
                <wp:inline distT="0" distB="0" distL="0" distR="0" wp14:anchorId="3A718C5C" wp14:editId="3122821C">
                  <wp:extent cx="933450" cy="904875"/>
                  <wp:effectExtent l="0" t="0" r="0" b="9525"/>
                  <wp:docPr id="15" name="Picture 15"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アイコン&#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r w:rsidRPr="0037414E">
              <w:rPr>
                <w:rStyle w:val="Appelnotedebasdep"/>
                <w:color w:val="FFFFFF" w:themeColor="background1"/>
                <w:lang w:val="fr-FR"/>
              </w:rPr>
              <w:footnoteReference w:id="6"/>
            </w:r>
          </w:p>
        </w:tc>
        <w:tc>
          <w:tcPr>
            <w:tcW w:w="3827" w:type="dxa"/>
          </w:tcPr>
          <w:p w14:paraId="458BE2C0" w14:textId="77777777" w:rsidR="0037414E" w:rsidRPr="00AB4DCC" w:rsidRDefault="0037414E" w:rsidP="0037414E">
            <w:pPr>
              <w:tabs>
                <w:tab w:val="left" w:pos="1418"/>
              </w:tabs>
              <w:rPr>
                <w:lang w:val="fr-FR"/>
              </w:rPr>
            </w:pPr>
            <w:r w:rsidRPr="00AB4DCC">
              <w:rPr>
                <w:lang w:val="fr-FR"/>
              </w:rPr>
              <w:t>Émanant de</w:t>
            </w:r>
            <w:r>
              <w:rPr>
                <w:lang w:val="fr-FR"/>
              </w:rPr>
              <w:t> :</w:t>
            </w:r>
            <w:r w:rsidRPr="00AB4DCC">
              <w:rPr>
                <w:lang w:val="fr-FR"/>
              </w:rPr>
              <w:tab/>
              <w:t>(Nom de l’administration)</w:t>
            </w:r>
            <w:r>
              <w:rPr>
                <w:lang w:val="fr-FR"/>
              </w:rPr>
              <w:t> :</w:t>
            </w:r>
          </w:p>
          <w:p w14:paraId="00DAA7D3" w14:textId="77777777" w:rsidR="0037414E" w:rsidRDefault="0037414E" w:rsidP="0037414E">
            <w:pPr>
              <w:tabs>
                <w:tab w:val="left" w:pos="-720"/>
                <w:tab w:val="left" w:pos="1418"/>
                <w:tab w:val="right" w:leader="dot" w:pos="3686"/>
              </w:tabs>
              <w:ind w:left="1418"/>
              <w:jc w:val="both"/>
              <w:rPr>
                <w:lang w:val="fr-FR"/>
              </w:rPr>
            </w:pPr>
            <w:r>
              <w:rPr>
                <w:lang w:val="fr-FR"/>
              </w:rPr>
              <w:tab/>
            </w:r>
          </w:p>
          <w:p w14:paraId="24291770" w14:textId="423856AD" w:rsidR="0037414E" w:rsidRPr="0037414E" w:rsidRDefault="0037414E" w:rsidP="0037414E">
            <w:pPr>
              <w:tabs>
                <w:tab w:val="left" w:pos="-720"/>
                <w:tab w:val="left" w:pos="1418"/>
                <w:tab w:val="right" w:leader="dot" w:pos="3686"/>
              </w:tabs>
              <w:ind w:left="1418"/>
              <w:jc w:val="both"/>
              <w:rPr>
                <w:lang w:val="fr-FR"/>
              </w:rPr>
            </w:pPr>
            <w:r>
              <w:rPr>
                <w:lang w:val="fr-FR"/>
              </w:rPr>
              <w:tab/>
            </w:r>
          </w:p>
          <w:p w14:paraId="5774DEE1" w14:textId="798003ED" w:rsidR="0037414E" w:rsidRPr="00AB4DCC" w:rsidRDefault="0037414E" w:rsidP="0037414E">
            <w:pPr>
              <w:tabs>
                <w:tab w:val="left" w:pos="-720"/>
                <w:tab w:val="left" w:pos="1418"/>
                <w:tab w:val="right" w:leader="dot" w:pos="3686"/>
              </w:tabs>
              <w:ind w:left="1418"/>
              <w:jc w:val="both"/>
              <w:rPr>
                <w:lang w:val="fr-FR"/>
              </w:rPr>
            </w:pPr>
            <w:r>
              <w:rPr>
                <w:lang w:val="fr-FR"/>
              </w:rPr>
              <w:tab/>
            </w:r>
          </w:p>
        </w:tc>
      </w:tr>
    </w:tbl>
    <w:p w14:paraId="7C161996" w14:textId="77777777" w:rsidR="0037414E" w:rsidRPr="00AB4DCC" w:rsidRDefault="0037414E" w:rsidP="0037414E">
      <w:pPr>
        <w:pStyle w:val="SingleTxtG"/>
        <w:spacing w:after="0"/>
        <w:ind w:left="2552" w:hanging="1418"/>
        <w:rPr>
          <w:lang w:val="fr-FR"/>
        </w:rPr>
      </w:pPr>
      <w:r w:rsidRPr="00AB4DCC">
        <w:rPr>
          <w:lang w:val="fr-FR"/>
        </w:rPr>
        <w:t>Concernant</w:t>
      </w:r>
      <w:r w:rsidRPr="00DE2924">
        <w:rPr>
          <w:rStyle w:val="Appelnotedebasdep"/>
          <w:lang w:val="fr-FR"/>
        </w:rPr>
        <w:footnoteReference w:id="7"/>
      </w:r>
      <w:r>
        <w:rPr>
          <w:lang w:val="fr-FR"/>
        </w:rPr>
        <w:t> :</w:t>
      </w:r>
      <w:r w:rsidRPr="00AB4DCC">
        <w:rPr>
          <w:lang w:val="fr-FR"/>
        </w:rPr>
        <w:tab/>
        <w:t>Délivrance d’une homologation</w:t>
      </w:r>
    </w:p>
    <w:p w14:paraId="76E0844D" w14:textId="77777777" w:rsidR="0037414E" w:rsidRPr="00AB4DCC" w:rsidRDefault="0037414E" w:rsidP="0037414E">
      <w:pPr>
        <w:pStyle w:val="SingleTxtG"/>
        <w:spacing w:after="0"/>
        <w:ind w:left="2552"/>
        <w:rPr>
          <w:lang w:val="fr-FR"/>
        </w:rPr>
      </w:pPr>
      <w:r w:rsidRPr="00AB4DCC">
        <w:rPr>
          <w:lang w:val="fr-FR"/>
        </w:rPr>
        <w:t>Extension d’homologation</w:t>
      </w:r>
    </w:p>
    <w:p w14:paraId="1E408512" w14:textId="77777777" w:rsidR="0037414E" w:rsidRPr="00AB4DCC" w:rsidRDefault="0037414E" w:rsidP="0037414E">
      <w:pPr>
        <w:pStyle w:val="SingleTxtG"/>
        <w:spacing w:after="0"/>
        <w:ind w:left="2552"/>
        <w:rPr>
          <w:lang w:val="fr-FR"/>
        </w:rPr>
      </w:pPr>
      <w:r w:rsidRPr="00AB4DCC">
        <w:rPr>
          <w:lang w:val="fr-FR"/>
        </w:rPr>
        <w:t>Refus d’homologation</w:t>
      </w:r>
    </w:p>
    <w:p w14:paraId="2C3DCA33" w14:textId="77777777" w:rsidR="0037414E" w:rsidRPr="00AB4DCC" w:rsidRDefault="0037414E" w:rsidP="0037414E">
      <w:pPr>
        <w:pStyle w:val="SingleTxtG"/>
        <w:spacing w:after="0"/>
        <w:ind w:left="2552"/>
        <w:rPr>
          <w:lang w:val="fr-FR"/>
        </w:rPr>
      </w:pPr>
      <w:r w:rsidRPr="00AB4DCC">
        <w:rPr>
          <w:lang w:val="fr-FR"/>
        </w:rPr>
        <w:t>Retrait d’homologation</w:t>
      </w:r>
    </w:p>
    <w:p w14:paraId="5982C504" w14:textId="77777777" w:rsidR="0037414E" w:rsidRPr="00AB4DCC" w:rsidRDefault="0037414E" w:rsidP="0037414E">
      <w:pPr>
        <w:pStyle w:val="SingleTxtG"/>
        <w:ind w:left="2552"/>
        <w:rPr>
          <w:lang w:val="fr-FR"/>
        </w:rPr>
      </w:pPr>
      <w:r w:rsidRPr="00AB4DCC">
        <w:rPr>
          <w:lang w:val="fr-FR"/>
        </w:rPr>
        <w:t>Arrêt définitif de la production</w:t>
      </w:r>
    </w:p>
    <w:p w14:paraId="08CD1707" w14:textId="77777777" w:rsidR="0037414E" w:rsidRPr="00AB4DCC" w:rsidRDefault="0037414E" w:rsidP="0037414E">
      <w:pPr>
        <w:pStyle w:val="SingleTxtG"/>
        <w:rPr>
          <w:lang w:val="fr-FR"/>
        </w:rPr>
      </w:pPr>
      <w:r w:rsidRPr="00AB4DCC">
        <w:rPr>
          <w:lang w:val="fr-FR"/>
        </w:rPr>
        <w:t>d’un type de véhicule en ce qui concerne son système de contrôle de l’accélération en cas d’erreur de pédale, en application du Règlement ONU n</w:t>
      </w:r>
      <w:r w:rsidRPr="00AB4DCC">
        <w:rPr>
          <w:vertAlign w:val="superscript"/>
          <w:lang w:val="fr-FR"/>
        </w:rPr>
        <w:t>o</w:t>
      </w:r>
      <w:r w:rsidRPr="00AB4DCC">
        <w:rPr>
          <w:lang w:val="fr-FR"/>
        </w:rPr>
        <w:t xml:space="preserve"> XXX</w:t>
      </w:r>
    </w:p>
    <w:p w14:paraId="3EF92296" w14:textId="5898B002" w:rsidR="0037414E" w:rsidRPr="00AB4DCC" w:rsidRDefault="0037414E" w:rsidP="0037414E">
      <w:pPr>
        <w:pStyle w:val="SingleTxtG"/>
        <w:tabs>
          <w:tab w:val="left" w:pos="1701"/>
          <w:tab w:val="right" w:leader="dot" w:pos="8505"/>
        </w:tabs>
        <w:rPr>
          <w:lang w:val="fr-FR"/>
        </w:rPr>
      </w:pPr>
      <w:r w:rsidRPr="00AB4DCC">
        <w:rPr>
          <w:lang w:val="fr-FR"/>
        </w:rPr>
        <w:t>N</w:t>
      </w:r>
      <w:r w:rsidRPr="00AB4DCC">
        <w:rPr>
          <w:vertAlign w:val="superscript"/>
          <w:lang w:val="fr-FR"/>
        </w:rPr>
        <w:t xml:space="preserve">o </w:t>
      </w:r>
      <w:r w:rsidRPr="00AB4DCC">
        <w:rPr>
          <w:lang w:val="fr-FR"/>
        </w:rPr>
        <w:t>d’homologation</w:t>
      </w:r>
      <w:r>
        <w:rPr>
          <w:lang w:val="fr-FR"/>
        </w:rPr>
        <w:t> :</w:t>
      </w:r>
      <w:r>
        <w:rPr>
          <w:lang w:val="fr-FR"/>
        </w:rPr>
        <w:tab/>
      </w:r>
    </w:p>
    <w:p w14:paraId="76B0B36C" w14:textId="77777777" w:rsidR="0037414E" w:rsidRPr="00AB4DCC" w:rsidRDefault="0037414E" w:rsidP="00F10984">
      <w:pPr>
        <w:pStyle w:val="SingleTxtG"/>
        <w:tabs>
          <w:tab w:val="left" w:pos="1701"/>
          <w:tab w:val="right" w:leader="dot" w:pos="8505"/>
        </w:tabs>
        <w:ind w:left="1701" w:hanging="567"/>
        <w:jc w:val="left"/>
        <w:rPr>
          <w:lang w:val="fr-FR"/>
        </w:rPr>
      </w:pPr>
      <w:r w:rsidRPr="00AB4DCC">
        <w:rPr>
          <w:lang w:val="fr-FR"/>
        </w:rPr>
        <w:t>1.</w:t>
      </w:r>
      <w:r w:rsidRPr="00AB4DCC">
        <w:rPr>
          <w:lang w:val="fr-FR"/>
        </w:rPr>
        <w:tab/>
        <w:t>Marque (de fabrique ou de commerce)</w:t>
      </w:r>
      <w:r>
        <w:rPr>
          <w:lang w:val="fr-FR"/>
        </w:rPr>
        <w:t> :</w:t>
      </w:r>
      <w:r w:rsidRPr="00AB4DCC">
        <w:rPr>
          <w:lang w:val="fr-FR"/>
        </w:rPr>
        <w:tab/>
      </w:r>
    </w:p>
    <w:p w14:paraId="73E03BC1" w14:textId="77777777" w:rsidR="0037414E" w:rsidRPr="00AB4DCC" w:rsidRDefault="0037414E" w:rsidP="00F10984">
      <w:pPr>
        <w:pStyle w:val="SingleTxtG"/>
        <w:tabs>
          <w:tab w:val="left" w:pos="1701"/>
          <w:tab w:val="right" w:leader="dot" w:pos="8505"/>
        </w:tabs>
        <w:ind w:left="1701" w:hanging="567"/>
        <w:jc w:val="left"/>
        <w:rPr>
          <w:lang w:val="fr-FR"/>
        </w:rPr>
      </w:pPr>
      <w:r w:rsidRPr="00AB4DCC">
        <w:rPr>
          <w:lang w:val="fr-FR"/>
        </w:rPr>
        <w:t>2.</w:t>
      </w:r>
      <w:r w:rsidRPr="00AB4DCC">
        <w:rPr>
          <w:lang w:val="fr-FR"/>
        </w:rPr>
        <w:tab/>
        <w:t>Type et dénomination(s) commerciale(s)</w:t>
      </w:r>
      <w:r>
        <w:rPr>
          <w:lang w:val="fr-FR"/>
        </w:rPr>
        <w:t> :</w:t>
      </w:r>
      <w:r w:rsidRPr="00AB4DCC">
        <w:rPr>
          <w:lang w:val="fr-FR"/>
        </w:rPr>
        <w:tab/>
      </w:r>
    </w:p>
    <w:p w14:paraId="7C614F53" w14:textId="77777777" w:rsidR="0037414E" w:rsidRPr="00AB4DCC" w:rsidRDefault="0037414E" w:rsidP="00F10984">
      <w:pPr>
        <w:pStyle w:val="SingleTxtG"/>
        <w:tabs>
          <w:tab w:val="left" w:pos="1701"/>
          <w:tab w:val="right" w:leader="dot" w:pos="8505"/>
        </w:tabs>
        <w:ind w:left="1701" w:hanging="567"/>
        <w:jc w:val="left"/>
        <w:rPr>
          <w:lang w:val="fr-FR"/>
        </w:rPr>
      </w:pPr>
      <w:r w:rsidRPr="00AB4DCC">
        <w:rPr>
          <w:lang w:val="fr-FR"/>
        </w:rPr>
        <w:t>3.</w:t>
      </w:r>
      <w:r w:rsidRPr="00AB4DCC">
        <w:rPr>
          <w:lang w:val="fr-FR"/>
        </w:rPr>
        <w:tab/>
        <w:t>Nom et adresse du constructeur</w:t>
      </w:r>
      <w:r>
        <w:rPr>
          <w:lang w:val="fr-FR"/>
        </w:rPr>
        <w:t> :</w:t>
      </w:r>
      <w:r w:rsidRPr="00AB4DCC">
        <w:rPr>
          <w:lang w:val="fr-FR"/>
        </w:rPr>
        <w:tab/>
      </w:r>
    </w:p>
    <w:p w14:paraId="3C2D18DE" w14:textId="77777777" w:rsidR="0037414E" w:rsidRPr="00AB4DCC" w:rsidRDefault="0037414E" w:rsidP="00F10984">
      <w:pPr>
        <w:pStyle w:val="SingleTxtG"/>
        <w:tabs>
          <w:tab w:val="left" w:pos="1701"/>
          <w:tab w:val="right" w:leader="dot" w:pos="8505"/>
        </w:tabs>
        <w:ind w:left="1701" w:hanging="567"/>
        <w:jc w:val="left"/>
        <w:rPr>
          <w:lang w:val="fr-FR"/>
        </w:rPr>
      </w:pPr>
      <w:r w:rsidRPr="00AB4DCC">
        <w:rPr>
          <w:lang w:val="fr-FR"/>
        </w:rPr>
        <w:t>4.</w:t>
      </w:r>
      <w:r w:rsidRPr="00AB4DCC">
        <w:rPr>
          <w:lang w:val="fr-FR"/>
        </w:rPr>
        <w:tab/>
        <w:t>Le cas échéant, nom et adresse du mandataire du constructeur</w:t>
      </w:r>
      <w:r>
        <w:rPr>
          <w:lang w:val="fr-FR"/>
        </w:rPr>
        <w:t> :</w:t>
      </w:r>
      <w:r w:rsidRPr="00AB4DCC">
        <w:rPr>
          <w:lang w:val="fr-FR"/>
        </w:rPr>
        <w:tab/>
      </w:r>
    </w:p>
    <w:p w14:paraId="291FBDEA" w14:textId="77777777" w:rsidR="0037414E" w:rsidRPr="00AB4DCC" w:rsidRDefault="0037414E" w:rsidP="00F10984">
      <w:pPr>
        <w:pStyle w:val="SingleTxtG"/>
        <w:tabs>
          <w:tab w:val="left" w:pos="1701"/>
          <w:tab w:val="right" w:leader="dot" w:pos="8505"/>
        </w:tabs>
        <w:ind w:left="1701" w:hanging="567"/>
        <w:jc w:val="left"/>
        <w:rPr>
          <w:color w:val="000000" w:themeColor="text1"/>
          <w:lang w:val="fr-FR"/>
        </w:rPr>
      </w:pPr>
      <w:r w:rsidRPr="00AB4DCC">
        <w:rPr>
          <w:lang w:val="fr-FR"/>
        </w:rPr>
        <w:t>5.</w:t>
      </w:r>
      <w:r w:rsidRPr="00AB4DCC">
        <w:rPr>
          <w:lang w:val="fr-FR"/>
        </w:rPr>
        <w:tab/>
        <w:t>Description sommaire du type de véhicule</w:t>
      </w:r>
      <w:r>
        <w:rPr>
          <w:lang w:val="fr-FR"/>
        </w:rPr>
        <w:t> :</w:t>
      </w:r>
      <w:r w:rsidRPr="00AB4DCC">
        <w:rPr>
          <w:lang w:val="fr-FR"/>
        </w:rPr>
        <w:tab/>
      </w:r>
    </w:p>
    <w:p w14:paraId="41C57580" w14:textId="56819D9D" w:rsidR="0037414E" w:rsidRPr="00AB4DCC" w:rsidRDefault="0037414E" w:rsidP="00F10984">
      <w:pPr>
        <w:pStyle w:val="SingleTxtG"/>
        <w:tabs>
          <w:tab w:val="left" w:pos="1701"/>
          <w:tab w:val="right" w:leader="dot" w:pos="8505"/>
        </w:tabs>
        <w:ind w:left="1701" w:hanging="567"/>
        <w:jc w:val="left"/>
        <w:rPr>
          <w:color w:val="000000" w:themeColor="text1"/>
          <w:lang w:val="fr-FR"/>
        </w:rPr>
      </w:pPr>
      <w:r w:rsidRPr="00AB4DCC">
        <w:rPr>
          <w:lang w:val="fr-FR"/>
        </w:rPr>
        <w:t>6.</w:t>
      </w:r>
      <w:r w:rsidRPr="00AB4DCC">
        <w:rPr>
          <w:lang w:val="fr-FR"/>
        </w:rPr>
        <w:tab/>
        <w:t>Le véhicule est équipé d’un système ACPE qui a été exempté des prescriptions pertinentes (marche avant ou arrière) du présent Règlement</w:t>
      </w:r>
      <w:r>
        <w:rPr>
          <w:lang w:val="fr-FR"/>
        </w:rPr>
        <w:t> :</w:t>
      </w:r>
      <w:r w:rsidRPr="00AB4DCC">
        <w:rPr>
          <w:lang w:val="fr-FR"/>
        </w:rPr>
        <w:t xml:space="preserve"> oui/non</w:t>
      </w:r>
      <w:r w:rsidR="00053BD0" w:rsidRPr="00053BD0">
        <w:rPr>
          <w:sz w:val="18"/>
          <w:szCs w:val="18"/>
          <w:vertAlign w:val="superscript"/>
          <w:lang w:val="fr-FR"/>
        </w:rPr>
        <w:t>2</w:t>
      </w:r>
    </w:p>
    <w:p w14:paraId="4F3991E1" w14:textId="77777777" w:rsidR="0037414E" w:rsidRPr="00AB4DCC" w:rsidRDefault="0037414E" w:rsidP="00F10984">
      <w:pPr>
        <w:pStyle w:val="SingleTxtG"/>
        <w:tabs>
          <w:tab w:val="left" w:pos="1701"/>
          <w:tab w:val="right" w:leader="dot" w:pos="8505"/>
        </w:tabs>
        <w:ind w:left="1701" w:hanging="567"/>
        <w:jc w:val="left"/>
        <w:rPr>
          <w:color w:val="000000" w:themeColor="text1"/>
          <w:lang w:val="fr-FR"/>
        </w:rPr>
      </w:pPr>
      <w:r w:rsidRPr="00AB4DCC">
        <w:rPr>
          <w:lang w:val="fr-FR"/>
        </w:rPr>
        <w:t>6.1</w:t>
      </w:r>
      <w:r w:rsidRPr="00AB4DCC">
        <w:rPr>
          <w:lang w:val="fr-FR"/>
        </w:rPr>
        <w:tab/>
        <w:t>Dans l’affirmative, donner des précisions</w:t>
      </w:r>
      <w:r>
        <w:rPr>
          <w:lang w:val="fr-FR"/>
        </w:rPr>
        <w:t> :</w:t>
      </w:r>
    </w:p>
    <w:p w14:paraId="6E9E5188" w14:textId="77777777" w:rsidR="0037414E" w:rsidRPr="00AB4DCC" w:rsidRDefault="0037414E" w:rsidP="00F10984">
      <w:pPr>
        <w:pStyle w:val="SingleTxtG"/>
        <w:tabs>
          <w:tab w:val="left" w:pos="1701"/>
          <w:tab w:val="right" w:leader="dot" w:pos="8505"/>
        </w:tabs>
        <w:ind w:left="1701" w:hanging="567"/>
        <w:jc w:val="left"/>
        <w:rPr>
          <w:color w:val="000000" w:themeColor="text1"/>
          <w:lang w:val="fr-FR"/>
        </w:rPr>
      </w:pPr>
      <w:r w:rsidRPr="00AB4DCC">
        <w:rPr>
          <w:lang w:val="fr-FR"/>
        </w:rPr>
        <w:t>7.</w:t>
      </w:r>
      <w:r w:rsidRPr="00AB4DCC">
        <w:rPr>
          <w:lang w:val="fr-FR"/>
        </w:rPr>
        <w:tab/>
        <w:t>Date de soumission du véhicule pour homologation</w:t>
      </w:r>
      <w:r>
        <w:rPr>
          <w:lang w:val="fr-FR"/>
        </w:rPr>
        <w:t> :</w:t>
      </w:r>
      <w:r w:rsidRPr="00AB4DCC">
        <w:rPr>
          <w:lang w:val="fr-FR"/>
        </w:rPr>
        <w:tab/>
      </w:r>
    </w:p>
    <w:p w14:paraId="4AAAC4B8" w14:textId="77777777" w:rsidR="0037414E" w:rsidRPr="00AB4DCC" w:rsidRDefault="0037414E" w:rsidP="00F10984">
      <w:pPr>
        <w:pStyle w:val="SingleTxtG"/>
        <w:tabs>
          <w:tab w:val="left" w:pos="1701"/>
          <w:tab w:val="right" w:leader="dot" w:pos="8505"/>
        </w:tabs>
        <w:ind w:left="1701" w:hanging="567"/>
        <w:jc w:val="left"/>
        <w:rPr>
          <w:color w:val="000000" w:themeColor="text1"/>
          <w:lang w:val="fr-FR"/>
        </w:rPr>
      </w:pPr>
      <w:r w:rsidRPr="00AB4DCC">
        <w:rPr>
          <w:lang w:val="fr-FR"/>
        </w:rPr>
        <w:t>8.</w:t>
      </w:r>
      <w:r w:rsidRPr="00AB4DCC">
        <w:rPr>
          <w:lang w:val="fr-FR"/>
        </w:rPr>
        <w:tab/>
        <w:t>Service technique effectuant les essais d’homologation</w:t>
      </w:r>
      <w:r>
        <w:rPr>
          <w:lang w:val="fr-FR"/>
        </w:rPr>
        <w:t> :</w:t>
      </w:r>
      <w:r w:rsidRPr="00AB4DCC">
        <w:rPr>
          <w:lang w:val="fr-FR"/>
        </w:rPr>
        <w:tab/>
      </w:r>
    </w:p>
    <w:p w14:paraId="1449997E" w14:textId="77777777" w:rsidR="0037414E" w:rsidRPr="00AB4DCC" w:rsidRDefault="0037414E" w:rsidP="00F10984">
      <w:pPr>
        <w:pStyle w:val="SingleTxtG"/>
        <w:tabs>
          <w:tab w:val="left" w:pos="1701"/>
          <w:tab w:val="right" w:leader="dot" w:pos="8505"/>
        </w:tabs>
        <w:ind w:left="1701" w:hanging="567"/>
        <w:jc w:val="left"/>
        <w:rPr>
          <w:color w:val="000000" w:themeColor="text1"/>
          <w:lang w:val="fr-FR"/>
        </w:rPr>
      </w:pPr>
      <w:r w:rsidRPr="00AB4DCC">
        <w:rPr>
          <w:lang w:val="fr-FR"/>
        </w:rPr>
        <w:t>9.</w:t>
      </w:r>
      <w:r w:rsidRPr="00AB4DCC">
        <w:rPr>
          <w:lang w:val="fr-FR"/>
        </w:rPr>
        <w:tab/>
        <w:t>Date du procès-verbal délivré par ce service</w:t>
      </w:r>
      <w:r>
        <w:rPr>
          <w:lang w:val="fr-FR"/>
        </w:rPr>
        <w:t> :</w:t>
      </w:r>
      <w:r w:rsidRPr="00AB4DCC">
        <w:rPr>
          <w:lang w:val="fr-FR"/>
        </w:rPr>
        <w:tab/>
      </w:r>
    </w:p>
    <w:p w14:paraId="669237A9" w14:textId="77777777" w:rsidR="0037414E" w:rsidRPr="00AB4DCC" w:rsidRDefault="0037414E" w:rsidP="00F10984">
      <w:pPr>
        <w:pStyle w:val="SingleTxtG"/>
        <w:tabs>
          <w:tab w:val="left" w:pos="1701"/>
          <w:tab w:val="right" w:leader="dot" w:pos="8505"/>
        </w:tabs>
        <w:ind w:left="1701" w:hanging="567"/>
        <w:jc w:val="left"/>
        <w:rPr>
          <w:lang w:val="fr-FR"/>
        </w:rPr>
      </w:pPr>
      <w:r w:rsidRPr="00AB4DCC">
        <w:rPr>
          <w:lang w:val="fr-FR"/>
        </w:rPr>
        <w:t>10.</w:t>
      </w:r>
      <w:r w:rsidRPr="00AB4DCC">
        <w:rPr>
          <w:lang w:val="fr-FR"/>
        </w:rPr>
        <w:tab/>
        <w:t>Numéro du procès-verbal délivré par ce service</w:t>
      </w:r>
      <w:r>
        <w:rPr>
          <w:lang w:val="fr-FR"/>
        </w:rPr>
        <w:t> :</w:t>
      </w:r>
      <w:r w:rsidRPr="00AB4DCC">
        <w:rPr>
          <w:lang w:val="fr-FR"/>
        </w:rPr>
        <w:tab/>
      </w:r>
    </w:p>
    <w:p w14:paraId="126E33C7" w14:textId="77777777" w:rsidR="0037414E" w:rsidRPr="00AB4DCC" w:rsidRDefault="0037414E" w:rsidP="00F10984">
      <w:pPr>
        <w:pStyle w:val="SingleTxtG"/>
        <w:tabs>
          <w:tab w:val="left" w:pos="1701"/>
          <w:tab w:val="right" w:leader="dot" w:pos="8505"/>
        </w:tabs>
        <w:ind w:left="1701" w:hanging="567"/>
        <w:jc w:val="left"/>
        <w:rPr>
          <w:lang w:val="fr-FR"/>
        </w:rPr>
      </w:pPr>
      <w:r w:rsidRPr="00AB4DCC">
        <w:rPr>
          <w:lang w:val="fr-FR"/>
        </w:rPr>
        <w:t>11.</w:t>
      </w:r>
      <w:r w:rsidRPr="00AB4DCC">
        <w:rPr>
          <w:lang w:val="fr-FR"/>
        </w:rPr>
        <w:tab/>
        <w:t>Homologation accordée/refusée/étendue/retirée</w:t>
      </w:r>
      <w:r w:rsidRPr="00053BD0">
        <w:rPr>
          <w:sz w:val="18"/>
          <w:szCs w:val="18"/>
          <w:vertAlign w:val="superscript"/>
          <w:lang w:val="fr-FR"/>
        </w:rPr>
        <w:t>2</w:t>
      </w:r>
      <w:r>
        <w:rPr>
          <w:lang w:val="fr-FR"/>
        </w:rPr>
        <w:t> :</w:t>
      </w:r>
    </w:p>
    <w:p w14:paraId="28C5038E" w14:textId="77777777" w:rsidR="0037414E" w:rsidRPr="00AB4DCC" w:rsidRDefault="0037414E" w:rsidP="00F10984">
      <w:pPr>
        <w:pStyle w:val="SingleTxtG"/>
        <w:tabs>
          <w:tab w:val="left" w:pos="1701"/>
          <w:tab w:val="right" w:leader="dot" w:pos="8505"/>
        </w:tabs>
        <w:ind w:left="1701" w:hanging="567"/>
        <w:jc w:val="left"/>
        <w:rPr>
          <w:lang w:val="fr-FR"/>
        </w:rPr>
      </w:pPr>
      <w:r w:rsidRPr="00AB4DCC">
        <w:rPr>
          <w:lang w:val="fr-FR"/>
        </w:rPr>
        <w:t>12.</w:t>
      </w:r>
      <w:r w:rsidRPr="00AB4DCC">
        <w:rPr>
          <w:lang w:val="fr-FR"/>
        </w:rPr>
        <w:tab/>
        <w:t>Lieu</w:t>
      </w:r>
      <w:r>
        <w:rPr>
          <w:lang w:val="fr-FR"/>
        </w:rPr>
        <w:t> :</w:t>
      </w:r>
      <w:r w:rsidRPr="00AB4DCC">
        <w:rPr>
          <w:lang w:val="fr-FR"/>
        </w:rPr>
        <w:tab/>
      </w:r>
    </w:p>
    <w:p w14:paraId="29262326" w14:textId="77777777" w:rsidR="0037414E" w:rsidRPr="00AB4DCC" w:rsidRDefault="0037414E" w:rsidP="00F10984">
      <w:pPr>
        <w:pStyle w:val="SingleTxtG"/>
        <w:tabs>
          <w:tab w:val="left" w:pos="1701"/>
          <w:tab w:val="right" w:leader="dot" w:pos="8505"/>
        </w:tabs>
        <w:ind w:left="1701" w:hanging="567"/>
        <w:jc w:val="left"/>
        <w:rPr>
          <w:lang w:val="fr-FR"/>
        </w:rPr>
      </w:pPr>
      <w:r w:rsidRPr="00AB4DCC">
        <w:rPr>
          <w:lang w:val="fr-FR"/>
        </w:rPr>
        <w:t>13.</w:t>
      </w:r>
      <w:r w:rsidRPr="00AB4DCC">
        <w:rPr>
          <w:lang w:val="fr-FR"/>
        </w:rPr>
        <w:tab/>
        <w:t>Date</w:t>
      </w:r>
      <w:r>
        <w:rPr>
          <w:lang w:val="fr-FR"/>
        </w:rPr>
        <w:t> :</w:t>
      </w:r>
      <w:r w:rsidRPr="00AB4DCC">
        <w:rPr>
          <w:lang w:val="fr-FR"/>
        </w:rPr>
        <w:tab/>
      </w:r>
    </w:p>
    <w:p w14:paraId="371F2400" w14:textId="77777777" w:rsidR="0037414E" w:rsidRPr="00AB4DCC" w:rsidRDefault="0037414E" w:rsidP="00F10984">
      <w:pPr>
        <w:pStyle w:val="SingleTxtG"/>
        <w:tabs>
          <w:tab w:val="left" w:pos="1701"/>
          <w:tab w:val="right" w:leader="dot" w:pos="8505"/>
        </w:tabs>
        <w:ind w:left="1701" w:hanging="567"/>
        <w:jc w:val="left"/>
        <w:rPr>
          <w:lang w:val="fr-FR"/>
        </w:rPr>
      </w:pPr>
      <w:r w:rsidRPr="00AB4DCC">
        <w:rPr>
          <w:lang w:val="fr-FR"/>
        </w:rPr>
        <w:t>14.</w:t>
      </w:r>
      <w:r w:rsidRPr="00AB4DCC">
        <w:rPr>
          <w:lang w:val="fr-FR"/>
        </w:rPr>
        <w:tab/>
        <w:t>Signature</w:t>
      </w:r>
      <w:r>
        <w:rPr>
          <w:lang w:val="fr-FR"/>
        </w:rPr>
        <w:t> :</w:t>
      </w:r>
      <w:r w:rsidRPr="00AB4DCC">
        <w:rPr>
          <w:lang w:val="fr-FR"/>
        </w:rPr>
        <w:tab/>
      </w:r>
    </w:p>
    <w:p w14:paraId="40B4DA82" w14:textId="77777777" w:rsidR="0037414E" w:rsidRPr="00AB4DCC" w:rsidRDefault="0037414E" w:rsidP="00F10984">
      <w:pPr>
        <w:pStyle w:val="SingleTxtG"/>
        <w:tabs>
          <w:tab w:val="left" w:pos="1701"/>
          <w:tab w:val="right" w:leader="dot" w:pos="8505"/>
        </w:tabs>
        <w:ind w:left="1701" w:hanging="567"/>
        <w:jc w:val="left"/>
        <w:rPr>
          <w:lang w:val="fr-FR"/>
        </w:rPr>
      </w:pPr>
      <w:r w:rsidRPr="00AB4DCC">
        <w:rPr>
          <w:lang w:val="fr-FR"/>
        </w:rPr>
        <w:t>15.</w:t>
      </w:r>
      <w:r w:rsidRPr="00AB4DCC">
        <w:rPr>
          <w:lang w:val="fr-FR"/>
        </w:rPr>
        <w:tab/>
        <w:t>Les documents suivants, portant le numéro d’homologation indiqué ci-dessus, sont annexés à la présente communication</w:t>
      </w:r>
      <w:r>
        <w:rPr>
          <w:lang w:val="fr-FR"/>
        </w:rPr>
        <w:t> :</w:t>
      </w:r>
      <w:r w:rsidRPr="00AB4DCC">
        <w:rPr>
          <w:lang w:val="fr-FR"/>
        </w:rPr>
        <w:tab/>
      </w:r>
      <w:r w:rsidRPr="00AB4DCC">
        <w:rPr>
          <w:lang w:val="fr-FR"/>
        </w:rPr>
        <w:tab/>
      </w:r>
    </w:p>
    <w:p w14:paraId="752F8424" w14:textId="77777777" w:rsidR="0037414E" w:rsidRDefault="0037414E" w:rsidP="00F10984">
      <w:pPr>
        <w:pStyle w:val="SingleTxtG"/>
        <w:tabs>
          <w:tab w:val="left" w:pos="1701"/>
          <w:tab w:val="right" w:leader="dot" w:pos="8505"/>
        </w:tabs>
        <w:ind w:left="1701" w:hanging="567"/>
        <w:jc w:val="left"/>
        <w:rPr>
          <w:lang w:val="fr-FR"/>
        </w:rPr>
      </w:pPr>
      <w:r w:rsidRPr="00AB4DCC">
        <w:rPr>
          <w:lang w:val="fr-FR"/>
        </w:rPr>
        <w:t>16.</w:t>
      </w:r>
      <w:r w:rsidRPr="00AB4DCC">
        <w:rPr>
          <w:lang w:val="fr-FR"/>
        </w:rPr>
        <w:tab/>
        <w:t>Observations éventuelles</w:t>
      </w:r>
      <w:r>
        <w:rPr>
          <w:lang w:val="fr-FR"/>
        </w:rPr>
        <w:t> :</w:t>
      </w:r>
      <w:r w:rsidRPr="00AB4DCC">
        <w:rPr>
          <w:lang w:val="fr-FR"/>
        </w:rPr>
        <w:tab/>
      </w:r>
    </w:p>
    <w:p w14:paraId="3AED4DE4" w14:textId="77777777" w:rsidR="0037414E" w:rsidRDefault="0037414E" w:rsidP="0037414E">
      <w:pPr>
        <w:pStyle w:val="SingleTxtG"/>
      </w:pPr>
      <w:r>
        <w:br w:type="page"/>
      </w:r>
    </w:p>
    <w:p w14:paraId="3CD20490" w14:textId="77777777" w:rsidR="0037414E" w:rsidRPr="00AB4DCC" w:rsidRDefault="0037414E" w:rsidP="0037414E">
      <w:pPr>
        <w:pStyle w:val="HChG"/>
        <w:rPr>
          <w:lang w:val="fr-FR"/>
        </w:rPr>
      </w:pPr>
      <w:bookmarkStart w:id="18" w:name="_Toc530068553"/>
      <w:r w:rsidRPr="00AB4DCC">
        <w:rPr>
          <w:lang w:val="fr-FR"/>
        </w:rPr>
        <w:t>Annexe 2</w:t>
      </w:r>
      <w:bookmarkEnd w:id="18"/>
    </w:p>
    <w:p w14:paraId="6005CEE5" w14:textId="77777777" w:rsidR="0037414E" w:rsidRPr="00AB4DCC" w:rsidRDefault="0037414E" w:rsidP="0037414E">
      <w:pPr>
        <w:pStyle w:val="HChG"/>
        <w:rPr>
          <w:lang w:val="fr-FR"/>
        </w:rPr>
      </w:pPr>
      <w:bookmarkStart w:id="19" w:name="_Toc108926533"/>
      <w:r w:rsidRPr="00AB4DCC">
        <w:rPr>
          <w:lang w:val="fr-FR"/>
        </w:rPr>
        <w:tab/>
      </w:r>
      <w:r w:rsidRPr="00AB4DCC">
        <w:rPr>
          <w:lang w:val="fr-FR"/>
        </w:rPr>
        <w:tab/>
        <w:t>Exemple de marque d’homologation</w:t>
      </w:r>
      <w:bookmarkEnd w:id="19"/>
    </w:p>
    <w:p w14:paraId="59DF0513" w14:textId="77777777" w:rsidR="0037414E" w:rsidRPr="00AB4DCC" w:rsidRDefault="0037414E" w:rsidP="0037414E">
      <w:pPr>
        <w:pStyle w:val="SingleTxtG"/>
        <w:rPr>
          <w:lang w:val="fr-FR"/>
        </w:rPr>
      </w:pPr>
      <w:r w:rsidRPr="00AB4DCC">
        <w:rPr>
          <w:lang w:val="fr-FR"/>
        </w:rPr>
        <w:t>(Voir les paragraphes 4.4 à 4.4.2 du présent Règlement)</w:t>
      </w:r>
    </w:p>
    <w:p w14:paraId="5BD29A98" w14:textId="77777777" w:rsidR="0037414E" w:rsidRPr="00AB4DCC" w:rsidRDefault="0037414E" w:rsidP="0037414E">
      <w:pPr>
        <w:pStyle w:val="SingleTxtG"/>
        <w:rPr>
          <w:lang w:val="fr-FR"/>
        </w:rPr>
      </w:pPr>
      <w:r w:rsidRPr="00AB4DCC">
        <w:rPr>
          <w:noProof/>
          <w:lang w:val="fr-FR" w:eastAsia="zh-CN"/>
        </w:rPr>
        <mc:AlternateContent>
          <mc:Choice Requires="wpg">
            <w:drawing>
              <wp:anchor distT="0" distB="0" distL="114300" distR="114300" simplePos="0" relativeHeight="251659264" behindDoc="0" locked="0" layoutInCell="1" allowOverlap="1" wp14:anchorId="13E63A1A" wp14:editId="024FA754">
                <wp:simplePos x="0" y="0"/>
                <wp:positionH relativeFrom="column">
                  <wp:posOffset>2385419</wp:posOffset>
                </wp:positionH>
                <wp:positionV relativeFrom="paragraph">
                  <wp:posOffset>324520</wp:posOffset>
                </wp:positionV>
                <wp:extent cx="1733772" cy="431472"/>
                <wp:effectExtent l="0" t="0" r="0" b="698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772" cy="431472"/>
                          <a:chOff x="3924" y="4377"/>
                          <a:chExt cx="2228" cy="691"/>
                        </a:xfrm>
                      </wpg:grpSpPr>
                      <wps:wsp>
                        <wps:cNvPr id="10" name="Text Box 9"/>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1ABDD2" w14:textId="77777777" w:rsidR="0037414E" w:rsidRPr="00065AAC" w:rsidRDefault="0037414E" w:rsidP="0037414E"/>
                          </w:txbxContent>
                        </wps:txbx>
                        <wps:bodyPr rot="0" vert="horz" wrap="square" lIns="91440" tIns="45720" rIns="91440" bIns="45720" anchor="t" anchorCtr="0" upright="1">
                          <a:noAutofit/>
                        </wps:bodyPr>
                      </wps:wsp>
                      <wps:wsp>
                        <wps:cNvPr id="11" name="Text Box 10"/>
                        <wps:cNvSpPr txBox="1">
                          <a:spLocks noChangeArrowheads="1"/>
                        </wps:cNvSpPr>
                        <wps:spPr bwMode="auto">
                          <a:xfrm>
                            <a:off x="3924" y="4377"/>
                            <a:ext cx="2228" cy="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112A8" w14:textId="77777777" w:rsidR="0037414E" w:rsidRPr="008D05C9" w:rsidRDefault="0037414E" w:rsidP="0037414E">
                              <w:pPr>
                                <w:rPr>
                                  <w:sz w:val="28"/>
                                  <w:szCs w:val="28"/>
                                </w:rPr>
                              </w:pPr>
                              <w:r w:rsidRPr="008D05C9">
                                <w:rPr>
                                  <w:sz w:val="28"/>
                                  <w:szCs w:val="28"/>
                                  <w:lang w:val="fr-FR"/>
                                </w:rPr>
                                <w:t>XXXR-00185</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E63A1A" id="Group 9" o:spid="_x0000_s1026" style="position:absolute;left:0;text-align:left;margin-left:187.85pt;margin-top:25.55pt;width:136.5pt;height:33.95pt;z-index:251659264;mso-width-relative:margin;mso-height-relative:margin" coordorigin="3924,4377" coordsize="2228,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">
                <v:shapetype id="_x0000_t202" coordsize="21600,21600" o:spt="202" path="m,l,21600r21600,l21600,xe">
                  <v:stroke joinstyle="miter"/>
                  <v:path gradientshapeok="t" o:connecttype="rect"/>
                </v:shapetype>
                <v:shape id="Text Box 9" o:spid="_x0000_s1027"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A1ABDD2" w14:textId="77777777" w:rsidR="0037414E" w:rsidRPr="00065AAC" w:rsidRDefault="0037414E" w:rsidP="0037414E"/>
                    </w:txbxContent>
                  </v:textbox>
                </v:shape>
                <v:shape id="Text Box 10" o:spid="_x0000_s1028" type="#_x0000_t202" style="position:absolute;left:3924;top:4377;width:2228;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EF112A8" w14:textId="77777777" w:rsidR="0037414E" w:rsidRPr="008D05C9" w:rsidRDefault="0037414E" w:rsidP="0037414E">
                        <w:pPr>
                          <w:rPr>
                            <w:sz w:val="28"/>
                            <w:szCs w:val="28"/>
                          </w:rPr>
                        </w:pPr>
                        <w:r w:rsidRPr="008D05C9">
                          <w:rPr>
                            <w:sz w:val="28"/>
                            <w:szCs w:val="28"/>
                            <w:lang w:val="fr-FR"/>
                          </w:rPr>
                          <w:t>XXXR-00185</w:t>
                        </w:r>
                      </w:p>
                    </w:txbxContent>
                  </v:textbox>
                </v:shape>
              </v:group>
            </w:pict>
          </mc:Fallback>
        </mc:AlternateContent>
      </w:r>
      <w:bookmarkStart w:id="20" w:name="_MON_1339922715"/>
      <w:bookmarkEnd w:id="20"/>
      <w:r w:rsidRPr="00AB4DCC">
        <w:rPr>
          <w:lang w:val="fr-FR"/>
        </w:rPr>
        <w:object w:dxaOrig="6299" w:dyaOrig="1339" w14:anchorId="7C440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15.65pt;height:67.4pt" o:ole="">
            <v:imagedata r:id="rId15" o:title=""/>
          </v:shape>
          <o:OLEObject Type="Embed" ProgID="Word.Picture.8" ShapeID="_x0000_i1050" DrawAspect="Content" ObjectID="_1776764264" r:id="rId16"/>
        </w:object>
      </w:r>
    </w:p>
    <w:p w14:paraId="39819A40" w14:textId="3A5A799D" w:rsidR="0037414E" w:rsidRPr="00AB4DCC" w:rsidRDefault="0037414E" w:rsidP="0037414E">
      <w:pPr>
        <w:pStyle w:val="SingleTxtG"/>
        <w:ind w:left="1701"/>
        <w:rPr>
          <w:lang w:val="fr-FR"/>
        </w:rPr>
      </w:pPr>
      <w:r w:rsidRPr="00AB4DCC">
        <w:rPr>
          <w:lang w:val="fr-FR"/>
        </w:rPr>
        <w:tab/>
        <w:t>a = 8 mm min.</w:t>
      </w:r>
    </w:p>
    <w:p w14:paraId="3C076BB5" w14:textId="77777777" w:rsidR="0037414E" w:rsidRDefault="0037414E" w:rsidP="0037414E">
      <w:pPr>
        <w:pStyle w:val="SingleTxtG"/>
        <w:ind w:firstLine="567"/>
        <w:rPr>
          <w:lang w:val="fr-FR"/>
        </w:rPr>
      </w:pPr>
      <w:r w:rsidRPr="00AB4DCC">
        <w:rPr>
          <w:lang w:val="fr-FR"/>
        </w:rPr>
        <w:t>La marque d’homologation ci-dessus, apposée sur un véhicule, indique que le type de ce véhicule a été homologué en Belgique (E6) en ce qui concerne le système de contrôle de l’accélération en cas d’erreur de pédale (ACPE), en vertu du Règlement ONU n</w:t>
      </w:r>
      <w:r w:rsidRPr="00AB4DCC">
        <w:rPr>
          <w:vertAlign w:val="superscript"/>
          <w:lang w:val="fr-FR"/>
        </w:rPr>
        <w:t>o</w:t>
      </w:r>
      <w:r w:rsidRPr="00AB4DCC">
        <w:rPr>
          <w:lang w:val="fr-FR"/>
        </w:rPr>
        <w:t xml:space="preserve"> XXX. Les deux premiers chiffres du numéro d’homologation précisent que l’homologation a été délivrée conformément aux dispositions de la version originale du Règlement ONU n</w:t>
      </w:r>
      <w:r w:rsidRPr="00AB4DCC">
        <w:rPr>
          <w:vertAlign w:val="superscript"/>
          <w:lang w:val="fr-FR"/>
        </w:rPr>
        <w:t>o</w:t>
      </w:r>
      <w:r w:rsidRPr="00AB4DCC">
        <w:rPr>
          <w:lang w:val="fr-FR"/>
        </w:rPr>
        <w:t> XXX.</w:t>
      </w:r>
    </w:p>
    <w:p w14:paraId="03BBCC29" w14:textId="77777777" w:rsidR="0037414E" w:rsidRDefault="0037414E" w:rsidP="0037414E">
      <w:pPr>
        <w:pStyle w:val="SingleTxtG"/>
      </w:pPr>
      <w:r>
        <w:br w:type="page"/>
      </w:r>
    </w:p>
    <w:p w14:paraId="5693E65C" w14:textId="77777777" w:rsidR="0037414E" w:rsidRPr="00AB4DCC" w:rsidRDefault="0037414E" w:rsidP="0037414E">
      <w:pPr>
        <w:pStyle w:val="HChG"/>
        <w:rPr>
          <w:lang w:val="fr-FR"/>
        </w:rPr>
      </w:pPr>
      <w:bookmarkStart w:id="21" w:name="_Toc530068554"/>
      <w:r w:rsidRPr="00AB4DCC">
        <w:rPr>
          <w:lang w:val="fr-FR"/>
        </w:rPr>
        <w:t>Annexe 3</w:t>
      </w:r>
      <w:bookmarkEnd w:id="21"/>
    </w:p>
    <w:p w14:paraId="02F92A5F" w14:textId="77777777" w:rsidR="0037414E" w:rsidRPr="00AB4DCC" w:rsidRDefault="0037414E" w:rsidP="0037414E">
      <w:pPr>
        <w:pStyle w:val="HChG"/>
        <w:rPr>
          <w:lang w:val="fr-FR"/>
        </w:rPr>
      </w:pPr>
      <w:r w:rsidRPr="00AB4DCC">
        <w:rPr>
          <w:lang w:val="fr-FR"/>
        </w:rPr>
        <w:tab/>
      </w:r>
      <w:r w:rsidRPr="00AB4DCC">
        <w:rPr>
          <w:lang w:val="fr-FR"/>
        </w:rPr>
        <w:tab/>
        <w:t xml:space="preserve">Prescriptions spéciales applicables aux aspects liés </w:t>
      </w:r>
      <w:r>
        <w:rPr>
          <w:lang w:val="fr-FR"/>
        </w:rPr>
        <w:br/>
      </w:r>
      <w:r w:rsidRPr="00AB4DCC">
        <w:rPr>
          <w:lang w:val="fr-FR"/>
        </w:rPr>
        <w:t>à la sécurité des systèmes de commande électronique</w:t>
      </w:r>
    </w:p>
    <w:p w14:paraId="2BDB34E9" w14:textId="77777777" w:rsidR="0037414E" w:rsidRPr="0037414E" w:rsidRDefault="0037414E" w:rsidP="0037414E">
      <w:pPr>
        <w:pStyle w:val="SingleTxtG"/>
        <w:ind w:left="2268" w:hanging="1134"/>
        <w:jc w:val="left"/>
        <w:rPr>
          <w:b/>
          <w:bCs/>
          <w:sz w:val="28"/>
          <w:szCs w:val="28"/>
          <w:lang w:val="fr-FR"/>
        </w:rPr>
      </w:pPr>
      <w:r w:rsidRPr="0037414E">
        <w:rPr>
          <w:b/>
          <w:bCs/>
          <w:sz w:val="28"/>
          <w:szCs w:val="28"/>
          <w:lang w:val="fr-FR"/>
        </w:rPr>
        <w:t>1.</w:t>
      </w:r>
      <w:r w:rsidRPr="0037414E">
        <w:rPr>
          <w:b/>
          <w:bCs/>
          <w:sz w:val="28"/>
          <w:szCs w:val="28"/>
          <w:lang w:val="fr-FR"/>
        </w:rPr>
        <w:tab/>
        <w:t>Généralités</w:t>
      </w:r>
    </w:p>
    <w:p w14:paraId="1389A38B" w14:textId="77777777" w:rsidR="0037414E" w:rsidRPr="00AB4DCC" w:rsidRDefault="0037414E" w:rsidP="0037414E">
      <w:pPr>
        <w:pStyle w:val="SingleTxtG"/>
        <w:ind w:left="2268"/>
        <w:rPr>
          <w:lang w:val="fr-FR"/>
        </w:rPr>
      </w:pPr>
      <w:r w:rsidRPr="00AB4DCC">
        <w:rPr>
          <w:lang w:val="fr-FR"/>
        </w:rPr>
        <w:t>La présente annexe définit les prescriptions spéciales en matière de documentation, de stratégie concernant les défaillances et de vérification pour les questions de sécurité relatives aux systèmes complexes de commande électronique du véhicule (par. 2.4 ci-après) aux fins de l’application du présent Règlement.</w:t>
      </w:r>
    </w:p>
    <w:p w14:paraId="2253CE42" w14:textId="1E37214E" w:rsidR="0037414E" w:rsidRPr="00AB4DCC" w:rsidRDefault="0037414E" w:rsidP="0037414E">
      <w:pPr>
        <w:pStyle w:val="SingleTxtG"/>
        <w:ind w:left="2268"/>
        <w:rPr>
          <w:lang w:val="fr-FR"/>
        </w:rPr>
      </w:pPr>
      <w:r w:rsidRPr="00AB4DCC">
        <w:rPr>
          <w:lang w:val="fr-FR"/>
        </w:rPr>
        <w:t>Elle s’applique également à des fonctions liées à la sécurité visées dans le présent Règlement qui sont contrôlées par un ou plusieurs systèmes électroniques (par.</w:t>
      </w:r>
      <w:r w:rsidR="007412B6">
        <w:rPr>
          <w:lang w:val="fr-FR"/>
        </w:rPr>
        <w:t> </w:t>
      </w:r>
      <w:r w:rsidRPr="00AB4DCC">
        <w:rPr>
          <w:lang w:val="fr-FR"/>
        </w:rPr>
        <w:t>2.3) aux fins de l’application du présent Règlement.</w:t>
      </w:r>
    </w:p>
    <w:p w14:paraId="041C8DC0" w14:textId="516BC73B" w:rsidR="0037414E" w:rsidRPr="00AB4DCC" w:rsidRDefault="0037414E" w:rsidP="0037414E">
      <w:pPr>
        <w:pStyle w:val="SingleTxtG"/>
        <w:ind w:left="2268"/>
        <w:rPr>
          <w:lang w:val="fr-FR"/>
        </w:rPr>
      </w:pPr>
      <w:r w:rsidRPr="00AB4DCC">
        <w:rPr>
          <w:lang w:val="fr-FR"/>
        </w:rPr>
        <w:t xml:space="preserve">La présente annexe ne traite pas des critères d’efficacité du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sidRPr="00AB4DCC">
        <w:rPr>
          <w:lang w:val="fr-FR"/>
        </w:rPr>
        <w:t>, mais de la façon dont il est conçu et des informations qui doivent être communiquées au service technique aux fins de l’homologation de type.</w:t>
      </w:r>
    </w:p>
    <w:p w14:paraId="5676B512" w14:textId="21D1A63A" w:rsidR="0037414E" w:rsidRPr="007412B6" w:rsidRDefault="0037414E" w:rsidP="0037414E">
      <w:pPr>
        <w:pStyle w:val="SingleTxtG"/>
        <w:ind w:left="2268"/>
        <w:rPr>
          <w:spacing w:val="-1"/>
          <w:lang w:val="fr-FR"/>
        </w:rPr>
      </w:pPr>
      <w:r w:rsidRPr="007412B6">
        <w:rPr>
          <w:spacing w:val="-1"/>
          <w:lang w:val="fr-FR"/>
        </w:rPr>
        <w:t xml:space="preserve">Ces informations doivent montrer que le </w:t>
      </w:r>
      <w:r w:rsidR="00401B26" w:rsidRPr="007412B6">
        <w:rPr>
          <w:spacing w:val="-1"/>
          <w:lang w:val="fr-FR"/>
        </w:rPr>
        <w:t>« </w:t>
      </w:r>
      <w:r w:rsidRPr="007412B6">
        <w:rPr>
          <w:spacing w:val="-1"/>
          <w:lang w:val="fr-FR"/>
        </w:rPr>
        <w:t>système</w:t>
      </w:r>
      <w:r w:rsidR="00401B26" w:rsidRPr="007412B6">
        <w:rPr>
          <w:spacing w:val="-1"/>
          <w:lang w:val="fr-FR"/>
        </w:rPr>
        <w:t> »</w:t>
      </w:r>
      <w:r w:rsidRPr="007412B6">
        <w:rPr>
          <w:spacing w:val="-1"/>
          <w:lang w:val="fr-FR"/>
        </w:rPr>
        <w:t xml:space="preserve"> satisfait, en l’absence de défaillance comme en cas de défaillance, à toutes les prescriptions fonctionnelles spécifiées ailleurs dans le présent Règlement, et qu’il est conçu pour fonctionner de manière à n’entraîner aucun risque critique pour la sécurité.</w:t>
      </w:r>
    </w:p>
    <w:p w14:paraId="230D67D4" w14:textId="77777777" w:rsidR="0037414E" w:rsidRPr="00AB4DCC" w:rsidRDefault="0037414E" w:rsidP="0037414E">
      <w:pPr>
        <w:pStyle w:val="SingleTxtG"/>
        <w:ind w:left="2268" w:hanging="1134"/>
        <w:jc w:val="left"/>
        <w:rPr>
          <w:b/>
          <w:sz w:val="28"/>
          <w:szCs w:val="28"/>
          <w:lang w:val="fr-FR"/>
        </w:rPr>
      </w:pPr>
      <w:r w:rsidRPr="00AB4DCC">
        <w:rPr>
          <w:b/>
          <w:bCs/>
          <w:sz w:val="28"/>
          <w:szCs w:val="28"/>
          <w:lang w:val="fr-FR"/>
        </w:rPr>
        <w:t>2.</w:t>
      </w:r>
      <w:r w:rsidRPr="00AB4DCC">
        <w:rPr>
          <w:sz w:val="28"/>
          <w:szCs w:val="28"/>
          <w:lang w:val="fr-FR"/>
        </w:rPr>
        <w:tab/>
      </w:r>
      <w:r w:rsidRPr="00AB4DCC">
        <w:rPr>
          <w:b/>
          <w:bCs/>
          <w:sz w:val="28"/>
          <w:szCs w:val="28"/>
          <w:lang w:val="fr-FR"/>
        </w:rPr>
        <w:t>Définitions</w:t>
      </w:r>
    </w:p>
    <w:p w14:paraId="54550642" w14:textId="07425789" w:rsidR="0037414E" w:rsidRPr="00AB4DCC" w:rsidRDefault="0037414E" w:rsidP="0037414E">
      <w:pPr>
        <w:pStyle w:val="SingleTxtG"/>
        <w:ind w:left="2268"/>
        <w:rPr>
          <w:lang w:val="fr-FR"/>
        </w:rPr>
      </w:pPr>
      <w:r w:rsidRPr="00AB4DCC">
        <w:rPr>
          <w:lang w:val="fr-FR"/>
        </w:rPr>
        <w:t>Aux fins de la présente annexe, on entend par</w:t>
      </w:r>
      <w:r>
        <w:rPr>
          <w:lang w:val="fr-FR"/>
        </w:rPr>
        <w:t> :</w:t>
      </w:r>
    </w:p>
    <w:p w14:paraId="5CDDEE70" w14:textId="4F35E787" w:rsidR="0037414E" w:rsidRPr="00AB4DCC" w:rsidRDefault="0037414E" w:rsidP="00E201F8">
      <w:pPr>
        <w:pStyle w:val="SingleTxtG"/>
        <w:ind w:left="2268" w:hanging="1134"/>
        <w:rPr>
          <w:lang w:val="fr-FR"/>
        </w:rPr>
      </w:pPr>
      <w:r w:rsidRPr="00AB4DCC">
        <w:rPr>
          <w:lang w:val="fr-FR"/>
        </w:rPr>
        <w:t>2.1</w:t>
      </w:r>
      <w:r w:rsidRPr="00AB4DCC">
        <w:rPr>
          <w:lang w:val="fr-FR"/>
        </w:rPr>
        <w:tab/>
      </w:r>
      <w:r w:rsidR="00401B26" w:rsidRPr="00AB4DCC">
        <w:rPr>
          <w:lang w:val="fr-FR"/>
        </w:rPr>
        <w:t>«</w:t>
      </w:r>
      <w:r w:rsidR="00401B26">
        <w:rPr>
          <w:lang w:val="fr-FR"/>
        </w:rPr>
        <w:t> </w:t>
      </w:r>
      <w:r w:rsidRPr="00AB4DCC">
        <w:rPr>
          <w:i/>
          <w:iCs/>
          <w:lang w:val="fr-FR"/>
        </w:rPr>
        <w:t>Système</w:t>
      </w:r>
      <w:r w:rsidR="00401B26">
        <w:rPr>
          <w:lang w:val="fr-FR"/>
        </w:rPr>
        <w:t> </w:t>
      </w:r>
      <w:r w:rsidR="00401B26" w:rsidRPr="00AB4DCC">
        <w:rPr>
          <w:lang w:val="fr-FR"/>
        </w:rPr>
        <w:t>»</w:t>
      </w:r>
      <w:r w:rsidRPr="00AB4DCC">
        <w:rPr>
          <w:lang w:val="fr-FR"/>
        </w:rPr>
        <w:t>, un système de commande électronique ou un système complexe de commande électronique qui constitue la transmission de commande d’une fonction visée par le présent Règlement ou qui en fait partie. Ce terme s’applique aussi à tout autre système entrant dans le champ d’application du présent Règlement, ainsi qu’aux liaisons de transmission avec d’autres systèmes qui ne relèvent pas du présent Règlement mais qui agissent sur une fonction visée par ledit Règlement.</w:t>
      </w:r>
    </w:p>
    <w:p w14:paraId="49111E12" w14:textId="381086DC" w:rsidR="0037414E" w:rsidRPr="00AB4DCC" w:rsidRDefault="0037414E" w:rsidP="00E201F8">
      <w:pPr>
        <w:pStyle w:val="SingleTxtG"/>
        <w:ind w:left="2268" w:hanging="1134"/>
        <w:rPr>
          <w:lang w:val="fr-FR"/>
        </w:rPr>
      </w:pPr>
      <w:r w:rsidRPr="00AB4DCC">
        <w:rPr>
          <w:lang w:val="fr-FR"/>
        </w:rPr>
        <w:t>2.2</w:t>
      </w:r>
      <w:r w:rsidRPr="00AB4DCC">
        <w:rPr>
          <w:lang w:val="fr-FR"/>
        </w:rPr>
        <w:tab/>
      </w:r>
      <w:r w:rsidR="00401B26" w:rsidRPr="00AB4DCC">
        <w:rPr>
          <w:lang w:val="fr-FR"/>
        </w:rPr>
        <w:t>«</w:t>
      </w:r>
      <w:r w:rsidR="00401B26">
        <w:rPr>
          <w:lang w:val="fr-FR"/>
        </w:rPr>
        <w:t> </w:t>
      </w:r>
      <w:r w:rsidRPr="00AB4DCC">
        <w:rPr>
          <w:i/>
          <w:iCs/>
          <w:lang w:val="fr-FR"/>
        </w:rPr>
        <w:t>Concept de sécurité</w:t>
      </w:r>
      <w:r w:rsidR="00401B26">
        <w:rPr>
          <w:lang w:val="fr-FR"/>
        </w:rPr>
        <w:t> </w:t>
      </w:r>
      <w:r w:rsidR="00401B26" w:rsidRPr="00AB4DCC">
        <w:rPr>
          <w:lang w:val="fr-FR"/>
        </w:rPr>
        <w:t>»</w:t>
      </w:r>
      <w:r w:rsidRPr="00AB4DCC">
        <w:rPr>
          <w:lang w:val="fr-FR"/>
        </w:rPr>
        <w:t>, une description des mesures incorporées dans le système, par exemple dans les unités électroniques, de manière à en assurer l’intégrité et, partant, le fonctionnement sûr en l’absence de défaillance comme en cas de défaillance, y compris d’origine électrique. La possibilité de revenir à un fonctionnement partiel, voire de recourir à un système de secours pour les fonctions vitales du véhicule peut faire partie du concept de sécurité.</w:t>
      </w:r>
    </w:p>
    <w:p w14:paraId="30BB7B25" w14:textId="78495E31" w:rsidR="0037414E" w:rsidRPr="00AB4DCC" w:rsidRDefault="0037414E" w:rsidP="00E201F8">
      <w:pPr>
        <w:pStyle w:val="SingleTxtG"/>
        <w:ind w:left="2268" w:hanging="1134"/>
        <w:rPr>
          <w:lang w:val="fr-FR"/>
        </w:rPr>
      </w:pPr>
      <w:r w:rsidRPr="00AB4DCC">
        <w:rPr>
          <w:lang w:val="fr-FR"/>
        </w:rPr>
        <w:t>2.3</w:t>
      </w:r>
      <w:r w:rsidRPr="00AB4DCC">
        <w:rPr>
          <w:lang w:val="fr-FR"/>
        </w:rPr>
        <w:tab/>
      </w:r>
      <w:r w:rsidR="00401B26" w:rsidRPr="00AB4DCC">
        <w:rPr>
          <w:lang w:val="fr-FR"/>
        </w:rPr>
        <w:t>«</w:t>
      </w:r>
      <w:r w:rsidR="00401B26">
        <w:rPr>
          <w:lang w:val="fr-FR"/>
        </w:rPr>
        <w:t> </w:t>
      </w:r>
      <w:r w:rsidRPr="00AB4DCC">
        <w:rPr>
          <w:i/>
          <w:iCs/>
          <w:lang w:val="fr-FR"/>
        </w:rPr>
        <w:t>Système de commande électronique</w:t>
      </w:r>
      <w:r w:rsidR="00401B26">
        <w:rPr>
          <w:lang w:val="fr-FR"/>
        </w:rPr>
        <w:t> </w:t>
      </w:r>
      <w:r w:rsidR="00401B26" w:rsidRPr="00AB4DCC">
        <w:rPr>
          <w:lang w:val="fr-FR"/>
        </w:rPr>
        <w:t>»</w:t>
      </w:r>
      <w:r w:rsidRPr="00AB4DCC">
        <w:rPr>
          <w:lang w:val="fr-FR"/>
        </w:rPr>
        <w:t>, une combinaison d’unités conçue pour contribuer à assurer la fonction de commande du véhicule grâce au traitement de données électroniques. De tels systèmes, souvent commandés par un logiciel, sont conçus à partir d’organes fonctionnels discrets (capteurs, unités de commande électronique et actionneurs) et reliés entre eux par des liaisons de transmission. Ils peuvent comprendre des éléments mécaniques, électropneumatiques ou électrohydrauliques.</w:t>
      </w:r>
    </w:p>
    <w:p w14:paraId="237015C8" w14:textId="18FDD348" w:rsidR="0037414E" w:rsidRPr="00AB4DCC" w:rsidRDefault="0037414E" w:rsidP="00E201F8">
      <w:pPr>
        <w:pStyle w:val="SingleTxtG"/>
        <w:ind w:left="2268" w:hanging="1134"/>
        <w:rPr>
          <w:lang w:val="fr-FR"/>
        </w:rPr>
      </w:pPr>
      <w:r w:rsidRPr="00AB4DCC">
        <w:rPr>
          <w:lang w:val="fr-FR"/>
        </w:rPr>
        <w:t>2.4</w:t>
      </w:r>
      <w:r w:rsidRPr="00AB4DCC">
        <w:rPr>
          <w:lang w:val="fr-FR"/>
        </w:rPr>
        <w:tab/>
      </w:r>
      <w:r w:rsidR="00401B26" w:rsidRPr="00AB4DCC">
        <w:rPr>
          <w:lang w:val="fr-FR"/>
        </w:rPr>
        <w:t>«</w:t>
      </w:r>
      <w:r w:rsidR="00401B26">
        <w:rPr>
          <w:lang w:val="fr-FR"/>
        </w:rPr>
        <w:t> </w:t>
      </w:r>
      <w:r w:rsidRPr="00AB4DCC">
        <w:rPr>
          <w:i/>
          <w:iCs/>
          <w:lang w:val="fr-FR"/>
        </w:rPr>
        <w:t>Systèmes complexes de commande électronique de véhicules</w:t>
      </w:r>
      <w:r w:rsidR="00401B26">
        <w:rPr>
          <w:lang w:val="fr-FR"/>
        </w:rPr>
        <w:t> </w:t>
      </w:r>
      <w:r w:rsidR="00401B26" w:rsidRPr="00AB4DCC">
        <w:rPr>
          <w:lang w:val="fr-FR"/>
        </w:rPr>
        <w:t>»</w:t>
      </w:r>
      <w:r w:rsidRPr="00AB4DCC">
        <w:rPr>
          <w:lang w:val="fr-FR"/>
        </w:rPr>
        <w:t>, les systèmes de commande électronique au sein desquels une fonction contrôlée par un système électronique ou par le conducteur peut être neutralisée par un système/</w:t>
      </w:r>
      <w:r w:rsidR="007412B6">
        <w:rPr>
          <w:lang w:val="fr-FR"/>
        </w:rPr>
        <w:t xml:space="preserve"> </w:t>
      </w:r>
      <w:r w:rsidRPr="00AB4DCC">
        <w:rPr>
          <w:lang w:val="fr-FR"/>
        </w:rPr>
        <w:t>une fonction de commande électronique supérieur(e). Une fonction ainsi neutralisée devient partie intégrante du système complexe, de même que toute fonction/tout système prioritaire visé(e) par le présent Règlement. Les liaisons de transmission avec un système ou une fonction prioritaire qui ne relève pas du présent Règlement doivent aussi être incluses.</w:t>
      </w:r>
    </w:p>
    <w:p w14:paraId="1E005D3E" w14:textId="3CE473B2" w:rsidR="0037414E" w:rsidRPr="00AB4DCC" w:rsidRDefault="0037414E" w:rsidP="00E201F8">
      <w:pPr>
        <w:pStyle w:val="SingleTxtG"/>
        <w:ind w:left="2268" w:hanging="1134"/>
        <w:rPr>
          <w:lang w:val="fr-FR"/>
        </w:rPr>
      </w:pPr>
      <w:r w:rsidRPr="00AB4DCC">
        <w:rPr>
          <w:lang w:val="fr-FR"/>
        </w:rPr>
        <w:t>2.5</w:t>
      </w:r>
      <w:r w:rsidRPr="00AB4DCC">
        <w:rPr>
          <w:lang w:val="fr-FR"/>
        </w:rPr>
        <w:tab/>
      </w:r>
      <w:r w:rsidR="00401B26" w:rsidRPr="00AB4DCC">
        <w:rPr>
          <w:lang w:val="fr-FR"/>
        </w:rPr>
        <w:t>«</w:t>
      </w:r>
      <w:r w:rsidR="00401B26">
        <w:rPr>
          <w:lang w:val="fr-FR"/>
        </w:rPr>
        <w:t> </w:t>
      </w:r>
      <w:r w:rsidRPr="00AB4DCC">
        <w:rPr>
          <w:i/>
          <w:iCs/>
          <w:lang w:val="fr-FR"/>
        </w:rPr>
        <w:t>Commande électronique supérieure</w:t>
      </w:r>
      <w:r w:rsidR="00401B26">
        <w:rPr>
          <w:lang w:val="fr-FR"/>
        </w:rPr>
        <w:t> </w:t>
      </w:r>
      <w:r w:rsidR="00401B26" w:rsidRPr="00AB4DCC">
        <w:rPr>
          <w:lang w:val="fr-FR"/>
        </w:rPr>
        <w:t>»</w:t>
      </w:r>
      <w:r w:rsidRPr="00AB4DCC">
        <w:rPr>
          <w:lang w:val="fr-FR"/>
        </w:rPr>
        <w:t>, les systèmes/fonctions qui utilisent des dispositifs supplémentaires de traitement et/ou de détection pour modifier le comportement du véhicule en ordonnant des variations de la (des) fonction(s) du système de commande du véhicule. Cela permet à des systèmes complexes de modifier automatiquement leurs objectifs selon un ordre de priorité qui dépend des conditions relevées.</w:t>
      </w:r>
    </w:p>
    <w:p w14:paraId="0F05E739" w14:textId="1A82CC9A" w:rsidR="0037414E" w:rsidRPr="00AB4DCC" w:rsidRDefault="0037414E" w:rsidP="00E201F8">
      <w:pPr>
        <w:pStyle w:val="SingleTxtG"/>
        <w:ind w:left="2268" w:hanging="1134"/>
        <w:rPr>
          <w:lang w:val="fr-FR"/>
        </w:rPr>
      </w:pPr>
      <w:r w:rsidRPr="00AB4DCC">
        <w:rPr>
          <w:lang w:val="fr-FR"/>
        </w:rPr>
        <w:t>2.6</w:t>
      </w:r>
      <w:r w:rsidRPr="00AB4DCC">
        <w:rPr>
          <w:lang w:val="fr-FR"/>
        </w:rPr>
        <w:tab/>
      </w:r>
      <w:r w:rsidR="00401B26" w:rsidRPr="00AB4DCC">
        <w:rPr>
          <w:lang w:val="fr-FR"/>
        </w:rPr>
        <w:t>«</w:t>
      </w:r>
      <w:r w:rsidR="00401B26">
        <w:rPr>
          <w:lang w:val="fr-FR"/>
        </w:rPr>
        <w:t> </w:t>
      </w:r>
      <w:r w:rsidRPr="00AB4DCC">
        <w:rPr>
          <w:i/>
          <w:iCs/>
          <w:lang w:val="fr-FR"/>
        </w:rPr>
        <w:t>Unités</w:t>
      </w:r>
      <w:r w:rsidR="00401B26">
        <w:rPr>
          <w:lang w:val="fr-FR"/>
        </w:rPr>
        <w:t> </w:t>
      </w:r>
      <w:r w:rsidR="00401B26" w:rsidRPr="00AB4DCC">
        <w:rPr>
          <w:lang w:val="fr-FR"/>
        </w:rPr>
        <w:t>»</w:t>
      </w:r>
      <w:r w:rsidRPr="00AB4DCC">
        <w:rPr>
          <w:lang w:val="fr-FR"/>
        </w:rPr>
        <w:t>, les plus petites subdivisions des organes du système faisant l’objet de la présente annexe</w:t>
      </w:r>
      <w:r>
        <w:rPr>
          <w:lang w:val="fr-FR"/>
        </w:rPr>
        <w:t> ;</w:t>
      </w:r>
      <w:r w:rsidRPr="00AB4DCC">
        <w:rPr>
          <w:lang w:val="fr-FR"/>
        </w:rPr>
        <w:t xml:space="preserve"> les combinaisons de ces organes seront considérées comme des entités uniques aux fins d’identification, d’analyse ou de remplacement.</w:t>
      </w:r>
    </w:p>
    <w:p w14:paraId="7084250F" w14:textId="5B05E2A4" w:rsidR="0037414E" w:rsidRPr="00AB4DCC" w:rsidRDefault="0037414E" w:rsidP="00E201F8">
      <w:pPr>
        <w:pStyle w:val="SingleTxtG"/>
        <w:ind w:left="2268" w:hanging="1134"/>
        <w:rPr>
          <w:lang w:val="fr-FR"/>
        </w:rPr>
      </w:pPr>
      <w:r w:rsidRPr="00AB4DCC">
        <w:rPr>
          <w:lang w:val="fr-FR"/>
        </w:rPr>
        <w:t>2.7</w:t>
      </w:r>
      <w:r w:rsidRPr="00AB4DCC">
        <w:rPr>
          <w:lang w:val="fr-FR"/>
        </w:rPr>
        <w:tab/>
      </w:r>
      <w:r w:rsidR="00401B26" w:rsidRPr="00AB4DCC">
        <w:rPr>
          <w:lang w:val="fr-FR"/>
        </w:rPr>
        <w:t>«</w:t>
      </w:r>
      <w:r w:rsidR="00401B26">
        <w:rPr>
          <w:lang w:val="fr-FR"/>
        </w:rPr>
        <w:t> </w:t>
      </w:r>
      <w:r w:rsidRPr="00AB4DCC">
        <w:rPr>
          <w:i/>
          <w:iCs/>
          <w:lang w:val="fr-FR"/>
        </w:rPr>
        <w:t>Liaisons de transmission</w:t>
      </w:r>
      <w:r w:rsidR="00401B26">
        <w:rPr>
          <w:lang w:val="fr-FR"/>
        </w:rPr>
        <w:t> </w:t>
      </w:r>
      <w:r w:rsidR="00401B26" w:rsidRPr="00AB4DCC">
        <w:rPr>
          <w:lang w:val="fr-FR"/>
        </w:rPr>
        <w:t>»</w:t>
      </w:r>
      <w:r w:rsidRPr="00AB4DCC">
        <w:rPr>
          <w:lang w:val="fr-FR"/>
        </w:rPr>
        <w:t>, les moyens utilisés pour relier entre elles les différentes unités aux fins de la transmission de signaux et de données opérationnelles ou de l’alimentation en énergie. Cet équipement est généralement électrique mais peut parfois être mécanique, pneumatique ou hydraulique.</w:t>
      </w:r>
    </w:p>
    <w:p w14:paraId="188EA8DD" w14:textId="72CF0BE1" w:rsidR="0037414E" w:rsidRPr="00AB4DCC" w:rsidRDefault="0037414E" w:rsidP="00E201F8">
      <w:pPr>
        <w:pStyle w:val="SingleTxtG"/>
        <w:ind w:left="2268" w:hanging="1134"/>
        <w:rPr>
          <w:lang w:val="fr-FR"/>
        </w:rPr>
      </w:pPr>
      <w:r w:rsidRPr="00AB4DCC">
        <w:rPr>
          <w:lang w:val="fr-FR"/>
        </w:rPr>
        <w:t>2.8</w:t>
      </w:r>
      <w:r w:rsidRPr="00AB4DCC">
        <w:rPr>
          <w:lang w:val="fr-FR"/>
        </w:rPr>
        <w:tab/>
      </w:r>
      <w:r w:rsidR="00401B26" w:rsidRPr="00AB4DCC">
        <w:rPr>
          <w:lang w:val="fr-FR"/>
        </w:rPr>
        <w:t>«</w:t>
      </w:r>
      <w:r w:rsidR="00401B26">
        <w:rPr>
          <w:lang w:val="fr-FR"/>
        </w:rPr>
        <w:t> </w:t>
      </w:r>
      <w:r w:rsidRPr="00AB4DCC">
        <w:rPr>
          <w:i/>
          <w:iCs/>
          <w:lang w:val="fr-FR"/>
        </w:rPr>
        <w:t>Rayon d’action</w:t>
      </w:r>
      <w:r w:rsidR="00401B26">
        <w:rPr>
          <w:lang w:val="fr-FR"/>
        </w:rPr>
        <w:t> </w:t>
      </w:r>
      <w:r w:rsidR="00401B26" w:rsidRPr="00AB4DCC">
        <w:rPr>
          <w:lang w:val="fr-FR"/>
        </w:rPr>
        <w:t>»</w:t>
      </w:r>
      <w:r w:rsidRPr="00AB4DCC">
        <w:rPr>
          <w:lang w:val="fr-FR"/>
        </w:rPr>
        <w:t>, une variable de rendement qui définit le rayon sur lequel le système est censé exercer son contrôle.</w:t>
      </w:r>
    </w:p>
    <w:p w14:paraId="33F0D5DE" w14:textId="1AB51EC2" w:rsidR="0037414E" w:rsidRPr="00AB4DCC" w:rsidRDefault="0037414E" w:rsidP="00E201F8">
      <w:pPr>
        <w:pStyle w:val="SingleTxtG"/>
        <w:ind w:left="2268" w:hanging="1134"/>
        <w:rPr>
          <w:lang w:val="fr-FR"/>
        </w:rPr>
      </w:pPr>
      <w:r w:rsidRPr="00AB4DCC">
        <w:rPr>
          <w:lang w:val="fr-FR"/>
        </w:rPr>
        <w:t>2.9</w:t>
      </w:r>
      <w:r w:rsidRPr="00AB4DCC">
        <w:rPr>
          <w:lang w:val="fr-FR"/>
        </w:rPr>
        <w:tab/>
      </w:r>
      <w:r w:rsidR="00401B26" w:rsidRPr="00AB4DCC">
        <w:rPr>
          <w:lang w:val="fr-FR"/>
        </w:rPr>
        <w:t>«</w:t>
      </w:r>
      <w:r w:rsidR="00401B26">
        <w:rPr>
          <w:lang w:val="fr-FR"/>
        </w:rPr>
        <w:t> </w:t>
      </w:r>
      <w:r w:rsidRPr="00AB4DCC">
        <w:rPr>
          <w:i/>
          <w:iCs/>
          <w:lang w:val="fr-FR"/>
        </w:rPr>
        <w:t>Limite de fonctionnement</w:t>
      </w:r>
      <w:r w:rsidR="00401B26">
        <w:rPr>
          <w:lang w:val="fr-FR"/>
        </w:rPr>
        <w:t> </w:t>
      </w:r>
      <w:r w:rsidR="00401B26" w:rsidRPr="00AB4DCC">
        <w:rPr>
          <w:lang w:val="fr-FR"/>
        </w:rPr>
        <w:t>»</w:t>
      </w:r>
      <w:r w:rsidRPr="00AB4DCC">
        <w:rPr>
          <w:lang w:val="fr-FR"/>
        </w:rPr>
        <w:t>, les limites physiques extérieures dans lesquelles le système est capable d’exercer un contrôle.</w:t>
      </w:r>
    </w:p>
    <w:p w14:paraId="3949663D" w14:textId="7D12D8A0" w:rsidR="0037414E" w:rsidRPr="00AB4DCC" w:rsidRDefault="0037414E" w:rsidP="00E201F8">
      <w:pPr>
        <w:pStyle w:val="SingleTxtG"/>
        <w:ind w:left="2268" w:hanging="1134"/>
        <w:rPr>
          <w:lang w:val="fr-FR"/>
        </w:rPr>
      </w:pPr>
      <w:r w:rsidRPr="00AB4DCC">
        <w:rPr>
          <w:lang w:val="fr-FR"/>
        </w:rPr>
        <w:t>2.10</w:t>
      </w:r>
      <w:r w:rsidRPr="00AB4DCC">
        <w:rPr>
          <w:lang w:val="fr-FR"/>
        </w:rPr>
        <w:tab/>
      </w:r>
      <w:r w:rsidR="00401B26" w:rsidRPr="00AB4DCC">
        <w:rPr>
          <w:lang w:val="fr-FR"/>
        </w:rPr>
        <w:t>«</w:t>
      </w:r>
      <w:r w:rsidR="00401B26">
        <w:rPr>
          <w:lang w:val="fr-FR"/>
        </w:rPr>
        <w:t> </w:t>
      </w:r>
      <w:r w:rsidRPr="00AB4DCC">
        <w:rPr>
          <w:i/>
          <w:iCs/>
          <w:lang w:val="fr-FR"/>
        </w:rPr>
        <w:t>Fonction liée à la sécurité</w:t>
      </w:r>
      <w:r w:rsidR="00401B26">
        <w:rPr>
          <w:lang w:val="fr-FR"/>
        </w:rPr>
        <w:t> </w:t>
      </w:r>
      <w:r w:rsidR="00401B26" w:rsidRPr="00AB4DCC">
        <w:rPr>
          <w:lang w:val="fr-FR"/>
        </w:rPr>
        <w:t>»</w:t>
      </w:r>
      <w:r w:rsidRPr="00AB4DCC">
        <w:rPr>
          <w:lang w:val="fr-FR"/>
        </w:rPr>
        <w:t xml:space="preserve">, une fonction du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sidRPr="00AB4DCC">
        <w:rPr>
          <w:lang w:val="fr-FR"/>
        </w:rPr>
        <w:t xml:space="preserve"> capable de modifier le comportement dynamique du véhicule. Le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sidRPr="00AB4DCC">
        <w:rPr>
          <w:lang w:val="fr-FR"/>
        </w:rPr>
        <w:t xml:space="preserve"> peut être capable de remplir plusieurs fonctions liées à la sécurité.</w:t>
      </w:r>
    </w:p>
    <w:p w14:paraId="4FE3FBAA" w14:textId="77777777" w:rsidR="0037414E" w:rsidRPr="00AB4DCC" w:rsidRDefault="0037414E" w:rsidP="0037414E">
      <w:pPr>
        <w:pStyle w:val="SingleTxtG"/>
        <w:ind w:left="2268" w:hanging="1134"/>
        <w:jc w:val="left"/>
        <w:rPr>
          <w:b/>
          <w:sz w:val="28"/>
          <w:szCs w:val="28"/>
          <w:lang w:val="fr-FR"/>
        </w:rPr>
      </w:pPr>
      <w:r w:rsidRPr="00AB4DCC">
        <w:rPr>
          <w:b/>
          <w:bCs/>
          <w:sz w:val="28"/>
          <w:szCs w:val="28"/>
          <w:lang w:val="fr-FR"/>
        </w:rPr>
        <w:t>3.</w:t>
      </w:r>
      <w:r w:rsidRPr="00AB4DCC">
        <w:rPr>
          <w:sz w:val="28"/>
          <w:szCs w:val="28"/>
          <w:lang w:val="fr-FR"/>
        </w:rPr>
        <w:tab/>
      </w:r>
      <w:r w:rsidRPr="00AB4DCC">
        <w:rPr>
          <w:b/>
          <w:bCs/>
          <w:sz w:val="28"/>
          <w:szCs w:val="28"/>
          <w:lang w:val="fr-FR"/>
        </w:rPr>
        <w:t>Dossier d’information</w:t>
      </w:r>
    </w:p>
    <w:p w14:paraId="783A89DD" w14:textId="77777777" w:rsidR="0037414E" w:rsidRPr="00AB4DCC" w:rsidRDefault="0037414E" w:rsidP="00E201F8">
      <w:pPr>
        <w:pStyle w:val="SingleTxtG"/>
        <w:ind w:left="2268" w:hanging="1134"/>
        <w:rPr>
          <w:lang w:val="fr-FR"/>
        </w:rPr>
      </w:pPr>
      <w:r w:rsidRPr="00AB4DCC">
        <w:rPr>
          <w:lang w:val="fr-FR"/>
        </w:rPr>
        <w:t>3.1</w:t>
      </w:r>
      <w:r w:rsidRPr="00AB4DCC">
        <w:rPr>
          <w:lang w:val="fr-FR"/>
        </w:rPr>
        <w:tab/>
        <w:t>Prescriptions</w:t>
      </w:r>
    </w:p>
    <w:p w14:paraId="78C7CCB5" w14:textId="6083CA11" w:rsidR="0037414E" w:rsidRPr="00AB4DCC" w:rsidRDefault="0037414E" w:rsidP="0037414E">
      <w:pPr>
        <w:pStyle w:val="SingleTxtG"/>
        <w:ind w:left="2268"/>
        <w:rPr>
          <w:lang w:val="fr-FR"/>
        </w:rPr>
      </w:pPr>
      <w:r w:rsidRPr="00AB4DCC">
        <w:rPr>
          <w:lang w:val="fr-FR"/>
        </w:rPr>
        <w:t xml:space="preserve">Le constructeur doit fournir un dossier d’information qui décrit la conception de base du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sidRPr="00AB4DCC">
        <w:rPr>
          <w:lang w:val="fr-FR"/>
        </w:rPr>
        <w:t xml:space="preserve"> et indiquant les moyens par lesquels il est relié aux autres systèmes du véhicule ou par lesquels il contrôle directement les variables de sortie. La (les) fonction(s) du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sidRPr="00AB4DCC">
        <w:rPr>
          <w:lang w:val="fr-FR"/>
        </w:rPr>
        <w:t xml:space="preserve"> et le concept de sécurité tels que définis par le constructeur doivent être expliqués. Le dossier doit être bref, tout en apportant la preuve que la conception et la mise au point ont bénéficié de l’avis d’experts dans tous les domaines du système qui sont concernés. En ce qui concerne les contrôles techniques périodiques, le dossier doit décrire la manière dont l’état fonctionnel du système à un moment donné peut être</w:t>
      </w:r>
      <w:r w:rsidR="007412B6">
        <w:rPr>
          <w:lang w:val="fr-FR"/>
        </w:rPr>
        <w:t xml:space="preserve"> </w:t>
      </w:r>
      <w:r w:rsidRPr="00AB4DCC">
        <w:rPr>
          <w:lang w:val="fr-FR"/>
        </w:rPr>
        <w:t>vérifié.</w:t>
      </w:r>
    </w:p>
    <w:p w14:paraId="24052B79" w14:textId="766991DF" w:rsidR="0037414E" w:rsidRPr="00AB4DCC" w:rsidRDefault="0037414E" w:rsidP="0037414E">
      <w:pPr>
        <w:pStyle w:val="SingleTxtG"/>
        <w:ind w:left="2268"/>
        <w:rPr>
          <w:lang w:val="fr-FR"/>
        </w:rPr>
      </w:pPr>
      <w:r w:rsidRPr="00AB4DCC">
        <w:rPr>
          <w:lang w:val="fr-FR"/>
        </w:rPr>
        <w:t xml:space="preserve">Le service technique doit évaluer le dossier d’information afin de vérifier que le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Pr>
          <w:lang w:val="fr-FR"/>
        </w:rPr>
        <w:t> :</w:t>
      </w:r>
    </w:p>
    <w:p w14:paraId="75619433" w14:textId="77777777" w:rsidR="0037414E" w:rsidRPr="00AB4DCC" w:rsidRDefault="0037414E" w:rsidP="00E201F8">
      <w:pPr>
        <w:pStyle w:val="SingleTxtG"/>
        <w:ind w:left="2835" w:hanging="567"/>
        <w:rPr>
          <w:lang w:val="fr-FR"/>
        </w:rPr>
      </w:pPr>
      <w:r w:rsidRPr="00AB4DCC">
        <w:rPr>
          <w:lang w:val="fr-FR"/>
        </w:rPr>
        <w:t>a)</w:t>
      </w:r>
      <w:r w:rsidRPr="00AB4DCC">
        <w:rPr>
          <w:lang w:val="fr-FR"/>
        </w:rPr>
        <w:tab/>
        <w:t>Est conçu pour fonctionner de manière à n’entraîner aucun risque critique pour la sécurité, en l’absence de défaillance comme en cas de défaillance</w:t>
      </w:r>
      <w:r>
        <w:rPr>
          <w:lang w:val="fr-FR"/>
        </w:rPr>
        <w:t> ;</w:t>
      </w:r>
    </w:p>
    <w:p w14:paraId="3B7F612A" w14:textId="77777777" w:rsidR="0037414E" w:rsidRPr="00AB4DCC" w:rsidRDefault="0037414E" w:rsidP="00E201F8">
      <w:pPr>
        <w:pStyle w:val="SingleTxtG"/>
        <w:ind w:left="2835" w:hanging="567"/>
        <w:rPr>
          <w:lang w:val="fr-FR"/>
        </w:rPr>
      </w:pPr>
      <w:r w:rsidRPr="00AB4DCC">
        <w:rPr>
          <w:lang w:val="fr-FR"/>
        </w:rPr>
        <w:t>b)</w:t>
      </w:r>
      <w:r w:rsidRPr="00AB4DCC">
        <w:rPr>
          <w:lang w:val="fr-FR"/>
        </w:rPr>
        <w:tab/>
        <w:t>Est conforme, en l’absence de défaillance comme en cas de défaillance, à toutes les prescriptions fonctionnelles pertinentes énoncées ailleurs dans le présent Règlement</w:t>
      </w:r>
      <w:r>
        <w:rPr>
          <w:lang w:val="fr-FR"/>
        </w:rPr>
        <w:t> ;</w:t>
      </w:r>
    </w:p>
    <w:p w14:paraId="20BF4CD2" w14:textId="77777777" w:rsidR="0037414E" w:rsidRPr="00AB4DCC" w:rsidRDefault="0037414E" w:rsidP="00E201F8">
      <w:pPr>
        <w:pStyle w:val="SingleTxtG"/>
        <w:ind w:left="2835" w:hanging="567"/>
        <w:rPr>
          <w:lang w:val="fr-FR"/>
        </w:rPr>
      </w:pPr>
      <w:r w:rsidRPr="00AB4DCC">
        <w:rPr>
          <w:lang w:val="fr-FR"/>
        </w:rPr>
        <w:t>c)</w:t>
      </w:r>
      <w:r w:rsidRPr="00AB4DCC">
        <w:rPr>
          <w:lang w:val="fr-FR"/>
        </w:rPr>
        <w:tab/>
        <w:t>A été mis au point conformément au processus ou à la méthode qu’a déclaré(e) le constructeur.</w:t>
      </w:r>
    </w:p>
    <w:p w14:paraId="65F2CF7B" w14:textId="77777777" w:rsidR="0037414E" w:rsidRPr="00AB4DCC" w:rsidRDefault="0037414E" w:rsidP="00E201F8">
      <w:pPr>
        <w:pStyle w:val="SingleTxtG"/>
        <w:ind w:left="2268" w:hanging="1134"/>
        <w:rPr>
          <w:lang w:val="fr-FR"/>
        </w:rPr>
      </w:pPr>
      <w:r w:rsidRPr="00AB4DCC">
        <w:rPr>
          <w:lang w:val="fr-FR"/>
        </w:rPr>
        <w:t>3.1.1</w:t>
      </w:r>
      <w:r w:rsidRPr="00AB4DCC">
        <w:rPr>
          <w:lang w:val="fr-FR"/>
        </w:rPr>
        <w:tab/>
        <w:t>Le dossier d’information comporte deux parties</w:t>
      </w:r>
      <w:r>
        <w:rPr>
          <w:lang w:val="fr-FR"/>
        </w:rPr>
        <w:t> :</w:t>
      </w:r>
    </w:p>
    <w:p w14:paraId="2F0E8E8E" w14:textId="47D59601" w:rsidR="0037414E" w:rsidRPr="00E201F8" w:rsidRDefault="0037414E" w:rsidP="00E201F8">
      <w:pPr>
        <w:pStyle w:val="SingleTxtG"/>
        <w:ind w:left="2835" w:hanging="567"/>
        <w:rPr>
          <w:lang w:val="fr-FR"/>
        </w:rPr>
      </w:pPr>
      <w:r w:rsidRPr="00AB4DCC">
        <w:rPr>
          <w:lang w:val="fr-FR"/>
        </w:rPr>
        <w:t>a)</w:t>
      </w:r>
      <w:r w:rsidRPr="00AB4DCC">
        <w:rPr>
          <w:lang w:val="fr-FR"/>
        </w:rPr>
        <w:tab/>
        <w:t xml:space="preserve">Le dossier d’information officiel pour l’homologation, contenant les données énumérées au paragraphe 3 (à l’exception de celles qui figurent au paragraphe 3.4.4), à présenter au service technique au moment du dépôt de la demande d’homologation de type. Ce dossier d’information doit être utilisé par le service technique comme référence de base pour la procédure de vérification énoncée au paragraphe 4 de la présente annexe. Le service technique doit s’assurer que ce dossier reste disponible pendant un délai fixé en accord avec l’autorité d’homologation. Ce délai doit être d’au moins </w:t>
      </w:r>
      <w:r w:rsidR="007412B6">
        <w:rPr>
          <w:lang w:val="fr-FR"/>
        </w:rPr>
        <w:t>10 </w:t>
      </w:r>
      <w:r w:rsidRPr="00AB4DCC">
        <w:rPr>
          <w:lang w:val="fr-FR"/>
        </w:rPr>
        <w:t>ans à compter de la date de l’arrêt définitif de la production du véhicule</w:t>
      </w:r>
      <w:r>
        <w:rPr>
          <w:lang w:val="fr-FR"/>
        </w:rPr>
        <w:t> ;</w:t>
      </w:r>
    </w:p>
    <w:p w14:paraId="5C7FB480" w14:textId="7BA10A11" w:rsidR="0037414E" w:rsidRPr="00AB4DCC" w:rsidRDefault="0037414E" w:rsidP="00E201F8">
      <w:pPr>
        <w:pStyle w:val="SingleTxtG"/>
        <w:ind w:left="2835" w:hanging="567"/>
        <w:rPr>
          <w:lang w:val="fr-FR"/>
        </w:rPr>
      </w:pPr>
      <w:r w:rsidRPr="00AB4DCC">
        <w:rPr>
          <w:lang w:val="fr-FR"/>
        </w:rPr>
        <w:t>b)</w:t>
      </w:r>
      <w:r w:rsidRPr="00AB4DCC">
        <w:rPr>
          <w:lang w:val="fr-FR"/>
        </w:rPr>
        <w:tab/>
        <w:t xml:space="preserve">Les compléments d’information et les données d’analyse dont il est question au paragraphe 3.4.4, qui doivent être conservés par le constructeur mais qui doivent pouvoir faire l’objet d’une inspection au moment de l’homologation de type. Le constructeur est tenu de faire en sorte que ces informations et données d’analyse restent disponibles pendant une période de </w:t>
      </w:r>
      <w:r w:rsidR="007412B6">
        <w:rPr>
          <w:lang w:val="fr-FR"/>
        </w:rPr>
        <w:t>10 </w:t>
      </w:r>
      <w:r w:rsidRPr="00AB4DCC">
        <w:rPr>
          <w:lang w:val="fr-FR"/>
        </w:rPr>
        <w:t>ans à compter de la date de l’arrêt définitif de la production du véhicule.</w:t>
      </w:r>
    </w:p>
    <w:p w14:paraId="2A3C8751" w14:textId="743D04E6" w:rsidR="0037414E" w:rsidRPr="00AB4DCC" w:rsidRDefault="0037414E" w:rsidP="00E201F8">
      <w:pPr>
        <w:pStyle w:val="SingleTxtG"/>
        <w:ind w:left="2268" w:hanging="1134"/>
        <w:rPr>
          <w:lang w:val="fr-FR"/>
        </w:rPr>
      </w:pPr>
      <w:r w:rsidRPr="00AB4DCC">
        <w:rPr>
          <w:lang w:val="fr-FR"/>
        </w:rPr>
        <w:t>3.2</w:t>
      </w:r>
      <w:r w:rsidRPr="00AB4DCC">
        <w:rPr>
          <w:lang w:val="fr-FR"/>
        </w:rPr>
        <w:tab/>
        <w:t xml:space="preserve">Description des fonctions du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p>
    <w:p w14:paraId="6F1FE8B8" w14:textId="502E02FC" w:rsidR="0037414E" w:rsidRPr="00AB4DCC" w:rsidRDefault="0037414E" w:rsidP="0037414E">
      <w:pPr>
        <w:pStyle w:val="SingleTxtG"/>
        <w:ind w:left="2268"/>
        <w:rPr>
          <w:lang w:val="fr-FR"/>
        </w:rPr>
      </w:pPr>
      <w:r w:rsidRPr="00AB4DCC">
        <w:rPr>
          <w:lang w:val="fr-FR"/>
        </w:rPr>
        <w:t xml:space="preserve">Il doit être fourni une description contenant une explication simple de toutes les fonctions de commande du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sidRPr="00AB4DCC">
        <w:rPr>
          <w:lang w:val="fr-FR"/>
        </w:rPr>
        <w:t xml:space="preserve"> et des méthodes appliquées pour atteindre les objectifs visés, accompagnée d’une description du (des) mécanisme(s) par lequel (lesquels) les fonctions de commande sont exercées.</w:t>
      </w:r>
    </w:p>
    <w:p w14:paraId="362FC0D2" w14:textId="4904494B" w:rsidR="0037414E" w:rsidRPr="00AB4DCC" w:rsidRDefault="0037414E" w:rsidP="0037414E">
      <w:pPr>
        <w:pStyle w:val="SingleTxtG"/>
        <w:ind w:left="2268"/>
        <w:rPr>
          <w:lang w:val="fr-FR"/>
        </w:rPr>
      </w:pPr>
      <w:r w:rsidRPr="00AB4DCC">
        <w:rPr>
          <w:lang w:val="fr-FR"/>
        </w:rPr>
        <w:t>Toute fonction qui peut être neutralisée doit être signalée comme telle et une description des incidences sur la logique de fonctionnement de la fonction doit être fournie.</w:t>
      </w:r>
    </w:p>
    <w:p w14:paraId="61051A5E" w14:textId="77777777" w:rsidR="0037414E" w:rsidRPr="00AB4DCC" w:rsidRDefault="0037414E" w:rsidP="00E201F8">
      <w:pPr>
        <w:pStyle w:val="SingleTxtG"/>
        <w:ind w:left="2268" w:hanging="1134"/>
        <w:rPr>
          <w:lang w:val="fr-FR"/>
        </w:rPr>
      </w:pPr>
      <w:r w:rsidRPr="00AB4DCC">
        <w:rPr>
          <w:lang w:val="fr-FR"/>
        </w:rPr>
        <w:t>3.2.1</w:t>
      </w:r>
      <w:r w:rsidRPr="00AB4DCC">
        <w:rPr>
          <w:lang w:val="fr-FR"/>
        </w:rPr>
        <w:tab/>
        <w:t>Une liste de l’ensemble des variables d’entrée et des variables relevées doit être fournie et leur rayon d’action défini.</w:t>
      </w:r>
    </w:p>
    <w:p w14:paraId="1BD17F70" w14:textId="6780787E" w:rsidR="0037414E" w:rsidRPr="00AB4DCC" w:rsidRDefault="0037414E" w:rsidP="00E201F8">
      <w:pPr>
        <w:pStyle w:val="SingleTxtG"/>
        <w:ind w:left="2268" w:hanging="1134"/>
        <w:rPr>
          <w:lang w:val="fr-FR"/>
        </w:rPr>
      </w:pPr>
      <w:r w:rsidRPr="00AB4DCC">
        <w:rPr>
          <w:lang w:val="fr-FR"/>
        </w:rPr>
        <w:t>3.2.2</w:t>
      </w:r>
      <w:r w:rsidRPr="00AB4DCC">
        <w:rPr>
          <w:lang w:val="fr-FR"/>
        </w:rPr>
        <w:tab/>
        <w:t xml:space="preserve">Une liste de l’ensemble des variables de sortie contrôlées par le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sidRPr="00AB4DCC">
        <w:rPr>
          <w:lang w:val="fr-FR"/>
        </w:rPr>
        <w:t xml:space="preserve"> doit être fournie</w:t>
      </w:r>
      <w:r>
        <w:rPr>
          <w:lang w:val="fr-FR"/>
        </w:rPr>
        <w:t> ;</w:t>
      </w:r>
      <w:r w:rsidRPr="00AB4DCC">
        <w:rPr>
          <w:lang w:val="fr-FR"/>
        </w:rPr>
        <w:t xml:space="preserve"> il convient d’indiquer, dans chaque cas, si le contrôle est direct ou s’il est exercé par l’intermédiaire d’un autre système du véhicule. Le rayon d’action (par. 2.8) du contrôle exercé sur chacune de ces variables doit être défini.</w:t>
      </w:r>
    </w:p>
    <w:p w14:paraId="4F12A5C2" w14:textId="77777777" w:rsidR="0037414E" w:rsidRPr="00AB4DCC" w:rsidRDefault="0037414E" w:rsidP="00E201F8">
      <w:pPr>
        <w:pStyle w:val="SingleTxtG"/>
        <w:ind w:left="2268" w:hanging="1134"/>
        <w:rPr>
          <w:lang w:val="fr-FR"/>
        </w:rPr>
      </w:pPr>
      <w:r w:rsidRPr="00AB4DCC">
        <w:rPr>
          <w:lang w:val="fr-FR"/>
        </w:rPr>
        <w:t>3.2.3</w:t>
      </w:r>
      <w:r w:rsidRPr="00AB4DCC">
        <w:rPr>
          <w:lang w:val="fr-FR"/>
        </w:rPr>
        <w:tab/>
        <w:t>Les limites de fonctionnement (par. 2.9) doivent être indiquées, si cela s’impose au regard de l’efficacité du système.</w:t>
      </w:r>
    </w:p>
    <w:p w14:paraId="196DD48D" w14:textId="77777777" w:rsidR="0037414E" w:rsidRPr="00AB4DCC" w:rsidRDefault="0037414E" w:rsidP="00E201F8">
      <w:pPr>
        <w:pStyle w:val="SingleTxtG"/>
        <w:ind w:left="2268" w:hanging="1134"/>
        <w:rPr>
          <w:lang w:val="fr-FR"/>
        </w:rPr>
      </w:pPr>
      <w:r w:rsidRPr="00AB4DCC">
        <w:rPr>
          <w:lang w:val="fr-FR"/>
        </w:rPr>
        <w:t>3.3</w:t>
      </w:r>
      <w:r w:rsidRPr="00AB4DCC">
        <w:rPr>
          <w:lang w:val="fr-FR"/>
        </w:rPr>
        <w:tab/>
        <w:t>Configuration et schémas du système</w:t>
      </w:r>
    </w:p>
    <w:p w14:paraId="257FED3B" w14:textId="77777777" w:rsidR="0037414E" w:rsidRPr="00AB4DCC" w:rsidRDefault="0037414E" w:rsidP="00E201F8">
      <w:pPr>
        <w:pStyle w:val="SingleTxtG"/>
        <w:ind w:left="2268" w:hanging="1134"/>
        <w:rPr>
          <w:lang w:val="fr-FR"/>
        </w:rPr>
      </w:pPr>
      <w:r w:rsidRPr="00AB4DCC">
        <w:rPr>
          <w:lang w:val="fr-FR"/>
        </w:rPr>
        <w:t>3.3.1</w:t>
      </w:r>
      <w:r w:rsidRPr="00AB4DCC">
        <w:rPr>
          <w:lang w:val="fr-FR"/>
        </w:rPr>
        <w:tab/>
        <w:t>Inventaire des organes</w:t>
      </w:r>
    </w:p>
    <w:p w14:paraId="37BCB944" w14:textId="50B55644" w:rsidR="0037414E" w:rsidRPr="00AB4DCC" w:rsidRDefault="0037414E" w:rsidP="0037414E">
      <w:pPr>
        <w:pStyle w:val="SingleTxtG"/>
        <w:ind w:left="2268"/>
        <w:rPr>
          <w:lang w:val="fr-FR"/>
        </w:rPr>
      </w:pPr>
      <w:r w:rsidRPr="00AB4DCC">
        <w:rPr>
          <w:lang w:val="fr-FR"/>
        </w:rPr>
        <w:t xml:space="preserve">Une liste doit être fournie, rassemblant toutes les unités du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sidRPr="00AB4DCC">
        <w:rPr>
          <w:lang w:val="fr-FR"/>
        </w:rPr>
        <w:t xml:space="preserve"> et mentionnant les autres systèmes du véhicule qui sont nécessaires pour réaliser la fonction de commande en question.</w:t>
      </w:r>
    </w:p>
    <w:p w14:paraId="5E1C2E75" w14:textId="4D22BEF3" w:rsidR="0037414E" w:rsidRPr="00AB4DCC" w:rsidRDefault="0037414E" w:rsidP="0037414E">
      <w:pPr>
        <w:pStyle w:val="SingleTxtG"/>
        <w:ind w:left="2268"/>
        <w:rPr>
          <w:lang w:val="fr-FR"/>
        </w:rPr>
      </w:pPr>
      <w:r w:rsidRPr="00AB4DCC">
        <w:rPr>
          <w:lang w:val="fr-FR"/>
        </w:rPr>
        <w:t>Un schéma montrant la combinaison de ces unités doit être fourni, accompagné de précisions sur la répartition des organes de l’équipement et les interconnexions entre eux.</w:t>
      </w:r>
    </w:p>
    <w:p w14:paraId="7A2F26A7" w14:textId="77777777" w:rsidR="0037414E" w:rsidRPr="00AB4DCC" w:rsidRDefault="0037414E" w:rsidP="00E201F8">
      <w:pPr>
        <w:pStyle w:val="SingleTxtG"/>
        <w:ind w:left="2268" w:hanging="1134"/>
        <w:rPr>
          <w:lang w:val="fr-FR"/>
        </w:rPr>
      </w:pPr>
      <w:r w:rsidRPr="00AB4DCC">
        <w:rPr>
          <w:lang w:val="fr-FR"/>
        </w:rPr>
        <w:t>3.3.2</w:t>
      </w:r>
      <w:r w:rsidRPr="00AB4DCC">
        <w:rPr>
          <w:lang w:val="fr-FR"/>
        </w:rPr>
        <w:tab/>
        <w:t>Fonctions des unités</w:t>
      </w:r>
    </w:p>
    <w:p w14:paraId="7DEAC0F0" w14:textId="47B26478" w:rsidR="0037414E" w:rsidRPr="00AB4DCC" w:rsidRDefault="0037414E" w:rsidP="0037414E">
      <w:pPr>
        <w:pStyle w:val="SingleTxtG"/>
        <w:ind w:left="2268"/>
        <w:rPr>
          <w:lang w:val="fr-FR"/>
        </w:rPr>
      </w:pPr>
      <w:r w:rsidRPr="00AB4DCC">
        <w:rPr>
          <w:lang w:val="fr-FR"/>
        </w:rPr>
        <w:t xml:space="preserve">La fonction de chaque unité du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sidRPr="00AB4DCC">
        <w:rPr>
          <w:lang w:val="fr-FR"/>
        </w:rPr>
        <w:t xml:space="preserve"> doit être définie et les signaux reliant chaque unité aux autres unités ou à d’autres systèmes du véhicule doivent être indiqués. Cette information peut être fournie au moyen d’un schéma fonctionnel ou d’une description accompagnée d’un tel schéma.</w:t>
      </w:r>
    </w:p>
    <w:p w14:paraId="31F8A329" w14:textId="77777777" w:rsidR="0037414E" w:rsidRPr="00AB4DCC" w:rsidRDefault="0037414E" w:rsidP="00E201F8">
      <w:pPr>
        <w:pStyle w:val="SingleTxtG"/>
        <w:ind w:left="2268" w:hanging="1134"/>
        <w:rPr>
          <w:lang w:val="fr-FR"/>
        </w:rPr>
      </w:pPr>
      <w:r w:rsidRPr="00AB4DCC">
        <w:rPr>
          <w:lang w:val="fr-FR"/>
        </w:rPr>
        <w:t>3.3.3</w:t>
      </w:r>
      <w:r w:rsidRPr="00AB4DCC">
        <w:rPr>
          <w:lang w:val="fr-FR"/>
        </w:rPr>
        <w:tab/>
        <w:t>Interconnexions</w:t>
      </w:r>
    </w:p>
    <w:p w14:paraId="2A982BFF" w14:textId="236EBD86" w:rsidR="0037414E" w:rsidRPr="00AB4DCC" w:rsidRDefault="0037414E" w:rsidP="0037414E">
      <w:pPr>
        <w:pStyle w:val="SingleTxtG"/>
        <w:ind w:left="2268"/>
        <w:rPr>
          <w:lang w:val="fr-FR"/>
        </w:rPr>
      </w:pPr>
      <w:r w:rsidRPr="00AB4DCC">
        <w:rPr>
          <w:lang w:val="fr-FR"/>
        </w:rPr>
        <w:t xml:space="preserve">Les interconnexions au sein du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sidRPr="00AB4DCC">
        <w:rPr>
          <w:lang w:val="fr-FR"/>
        </w:rPr>
        <w:t xml:space="preserve"> doivent être indiquées au moyen d’un schéma de circuit pour les liaisons de transmission électriques, d’un schéma de distribution de la timonerie pneumatique ou hydraulique et d’un schéma simplifié pour les liaisons mécaniques. Les liaisons de transmission avec d’autres systèmes doivent également être indiquées.</w:t>
      </w:r>
    </w:p>
    <w:p w14:paraId="2ADC8FC8" w14:textId="77777777" w:rsidR="0037414E" w:rsidRPr="00AB4DCC" w:rsidRDefault="0037414E" w:rsidP="00E201F8">
      <w:pPr>
        <w:pStyle w:val="SingleTxtG"/>
        <w:ind w:left="2268" w:hanging="1134"/>
        <w:rPr>
          <w:lang w:val="fr-FR"/>
        </w:rPr>
      </w:pPr>
      <w:r w:rsidRPr="00AB4DCC">
        <w:rPr>
          <w:lang w:val="fr-FR"/>
        </w:rPr>
        <w:t>3.3.4</w:t>
      </w:r>
      <w:r w:rsidRPr="00AB4DCC">
        <w:rPr>
          <w:lang w:val="fr-FR"/>
        </w:rPr>
        <w:tab/>
        <w:t>Circulation des signaux et des données</w:t>
      </w:r>
      <w:r>
        <w:rPr>
          <w:lang w:val="fr-FR"/>
        </w:rPr>
        <w:t> :</w:t>
      </w:r>
      <w:r w:rsidRPr="00AB4DCC">
        <w:rPr>
          <w:lang w:val="fr-FR"/>
        </w:rPr>
        <w:t xml:space="preserve"> priorités</w:t>
      </w:r>
    </w:p>
    <w:p w14:paraId="6A84C3B2" w14:textId="77777777" w:rsidR="0037414E" w:rsidRPr="00E201F8" w:rsidRDefault="0037414E" w:rsidP="0037414E">
      <w:pPr>
        <w:pStyle w:val="SingleTxtG"/>
        <w:ind w:left="2268"/>
        <w:rPr>
          <w:lang w:val="fr-FR"/>
        </w:rPr>
      </w:pPr>
      <w:r w:rsidRPr="00AB4DCC">
        <w:rPr>
          <w:lang w:val="fr-FR"/>
        </w:rPr>
        <w:t>Une correspondance claire doit être établie entre ces liaisons de transmission et les signaux et/ou les données véhiculés entre les unités. Sur les voies de données multiplexées, les signaux et/ou les données prioritaires doivent être mentionnés chaque fois que l’ordre de priorité peut avoir une incidence sur la performance ou la sécurité aux fins de l’application du présent Règlement.</w:t>
      </w:r>
    </w:p>
    <w:p w14:paraId="02546DEB" w14:textId="77777777" w:rsidR="0037414E" w:rsidRPr="00AB4DCC" w:rsidRDefault="0037414E" w:rsidP="00E201F8">
      <w:pPr>
        <w:pStyle w:val="SingleTxtG"/>
        <w:ind w:left="2268" w:hanging="1134"/>
        <w:rPr>
          <w:lang w:val="fr-FR"/>
        </w:rPr>
      </w:pPr>
      <w:r w:rsidRPr="00AB4DCC">
        <w:rPr>
          <w:lang w:val="fr-FR"/>
        </w:rPr>
        <w:t>3.3.5</w:t>
      </w:r>
      <w:r w:rsidRPr="00AB4DCC">
        <w:rPr>
          <w:lang w:val="fr-FR"/>
        </w:rPr>
        <w:tab/>
        <w:t>Identification des unités</w:t>
      </w:r>
    </w:p>
    <w:p w14:paraId="7C097336" w14:textId="6BFA973C" w:rsidR="0037414E" w:rsidRPr="00AB4DCC" w:rsidRDefault="0037414E" w:rsidP="0037414E">
      <w:pPr>
        <w:pStyle w:val="SingleTxtG"/>
        <w:ind w:left="2268"/>
        <w:rPr>
          <w:lang w:val="fr-FR"/>
        </w:rPr>
      </w:pPr>
      <w:r w:rsidRPr="00AB4DCC">
        <w:rPr>
          <w:lang w:val="fr-FR"/>
        </w:rPr>
        <w:t>Il doit être possible d’identifier de manière claire et sans ambiguïté chaque unité (au moyen, par exemple, d’un marquage pour le matériel et d’un marquage ou d’un signal informatique pour les logiciels), de façon à faire correspondre le matériel et le dossier d’information.</w:t>
      </w:r>
    </w:p>
    <w:p w14:paraId="1195CA38" w14:textId="0788C453" w:rsidR="0037414E" w:rsidRPr="00AB4DCC" w:rsidRDefault="0037414E" w:rsidP="0037414E">
      <w:pPr>
        <w:pStyle w:val="SingleTxtG"/>
        <w:ind w:left="2268"/>
        <w:rPr>
          <w:lang w:val="fr-FR"/>
        </w:rPr>
      </w:pPr>
      <w:r w:rsidRPr="00AB4DCC">
        <w:rPr>
          <w:lang w:val="fr-FR"/>
        </w:rPr>
        <w:t>Lorsque des fonctions sont combinées au sein d’une même unité, voire d’un même ordinateur, mais sont indiquées dans plusieurs blocs au sein d’un schéma fonctionnel pour plus de clarté et de commodité, on ne doit utiliser qu’une seule marque d’identification du matériel. Le constructeur doit, en utilisant cette marque d’identification, confirmer que le matériel fourni est conforme au document correspondant.</w:t>
      </w:r>
    </w:p>
    <w:p w14:paraId="3A7B8A9B" w14:textId="77777777" w:rsidR="0037414E" w:rsidRPr="00AB4DCC" w:rsidRDefault="0037414E" w:rsidP="00E201F8">
      <w:pPr>
        <w:pStyle w:val="SingleTxtG"/>
        <w:ind w:left="2268" w:hanging="1134"/>
        <w:rPr>
          <w:lang w:val="fr-FR"/>
        </w:rPr>
      </w:pPr>
      <w:r w:rsidRPr="00AB4DCC">
        <w:rPr>
          <w:lang w:val="fr-FR"/>
        </w:rPr>
        <w:t>3.3.5.1</w:t>
      </w:r>
      <w:r w:rsidRPr="00AB4DCC">
        <w:rPr>
          <w:lang w:val="fr-FR"/>
        </w:rPr>
        <w:tab/>
        <w:t>La marque d’identification renseigne sur la version du matériel et du logiciel</w:t>
      </w:r>
      <w:r>
        <w:rPr>
          <w:lang w:val="fr-FR"/>
        </w:rPr>
        <w:t> ;</w:t>
      </w:r>
      <w:r w:rsidRPr="00AB4DCC">
        <w:rPr>
          <w:lang w:val="fr-FR"/>
        </w:rPr>
        <w:t xml:space="preserve"> si cette dernière version change de façon à altérer la fonction de l’unité au regard du présent Règlement, cette marque d’identification doit également être modifiée.</w:t>
      </w:r>
    </w:p>
    <w:p w14:paraId="308121FE" w14:textId="77777777" w:rsidR="0037414E" w:rsidRPr="00AB4DCC" w:rsidRDefault="0037414E" w:rsidP="00E201F8">
      <w:pPr>
        <w:pStyle w:val="SingleTxtG"/>
        <w:ind w:left="2268" w:hanging="1134"/>
        <w:rPr>
          <w:lang w:val="fr-FR"/>
        </w:rPr>
      </w:pPr>
      <w:r w:rsidRPr="00AB4DCC">
        <w:rPr>
          <w:lang w:val="fr-FR"/>
        </w:rPr>
        <w:t>3.4</w:t>
      </w:r>
      <w:r w:rsidRPr="00AB4DCC">
        <w:rPr>
          <w:lang w:val="fr-FR"/>
        </w:rPr>
        <w:tab/>
        <w:t>Concept de sécurité du constructeur</w:t>
      </w:r>
    </w:p>
    <w:p w14:paraId="6501E443" w14:textId="6E73CBAB" w:rsidR="0037414E" w:rsidRPr="00AB4DCC" w:rsidRDefault="0037414E" w:rsidP="00E201F8">
      <w:pPr>
        <w:pStyle w:val="SingleTxtG"/>
        <w:ind w:left="2268" w:hanging="1134"/>
        <w:rPr>
          <w:lang w:val="fr-FR"/>
        </w:rPr>
      </w:pPr>
      <w:r w:rsidRPr="00AB4DCC">
        <w:rPr>
          <w:lang w:val="fr-FR"/>
        </w:rPr>
        <w:t>3.4.1</w:t>
      </w:r>
      <w:r w:rsidRPr="00AB4DCC">
        <w:rPr>
          <w:lang w:val="fr-FR"/>
        </w:rPr>
        <w:tab/>
        <w:t xml:space="preserve">Le constructeur doit fournir une déclaration affirmant que la stratégie choisie pour réaliser les objectifs du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sidRPr="00AB4DCC">
        <w:rPr>
          <w:lang w:val="fr-FR"/>
        </w:rPr>
        <w:t xml:space="preserve"> ne compromettra pas, en l’absence de défaillances, le fonctionnement du véhicule.</w:t>
      </w:r>
    </w:p>
    <w:p w14:paraId="149EDA20" w14:textId="5DC7AF0A" w:rsidR="0037414E" w:rsidRPr="00AB4DCC" w:rsidRDefault="0037414E" w:rsidP="00E201F8">
      <w:pPr>
        <w:pStyle w:val="SingleTxtG"/>
        <w:ind w:left="2268" w:hanging="1134"/>
        <w:rPr>
          <w:lang w:val="fr-FR"/>
        </w:rPr>
      </w:pPr>
      <w:r w:rsidRPr="00AB4DCC">
        <w:rPr>
          <w:lang w:val="fr-FR"/>
        </w:rPr>
        <w:t>3.4.2</w:t>
      </w:r>
      <w:r w:rsidRPr="00AB4DCC">
        <w:rPr>
          <w:lang w:val="fr-FR"/>
        </w:rPr>
        <w:tab/>
        <w:t xml:space="preserve">En ce qui concerne le logiciel employé dans le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sidRPr="00AB4DCC">
        <w:rPr>
          <w:lang w:val="fr-FR"/>
        </w:rPr>
        <w:t>, il convient d’en expliquer la configuration et de définir les méthodes et outils de conception utilisés. Le constructeur doit démontrer, preuves à l’appui, comment a été déterminée la réalisation de la logique du système, durant la conception et la mise au point.</w:t>
      </w:r>
    </w:p>
    <w:p w14:paraId="2D22B3CD" w14:textId="6A41D370" w:rsidR="0037414E" w:rsidRPr="00AB4DCC" w:rsidRDefault="0037414E" w:rsidP="00E201F8">
      <w:pPr>
        <w:pStyle w:val="SingleTxtG"/>
        <w:ind w:left="2268" w:hanging="1134"/>
        <w:rPr>
          <w:lang w:val="fr-FR"/>
        </w:rPr>
      </w:pPr>
      <w:r w:rsidRPr="00AB4DCC">
        <w:rPr>
          <w:lang w:val="fr-FR"/>
        </w:rPr>
        <w:t>3.4.3</w:t>
      </w:r>
      <w:r w:rsidRPr="00AB4DCC">
        <w:rPr>
          <w:lang w:val="fr-FR"/>
        </w:rPr>
        <w:tab/>
        <w:t xml:space="preserve">Le constructeur doit fournir au service technique une explication des prescriptions générales appliquées dans le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sidRPr="00AB4DCC">
        <w:rPr>
          <w:lang w:val="fr-FR"/>
        </w:rPr>
        <w:t xml:space="preserve"> pour assurer un fonctionnement en cas de défaillance. Les prescriptions générales possibles en cas de défaillance du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sidRPr="00AB4DCC">
        <w:rPr>
          <w:lang w:val="fr-FR"/>
        </w:rPr>
        <w:t xml:space="preserve"> sont par exemple les suivantes</w:t>
      </w:r>
      <w:r>
        <w:rPr>
          <w:lang w:val="fr-FR"/>
        </w:rPr>
        <w:t> :</w:t>
      </w:r>
    </w:p>
    <w:p w14:paraId="27587F77" w14:textId="77777777" w:rsidR="0037414E" w:rsidRPr="00AB4DCC" w:rsidRDefault="0037414E" w:rsidP="00E201F8">
      <w:pPr>
        <w:pStyle w:val="SingleTxtG"/>
        <w:ind w:left="2835" w:hanging="567"/>
        <w:rPr>
          <w:rFonts w:eastAsia="Yu Mincho"/>
          <w:lang w:val="fr-FR"/>
        </w:rPr>
      </w:pPr>
      <w:r w:rsidRPr="00AB4DCC">
        <w:rPr>
          <w:lang w:val="fr-FR"/>
        </w:rPr>
        <w:t>a)</w:t>
      </w:r>
      <w:r w:rsidRPr="00AB4DCC">
        <w:rPr>
          <w:lang w:val="fr-FR"/>
        </w:rPr>
        <w:tab/>
        <w:t>Le retour à un fonctionnement basé sur un système partiel</w:t>
      </w:r>
      <w:r>
        <w:rPr>
          <w:lang w:val="fr-FR"/>
        </w:rPr>
        <w:t> ;</w:t>
      </w:r>
    </w:p>
    <w:p w14:paraId="091EB05B" w14:textId="77777777" w:rsidR="0037414E" w:rsidRPr="00AB4DCC" w:rsidRDefault="0037414E" w:rsidP="00E201F8">
      <w:pPr>
        <w:pStyle w:val="SingleTxtG"/>
        <w:ind w:left="2835" w:hanging="567"/>
        <w:rPr>
          <w:rFonts w:eastAsia="Yu Mincho"/>
          <w:lang w:val="fr-FR"/>
        </w:rPr>
      </w:pPr>
      <w:r w:rsidRPr="00AB4DCC">
        <w:rPr>
          <w:lang w:val="fr-FR"/>
        </w:rPr>
        <w:t>b)</w:t>
      </w:r>
      <w:r w:rsidRPr="00AB4DCC">
        <w:rPr>
          <w:lang w:val="fr-FR"/>
        </w:rPr>
        <w:tab/>
        <w:t>Le passage à un système de secours distinct</w:t>
      </w:r>
      <w:r>
        <w:rPr>
          <w:lang w:val="fr-FR"/>
        </w:rPr>
        <w:t> ;</w:t>
      </w:r>
    </w:p>
    <w:p w14:paraId="79604868" w14:textId="77777777" w:rsidR="0037414E" w:rsidRPr="00AB4DCC" w:rsidRDefault="0037414E" w:rsidP="00E201F8">
      <w:pPr>
        <w:pStyle w:val="SingleTxtG"/>
        <w:ind w:left="2835" w:hanging="567"/>
        <w:rPr>
          <w:rFonts w:eastAsia="Yu Mincho"/>
          <w:lang w:val="fr-FR"/>
        </w:rPr>
      </w:pPr>
      <w:r w:rsidRPr="00AB4DCC">
        <w:rPr>
          <w:lang w:val="fr-FR"/>
        </w:rPr>
        <w:t>c)</w:t>
      </w:r>
      <w:r w:rsidRPr="00AB4DCC">
        <w:rPr>
          <w:lang w:val="fr-FR"/>
        </w:rPr>
        <w:tab/>
        <w:t>L’interruption de la fonction supérieure.</w:t>
      </w:r>
    </w:p>
    <w:p w14:paraId="7DC6A434" w14:textId="4FBF8232" w:rsidR="0037414E" w:rsidRPr="00AB4DCC" w:rsidRDefault="0037414E" w:rsidP="0037414E">
      <w:pPr>
        <w:pStyle w:val="SingleTxtG"/>
        <w:ind w:left="2268"/>
        <w:rPr>
          <w:lang w:val="fr-FR"/>
        </w:rPr>
      </w:pPr>
      <w:r w:rsidRPr="00AB4DCC">
        <w:rPr>
          <w:lang w:val="fr-FR"/>
        </w:rPr>
        <w:t xml:space="preserve">En cas de défaillance, le conducteur doit être averti, par exemple au moyen d’un signal ou d’un message. Lorsque le système n’est pas désactivé par le conducteur, notamment en tournant le contacteur d’allumage (démarrage) vers la position </w:t>
      </w:r>
      <w:r w:rsidR="00401B26" w:rsidRPr="00AB4DCC">
        <w:rPr>
          <w:lang w:val="fr-FR"/>
        </w:rPr>
        <w:t>«</w:t>
      </w:r>
      <w:r w:rsidR="00401B26">
        <w:rPr>
          <w:lang w:val="fr-FR"/>
        </w:rPr>
        <w:t> </w:t>
      </w:r>
      <w:r w:rsidRPr="00AB4DCC">
        <w:rPr>
          <w:lang w:val="fr-FR"/>
        </w:rPr>
        <w:t>off</w:t>
      </w:r>
      <w:r w:rsidR="00401B26">
        <w:rPr>
          <w:lang w:val="fr-FR"/>
        </w:rPr>
        <w:t> </w:t>
      </w:r>
      <w:r w:rsidR="00401B26" w:rsidRPr="00AB4DCC">
        <w:rPr>
          <w:lang w:val="fr-FR"/>
        </w:rPr>
        <w:t>»</w:t>
      </w:r>
      <w:r w:rsidRPr="00AB4DCC">
        <w:rPr>
          <w:lang w:val="fr-FR"/>
        </w:rPr>
        <w:t xml:space="preserve"> ou en coupant cette fonction particulière s’il existe un contacteur spécial à cet effet, l’avertissement doit durer aussi longtemps que persiste la défaillance.</w:t>
      </w:r>
    </w:p>
    <w:p w14:paraId="48966AC8" w14:textId="77777777" w:rsidR="0037414E" w:rsidRPr="00AB4DCC" w:rsidRDefault="0037414E" w:rsidP="00E201F8">
      <w:pPr>
        <w:pStyle w:val="SingleTxtG"/>
        <w:ind w:left="2268" w:hanging="1134"/>
        <w:rPr>
          <w:lang w:val="fr-FR"/>
        </w:rPr>
      </w:pPr>
      <w:r w:rsidRPr="00AB4DCC">
        <w:rPr>
          <w:lang w:val="fr-FR"/>
        </w:rPr>
        <w:t>3.4.3.1</w:t>
      </w:r>
      <w:r w:rsidRPr="00AB4DCC">
        <w:rPr>
          <w:lang w:val="fr-FR"/>
        </w:rPr>
        <w:tab/>
        <w:t>Lorsque l’option choisie fait appel à un mode de fonctionnement partiel dans le cas de certaines défaillances, celles-ci doivent alors être indiquées et les limites d’efficacité qui en résultent doivent être définies.</w:t>
      </w:r>
    </w:p>
    <w:p w14:paraId="4D8B594A" w14:textId="77777777" w:rsidR="0037414E" w:rsidRPr="00AB4DCC" w:rsidRDefault="0037414E" w:rsidP="00E201F8">
      <w:pPr>
        <w:pStyle w:val="SingleTxtG"/>
        <w:ind w:left="2268" w:hanging="1134"/>
        <w:rPr>
          <w:lang w:val="fr-FR"/>
        </w:rPr>
      </w:pPr>
      <w:r w:rsidRPr="00AB4DCC">
        <w:rPr>
          <w:lang w:val="fr-FR"/>
        </w:rPr>
        <w:t>3.4.3.2</w:t>
      </w:r>
      <w:r w:rsidRPr="00AB4DCC">
        <w:rPr>
          <w:lang w:val="fr-FR"/>
        </w:rPr>
        <w:tab/>
        <w:t>Lorsque l’option choisie fait appel à une deuxième méthode (de secours) pour réaliser l’objectif du système de commande du véhicule, les principes du mécanisme de changement, la logique et le niveau de redondance ainsi que tout dispositif de vérification intégré doivent être expliqués et les limites d’efficacité qui en résultent doivent être définies.</w:t>
      </w:r>
    </w:p>
    <w:p w14:paraId="75ED5587" w14:textId="77777777" w:rsidR="0037414E" w:rsidRPr="00AB4DCC" w:rsidRDefault="0037414E" w:rsidP="00E201F8">
      <w:pPr>
        <w:pStyle w:val="SingleTxtG"/>
        <w:ind w:left="2268" w:hanging="1134"/>
        <w:rPr>
          <w:lang w:val="fr-FR"/>
        </w:rPr>
      </w:pPr>
      <w:r w:rsidRPr="00AB4DCC">
        <w:rPr>
          <w:lang w:val="fr-FR"/>
        </w:rPr>
        <w:t>3.4.3.3</w:t>
      </w:r>
      <w:r w:rsidRPr="00AB4DCC">
        <w:rPr>
          <w:lang w:val="fr-FR"/>
        </w:rPr>
        <w:tab/>
        <w:t>Lorsque l’option choisie fait appel à l’élimination de la fonction supérieure, tous les signaux de contrôle du rendement associés à cette fonction doivent être bloqués, de manière à limiter les perturbations transitoires.</w:t>
      </w:r>
    </w:p>
    <w:p w14:paraId="2CF72098" w14:textId="77777777" w:rsidR="0037414E" w:rsidRPr="00AB4DCC" w:rsidRDefault="0037414E" w:rsidP="00E201F8">
      <w:pPr>
        <w:pStyle w:val="SingleTxtG"/>
        <w:ind w:left="2268" w:hanging="1134"/>
        <w:rPr>
          <w:lang w:val="fr-FR"/>
        </w:rPr>
      </w:pPr>
      <w:r w:rsidRPr="00AB4DCC">
        <w:rPr>
          <w:lang w:val="fr-FR"/>
        </w:rPr>
        <w:t>3.4.4</w:t>
      </w:r>
      <w:r w:rsidRPr="00AB4DCC">
        <w:rPr>
          <w:lang w:val="fr-FR"/>
        </w:rPr>
        <w:tab/>
        <w:t>Le dossier d’information doit être accompagné d’une analyse qui montre, en termes généraux, comment le système se comportera lorsque se présentera l’un des risques ou surviendra l’une des défaillances ayant une incidence sur l’efficacité ou la sécurité de la maîtrise du véhicule.</w:t>
      </w:r>
    </w:p>
    <w:p w14:paraId="1FAA2723" w14:textId="3F6266D4" w:rsidR="0037414E" w:rsidRPr="00AB4DCC" w:rsidRDefault="0037414E" w:rsidP="0037414E">
      <w:pPr>
        <w:pStyle w:val="SingleTxtG"/>
        <w:ind w:left="2268"/>
        <w:rPr>
          <w:lang w:val="fr-FR"/>
        </w:rPr>
      </w:pPr>
      <w:r w:rsidRPr="00AB4DCC">
        <w:rPr>
          <w:lang w:val="fr-FR"/>
        </w:rPr>
        <w:t>L’approche (les approches) analytique(s) choisie</w:t>
      </w:r>
      <w:r w:rsidR="009C1E40">
        <w:rPr>
          <w:lang w:val="fr-FR"/>
        </w:rPr>
        <w:t>(</w:t>
      </w:r>
      <w:r w:rsidRPr="00AB4DCC">
        <w:rPr>
          <w:lang w:val="fr-FR"/>
        </w:rPr>
        <w:t>s</w:t>
      </w:r>
      <w:r w:rsidR="009C1E40">
        <w:rPr>
          <w:lang w:val="fr-FR"/>
        </w:rPr>
        <w:t>)</w:t>
      </w:r>
      <w:r w:rsidRPr="00AB4DCC">
        <w:rPr>
          <w:lang w:val="fr-FR"/>
        </w:rPr>
        <w:t xml:space="preserve"> </w:t>
      </w:r>
      <w:proofErr w:type="spellStart"/>
      <w:r w:rsidRPr="00AB4DCC">
        <w:rPr>
          <w:lang w:val="fr-FR"/>
        </w:rPr>
        <w:t>doi</w:t>
      </w:r>
      <w:proofErr w:type="spellEnd"/>
      <w:r w:rsidR="009C1E40">
        <w:rPr>
          <w:lang w:val="fr-FR"/>
        </w:rPr>
        <w:t>(</w:t>
      </w:r>
      <w:proofErr w:type="spellStart"/>
      <w:r w:rsidRPr="00AB4DCC">
        <w:rPr>
          <w:lang w:val="fr-FR"/>
        </w:rPr>
        <w:t>ven</w:t>
      </w:r>
      <w:proofErr w:type="spellEnd"/>
      <w:r w:rsidR="009C1E40">
        <w:rPr>
          <w:lang w:val="fr-FR"/>
        </w:rPr>
        <w:t>)</w:t>
      </w:r>
      <w:r w:rsidRPr="00AB4DCC">
        <w:rPr>
          <w:lang w:val="fr-FR"/>
        </w:rPr>
        <w:t>t être mise</w:t>
      </w:r>
      <w:r w:rsidR="009C1E40">
        <w:rPr>
          <w:lang w:val="fr-FR"/>
        </w:rPr>
        <w:t>(</w:t>
      </w:r>
      <w:r w:rsidRPr="00AB4DCC">
        <w:rPr>
          <w:lang w:val="fr-FR"/>
        </w:rPr>
        <w:t>s</w:t>
      </w:r>
      <w:r w:rsidR="009C1E40">
        <w:rPr>
          <w:lang w:val="fr-FR"/>
        </w:rPr>
        <w:t>)</w:t>
      </w:r>
      <w:r w:rsidRPr="00AB4DCC">
        <w:rPr>
          <w:lang w:val="fr-FR"/>
        </w:rPr>
        <w:t xml:space="preserve"> au point et gérée</w:t>
      </w:r>
      <w:r w:rsidR="009C1E40">
        <w:rPr>
          <w:lang w:val="fr-FR"/>
        </w:rPr>
        <w:t>(</w:t>
      </w:r>
      <w:r w:rsidRPr="00AB4DCC">
        <w:rPr>
          <w:lang w:val="fr-FR"/>
        </w:rPr>
        <w:t>s</w:t>
      </w:r>
      <w:r w:rsidR="009C1E40">
        <w:rPr>
          <w:lang w:val="fr-FR"/>
        </w:rPr>
        <w:t>)</w:t>
      </w:r>
      <w:r w:rsidRPr="00AB4DCC">
        <w:rPr>
          <w:lang w:val="fr-FR"/>
        </w:rPr>
        <w:t xml:space="preserve"> par le constructeur et soumise</w:t>
      </w:r>
      <w:r w:rsidR="009C1E40">
        <w:rPr>
          <w:lang w:val="fr-FR"/>
        </w:rPr>
        <w:t>(</w:t>
      </w:r>
      <w:r w:rsidRPr="00AB4DCC">
        <w:rPr>
          <w:lang w:val="fr-FR"/>
        </w:rPr>
        <w:t>s</w:t>
      </w:r>
      <w:r w:rsidR="009C1E40">
        <w:rPr>
          <w:lang w:val="fr-FR"/>
        </w:rPr>
        <w:t>)</w:t>
      </w:r>
      <w:r w:rsidRPr="00AB4DCC">
        <w:rPr>
          <w:lang w:val="fr-FR"/>
        </w:rPr>
        <w:t xml:space="preserve"> à l’inspection du service technique au moment de l’homologation de type.</w:t>
      </w:r>
    </w:p>
    <w:p w14:paraId="5DAC1ADE" w14:textId="77777777" w:rsidR="0037414E" w:rsidRPr="00AB4DCC" w:rsidRDefault="0037414E" w:rsidP="0037414E">
      <w:pPr>
        <w:pStyle w:val="SingleTxtG"/>
        <w:ind w:left="2268"/>
        <w:rPr>
          <w:lang w:val="fr-FR"/>
        </w:rPr>
      </w:pPr>
      <w:r w:rsidRPr="00AB4DCC">
        <w:rPr>
          <w:lang w:val="fr-FR"/>
        </w:rPr>
        <w:t>Le service technique doit évaluer la mise en œuvre de l’approche (des approches) analytique(s). Cette vérification doit porter sur les éléments suivants</w:t>
      </w:r>
      <w:r>
        <w:rPr>
          <w:lang w:val="fr-FR"/>
        </w:rPr>
        <w:t> :</w:t>
      </w:r>
    </w:p>
    <w:p w14:paraId="2E8F967C" w14:textId="79C3597A" w:rsidR="0037414E" w:rsidRPr="00AB4DCC" w:rsidRDefault="0037414E" w:rsidP="00E201F8">
      <w:pPr>
        <w:pStyle w:val="SingleTxtG"/>
        <w:ind w:left="2835" w:hanging="567"/>
        <w:rPr>
          <w:lang w:val="fr-FR"/>
        </w:rPr>
      </w:pPr>
      <w:r w:rsidRPr="00AB4DCC">
        <w:rPr>
          <w:lang w:val="fr-FR"/>
        </w:rPr>
        <w:t>a)</w:t>
      </w:r>
      <w:r w:rsidRPr="00AB4DCC">
        <w:rPr>
          <w:lang w:val="fr-FR"/>
        </w:rPr>
        <w:tab/>
        <w:t>Vérification de l’approche en matière de sécurité au niveau du concept (véhicule) et confirmation que les interactions avec les autres systèmes du véhicule sont prises en compte. Pour ce faire, il faut s’appuyer sur une étude des risques adaptée aux considérations de sécurité du</w:t>
      </w:r>
      <w:r w:rsidR="009C1E40">
        <w:rPr>
          <w:lang w:val="fr-FR"/>
        </w:rPr>
        <w:t> </w:t>
      </w:r>
      <w:r w:rsidRPr="00AB4DCC">
        <w:rPr>
          <w:lang w:val="fr-FR"/>
        </w:rPr>
        <w:t>système</w:t>
      </w:r>
      <w:r>
        <w:rPr>
          <w:lang w:val="fr-FR"/>
        </w:rPr>
        <w:t> ;</w:t>
      </w:r>
    </w:p>
    <w:p w14:paraId="558CD2BC" w14:textId="77777777" w:rsidR="0037414E" w:rsidRPr="00AB4DCC" w:rsidRDefault="0037414E" w:rsidP="00E201F8">
      <w:pPr>
        <w:pStyle w:val="SingleTxtG"/>
        <w:ind w:left="2835" w:hanging="567"/>
        <w:rPr>
          <w:lang w:val="fr-FR"/>
        </w:rPr>
      </w:pPr>
      <w:r w:rsidRPr="00AB4DCC">
        <w:rPr>
          <w:lang w:val="fr-FR"/>
        </w:rPr>
        <w:t>b)</w:t>
      </w:r>
      <w:r w:rsidRPr="00AB4DCC">
        <w:rPr>
          <w:lang w:val="fr-FR"/>
        </w:rPr>
        <w:tab/>
        <w:t>Vérification de la stratégie en matière de sécurité au niveau du système. Pour ce faire, il faut s’appuyer sur une analyse des modes de défaillance et de leurs effets, sur une analyse par arbre de défaillance ou sur toute procédure similaire adaptée aux considérations de sécurité du système</w:t>
      </w:r>
      <w:r>
        <w:rPr>
          <w:lang w:val="fr-FR"/>
        </w:rPr>
        <w:t> ;</w:t>
      </w:r>
    </w:p>
    <w:p w14:paraId="167D5F46" w14:textId="756D7B4F" w:rsidR="0037414E" w:rsidRPr="00AB4DCC" w:rsidRDefault="0037414E" w:rsidP="00E201F8">
      <w:pPr>
        <w:pStyle w:val="SingleTxtG"/>
        <w:ind w:left="2835" w:hanging="567"/>
        <w:rPr>
          <w:lang w:val="fr-FR"/>
        </w:rPr>
      </w:pPr>
      <w:r w:rsidRPr="00AB4DCC">
        <w:rPr>
          <w:lang w:val="fr-FR"/>
        </w:rPr>
        <w:t>c)</w:t>
      </w:r>
      <w:r w:rsidRPr="00AB4DCC">
        <w:rPr>
          <w:lang w:val="fr-FR"/>
        </w:rPr>
        <w:tab/>
        <w:t xml:space="preserve">Vérification des plans et des résultats de validation. Pour ce faire, il faut procéder par exemple à des essais de type </w:t>
      </w:r>
      <w:r w:rsidR="00401B26" w:rsidRPr="00AB4DCC">
        <w:rPr>
          <w:lang w:val="fr-FR"/>
        </w:rPr>
        <w:t>«</w:t>
      </w:r>
      <w:r w:rsidR="00401B26">
        <w:rPr>
          <w:lang w:val="fr-FR"/>
        </w:rPr>
        <w:t> </w:t>
      </w:r>
      <w:r w:rsidRPr="00AB4DCC">
        <w:rPr>
          <w:lang w:val="fr-FR"/>
        </w:rPr>
        <w:t>matériel incorporé</w:t>
      </w:r>
      <w:r w:rsidR="00401B26">
        <w:rPr>
          <w:lang w:val="fr-FR"/>
        </w:rPr>
        <w:t> </w:t>
      </w:r>
      <w:r w:rsidR="00401B26" w:rsidRPr="00AB4DCC">
        <w:rPr>
          <w:lang w:val="fr-FR"/>
        </w:rPr>
        <w:t>»</w:t>
      </w:r>
      <w:r w:rsidRPr="00AB4DCC">
        <w:rPr>
          <w:lang w:val="fr-FR"/>
        </w:rPr>
        <w:t xml:space="preserve"> (</w:t>
      </w:r>
      <w:r w:rsidRPr="00E201F8">
        <w:rPr>
          <w:lang w:val="en-GB"/>
        </w:rPr>
        <w:t>hardware in the loop</w:t>
      </w:r>
      <w:r w:rsidRPr="00AB4DCC">
        <w:rPr>
          <w:lang w:val="fr-FR"/>
        </w:rPr>
        <w:t xml:space="preserve"> (</w:t>
      </w:r>
      <w:r w:rsidRPr="009C1E40">
        <w:rPr>
          <w:lang w:val="en-GB"/>
        </w:rPr>
        <w:t>HIL</w:t>
      </w:r>
      <w:r w:rsidRPr="00AB4DCC">
        <w:rPr>
          <w:lang w:val="fr-FR"/>
        </w:rPr>
        <w:t>)) ou à des essais opérationnels sur route, ou avoir recours à toute autre méthode adaptée à la validation.</w:t>
      </w:r>
    </w:p>
    <w:p w14:paraId="62BCC643" w14:textId="77777777" w:rsidR="0037414E" w:rsidRPr="00AB4DCC" w:rsidRDefault="0037414E" w:rsidP="0037414E">
      <w:pPr>
        <w:pStyle w:val="SingleTxtG"/>
        <w:ind w:left="2268"/>
        <w:rPr>
          <w:lang w:val="fr-FR"/>
        </w:rPr>
      </w:pPr>
      <w:r w:rsidRPr="00AB4DCC">
        <w:rPr>
          <w:lang w:val="fr-FR"/>
        </w:rPr>
        <w:t>L’évaluation doit comprendre des vérifications de risques et de défaillances sélectionnés par le service technique pour s’assurer que les explications relatives au concept de sécurité fournies par le constructeur sont compréhensibles et logiques et que les plans de validation sont adaptés et ont été appliqués intégralement.</w:t>
      </w:r>
    </w:p>
    <w:p w14:paraId="7F0EDD44" w14:textId="77777777" w:rsidR="0037414E" w:rsidRPr="00AB4DCC" w:rsidRDefault="0037414E" w:rsidP="0037414E">
      <w:pPr>
        <w:pStyle w:val="SingleTxtG"/>
        <w:ind w:left="2268"/>
        <w:rPr>
          <w:lang w:val="fr-FR"/>
        </w:rPr>
      </w:pPr>
      <w:r w:rsidRPr="00AB4DCC">
        <w:rPr>
          <w:lang w:val="fr-FR"/>
        </w:rPr>
        <w:t>Le service technique peut réaliser ou faire réaliser les essais visés au paragraphe 4 pour vérifier le concept de sécurité.</w:t>
      </w:r>
    </w:p>
    <w:p w14:paraId="784B6D3D" w14:textId="77777777" w:rsidR="0037414E" w:rsidRPr="00AB4DCC" w:rsidRDefault="0037414E" w:rsidP="00E201F8">
      <w:pPr>
        <w:pStyle w:val="SingleTxtG"/>
        <w:ind w:left="2268" w:hanging="1134"/>
        <w:rPr>
          <w:lang w:val="fr-FR"/>
        </w:rPr>
      </w:pPr>
      <w:r w:rsidRPr="00AB4DCC">
        <w:rPr>
          <w:lang w:val="fr-FR"/>
        </w:rPr>
        <w:t>3.4.4.1</w:t>
      </w:r>
      <w:r w:rsidRPr="00AB4DCC">
        <w:rPr>
          <w:lang w:val="fr-FR"/>
        </w:rPr>
        <w:tab/>
        <w:t>Le dossier d’information doit énumérer les paramètres faisant l’objet d’une surveillance et définir, pour chaque type de défaillance énoncé au paragraphe 3.4.4 de la présente annexe, le signal d’avertissement à donner au conducteur et/ou au personnel chargé du service ou de l’inspection technique.</w:t>
      </w:r>
    </w:p>
    <w:p w14:paraId="00AAC0F7" w14:textId="583B9044" w:rsidR="0037414E" w:rsidRPr="00AB4DCC" w:rsidRDefault="0037414E" w:rsidP="00E201F8">
      <w:pPr>
        <w:pStyle w:val="SingleTxtG"/>
        <w:ind w:left="2268" w:hanging="1134"/>
        <w:rPr>
          <w:lang w:val="fr-FR"/>
        </w:rPr>
      </w:pPr>
      <w:r w:rsidRPr="00AB4DCC">
        <w:rPr>
          <w:lang w:val="fr-FR"/>
        </w:rPr>
        <w:t>3.4.4.2</w:t>
      </w:r>
      <w:r w:rsidRPr="00AB4DCC">
        <w:rPr>
          <w:lang w:val="fr-FR"/>
        </w:rPr>
        <w:tab/>
        <w:t xml:space="preserve">Ce dossier d’information doit décrire les mesures prises pour garantir que le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sidRPr="00AB4DCC">
        <w:rPr>
          <w:lang w:val="fr-FR"/>
        </w:rPr>
        <w:t xml:space="preserve"> ne nuit en rien à la sécurité d’utilisation du véhicule lorsque le fonctionnement du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sidRPr="00AB4DCC">
        <w:rPr>
          <w:lang w:val="fr-FR"/>
        </w:rPr>
        <w:t xml:space="preserve"> est affecté par des facteurs extérieurs tels que les conditions climatiques, la température, la pénétration de poussière ou d’eau, ou l’accumulation de glace.</w:t>
      </w:r>
    </w:p>
    <w:p w14:paraId="31B96453" w14:textId="77777777" w:rsidR="0037414E" w:rsidRPr="00AB4DCC" w:rsidRDefault="0037414E" w:rsidP="0037414E">
      <w:pPr>
        <w:pStyle w:val="SingleTxtG"/>
        <w:ind w:left="2268" w:hanging="1134"/>
        <w:jc w:val="left"/>
        <w:rPr>
          <w:b/>
          <w:sz w:val="28"/>
          <w:szCs w:val="28"/>
          <w:lang w:val="fr-FR"/>
        </w:rPr>
      </w:pPr>
      <w:r w:rsidRPr="00AB4DCC">
        <w:rPr>
          <w:b/>
          <w:bCs/>
          <w:sz w:val="28"/>
          <w:szCs w:val="28"/>
          <w:lang w:val="fr-FR"/>
        </w:rPr>
        <w:t>4.</w:t>
      </w:r>
      <w:r w:rsidRPr="00AB4DCC">
        <w:rPr>
          <w:sz w:val="28"/>
          <w:szCs w:val="28"/>
          <w:lang w:val="fr-FR"/>
        </w:rPr>
        <w:tab/>
      </w:r>
      <w:r w:rsidRPr="00AB4DCC">
        <w:rPr>
          <w:b/>
          <w:bCs/>
          <w:sz w:val="28"/>
          <w:szCs w:val="28"/>
          <w:lang w:val="fr-FR"/>
        </w:rPr>
        <w:t>Vérification et essai</w:t>
      </w:r>
    </w:p>
    <w:p w14:paraId="304A9E85" w14:textId="1182D078" w:rsidR="0037414E" w:rsidRPr="00AB4DCC" w:rsidRDefault="0037414E" w:rsidP="00E201F8">
      <w:pPr>
        <w:pStyle w:val="SingleTxtG"/>
        <w:ind w:left="2268" w:hanging="1134"/>
        <w:rPr>
          <w:lang w:val="fr-FR"/>
        </w:rPr>
      </w:pPr>
      <w:r w:rsidRPr="00AB4DCC">
        <w:rPr>
          <w:lang w:val="fr-FR"/>
        </w:rPr>
        <w:t>4.1</w:t>
      </w:r>
      <w:r w:rsidRPr="00AB4DCC">
        <w:rPr>
          <w:lang w:val="fr-FR"/>
        </w:rPr>
        <w:tab/>
        <w:t xml:space="preserve">Le fonctionnement du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sidRPr="00AB4DCC">
        <w:rPr>
          <w:lang w:val="fr-FR"/>
        </w:rPr>
        <w:t>, tel qu’il est exposé dans les documents requis au titre du paragraphe 3, doit être soumis aux essais suivants</w:t>
      </w:r>
      <w:r>
        <w:rPr>
          <w:lang w:val="fr-FR"/>
        </w:rPr>
        <w:t> :</w:t>
      </w:r>
    </w:p>
    <w:p w14:paraId="39B0158B" w14:textId="0682D4F0" w:rsidR="0037414E" w:rsidRPr="00AB4DCC" w:rsidRDefault="0037414E" w:rsidP="00E201F8">
      <w:pPr>
        <w:pStyle w:val="SingleTxtG"/>
        <w:ind w:left="2268" w:hanging="1134"/>
        <w:rPr>
          <w:lang w:val="fr-FR"/>
        </w:rPr>
      </w:pPr>
      <w:r w:rsidRPr="00AB4DCC">
        <w:rPr>
          <w:lang w:val="fr-FR"/>
        </w:rPr>
        <w:t>4.1.1</w:t>
      </w:r>
      <w:r w:rsidRPr="00AB4DCC">
        <w:rPr>
          <w:lang w:val="fr-FR"/>
        </w:rPr>
        <w:tab/>
        <w:t xml:space="preserve">Vérification du fonctionnement du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p>
    <w:p w14:paraId="333740B0" w14:textId="119AA079" w:rsidR="0037414E" w:rsidRPr="00AB4DCC" w:rsidRDefault="0037414E" w:rsidP="0037414E">
      <w:pPr>
        <w:pStyle w:val="SingleTxtG"/>
        <w:ind w:left="2268"/>
        <w:rPr>
          <w:lang w:val="fr-FR"/>
        </w:rPr>
      </w:pPr>
      <w:r w:rsidRPr="00AB4DCC">
        <w:rPr>
          <w:lang w:val="fr-FR"/>
        </w:rPr>
        <w:t xml:space="preserve">Le service technique doit vérifier le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sidRPr="00AB4DCC">
        <w:rPr>
          <w:lang w:val="fr-FR"/>
        </w:rPr>
        <w:t xml:space="preserve"> en l’absence de défaillances en procédant à des essais de certaines fonctions choisies parmi celles qu’a déclarées le constructeur conformément aux dispositions du paragraphe</w:t>
      </w:r>
      <w:r w:rsidR="00E201F8">
        <w:rPr>
          <w:lang w:val="fr-FR"/>
        </w:rPr>
        <w:t xml:space="preserve"> </w:t>
      </w:r>
      <w:r w:rsidRPr="00AB4DCC">
        <w:rPr>
          <w:lang w:val="fr-FR"/>
        </w:rPr>
        <w:t>3.2 ci</w:t>
      </w:r>
      <w:r w:rsidR="00E201F8">
        <w:rPr>
          <w:lang w:val="fr-FR"/>
        </w:rPr>
        <w:noBreakHyphen/>
      </w:r>
      <w:r w:rsidRPr="00AB4DCC">
        <w:rPr>
          <w:lang w:val="fr-FR"/>
        </w:rPr>
        <w:t>dessus.</w:t>
      </w:r>
    </w:p>
    <w:p w14:paraId="69B97128" w14:textId="77777777" w:rsidR="0037414E" w:rsidRPr="00AB4DCC" w:rsidRDefault="0037414E" w:rsidP="0037414E">
      <w:pPr>
        <w:pStyle w:val="SingleTxtG"/>
        <w:ind w:left="2268"/>
        <w:rPr>
          <w:lang w:val="fr-FR"/>
        </w:rPr>
      </w:pPr>
      <w:r w:rsidRPr="00AB4DCC">
        <w:rPr>
          <w:lang w:val="fr-FR"/>
        </w:rPr>
        <w:t>Pour les systèmes électroniques complexes, ces essais doivent prendre en compte différents cas de neutralisation d’une fonction déclarée.</w:t>
      </w:r>
    </w:p>
    <w:p w14:paraId="0A3707D7" w14:textId="77777777" w:rsidR="0037414E" w:rsidRPr="00AB4DCC" w:rsidRDefault="0037414E" w:rsidP="00E201F8">
      <w:pPr>
        <w:pStyle w:val="SingleTxtG"/>
        <w:keepNext/>
        <w:ind w:left="2268" w:hanging="1134"/>
        <w:rPr>
          <w:lang w:val="fr-FR"/>
        </w:rPr>
      </w:pPr>
      <w:r w:rsidRPr="00AB4DCC">
        <w:rPr>
          <w:lang w:val="fr-FR"/>
        </w:rPr>
        <w:t>4.1.2</w:t>
      </w:r>
      <w:r w:rsidRPr="00AB4DCC">
        <w:rPr>
          <w:lang w:val="fr-FR"/>
        </w:rPr>
        <w:tab/>
        <w:t>Vérification du concept de sécurité visé au paragraphe 3.4</w:t>
      </w:r>
    </w:p>
    <w:p w14:paraId="7C3483B1" w14:textId="2372C6D8" w:rsidR="0037414E" w:rsidRPr="00AB4DCC" w:rsidRDefault="0037414E" w:rsidP="0037414E">
      <w:pPr>
        <w:pStyle w:val="SingleTxtG"/>
        <w:ind w:left="2268"/>
        <w:rPr>
          <w:lang w:val="fr-FR"/>
        </w:rPr>
      </w:pPr>
      <w:r w:rsidRPr="00AB4DCC">
        <w:rPr>
          <w:lang w:val="fr-FR"/>
        </w:rPr>
        <w:t xml:space="preserve">La réaction du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sidRPr="00AB4DCC">
        <w:rPr>
          <w:lang w:val="fr-FR"/>
        </w:rPr>
        <w:t xml:space="preserve"> doit être vérifiée dans les conditions d’une défaillance de telle ou telle unité, en appliquant les signaux correspondant aux unités électriques ou aux éléments mécaniques afin de simuler les effets de défaillances internes à l’unité. Le service technique doit effectuer cette vérification sur au moins une unité mais ne doit pas vérifier la réaction du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sidRPr="00AB4DCC">
        <w:rPr>
          <w:lang w:val="fr-FR"/>
        </w:rPr>
        <w:t xml:space="preserve"> à la défaillance simultanée de plusieurs unités distinctes.</w:t>
      </w:r>
    </w:p>
    <w:p w14:paraId="05AD0D2C" w14:textId="63A3E3E8" w:rsidR="0037414E" w:rsidRPr="00AB4DCC" w:rsidRDefault="0037414E" w:rsidP="0037414E">
      <w:pPr>
        <w:pStyle w:val="SingleTxtG"/>
        <w:ind w:left="2268"/>
        <w:rPr>
          <w:lang w:val="fr-FR"/>
        </w:rPr>
      </w:pPr>
      <w:r w:rsidRPr="00AB4DCC">
        <w:rPr>
          <w:lang w:val="fr-FR"/>
        </w:rPr>
        <w:t>Le service technique doit s’assurer que ces essais portent notamment sur des éléments qui pourraient avoir une incidence sur le contrôle du véhicule et sur les informations de l’utilisateur (éléments relatifs à l’interface humain</w:t>
      </w:r>
      <w:r w:rsidR="00E201F8">
        <w:rPr>
          <w:lang w:val="fr-FR"/>
        </w:rPr>
        <w:noBreakHyphen/>
      </w:r>
      <w:r w:rsidRPr="00AB4DCC">
        <w:rPr>
          <w:lang w:val="fr-FR"/>
        </w:rPr>
        <w:t>machine).</w:t>
      </w:r>
    </w:p>
    <w:p w14:paraId="5ADF0BCD" w14:textId="77777777" w:rsidR="0037414E" w:rsidRPr="00AB4DCC" w:rsidRDefault="0037414E" w:rsidP="00E201F8">
      <w:pPr>
        <w:pStyle w:val="SingleTxtG"/>
        <w:ind w:left="2268" w:hanging="1134"/>
        <w:rPr>
          <w:lang w:val="fr-FR"/>
        </w:rPr>
      </w:pPr>
      <w:r w:rsidRPr="00AB4DCC">
        <w:rPr>
          <w:lang w:val="fr-FR"/>
        </w:rPr>
        <w:t>4.1.2.1</w:t>
      </w:r>
      <w:r w:rsidRPr="00AB4DCC">
        <w:rPr>
          <w:lang w:val="fr-FR"/>
        </w:rPr>
        <w:tab/>
        <w:t>Les résultats de la vérification doivent correspondre au récapitulatif circonstancié de l’analyse des défaillances, à un niveau d’incidence permettant de confirmer que la sécurité est suffisante, du point de vue du concept comme de l’exécution.</w:t>
      </w:r>
    </w:p>
    <w:p w14:paraId="39D4A7DE" w14:textId="77777777" w:rsidR="0037414E" w:rsidRPr="00AB4DCC" w:rsidRDefault="0037414E" w:rsidP="0037414E">
      <w:pPr>
        <w:pStyle w:val="SingleTxtG"/>
        <w:ind w:left="2268" w:hanging="1134"/>
        <w:jc w:val="left"/>
        <w:rPr>
          <w:b/>
          <w:sz w:val="28"/>
          <w:szCs w:val="28"/>
          <w:lang w:val="fr-FR"/>
        </w:rPr>
      </w:pPr>
      <w:r w:rsidRPr="00AB4DCC">
        <w:rPr>
          <w:b/>
          <w:bCs/>
          <w:sz w:val="28"/>
          <w:szCs w:val="28"/>
          <w:lang w:val="fr-FR"/>
        </w:rPr>
        <w:t>5.</w:t>
      </w:r>
      <w:r w:rsidRPr="00AB4DCC">
        <w:rPr>
          <w:sz w:val="28"/>
          <w:szCs w:val="28"/>
          <w:lang w:val="fr-FR"/>
        </w:rPr>
        <w:tab/>
      </w:r>
      <w:r w:rsidRPr="00AB4DCC">
        <w:rPr>
          <w:b/>
          <w:bCs/>
          <w:sz w:val="28"/>
          <w:szCs w:val="28"/>
          <w:lang w:val="fr-FR"/>
        </w:rPr>
        <w:t>Rapports établis par le service technique</w:t>
      </w:r>
    </w:p>
    <w:p w14:paraId="2E38B4CF" w14:textId="77777777" w:rsidR="0037414E" w:rsidRPr="00AB4DCC" w:rsidRDefault="0037414E" w:rsidP="0037414E">
      <w:pPr>
        <w:pStyle w:val="SingleTxtG"/>
        <w:ind w:left="2268"/>
        <w:rPr>
          <w:lang w:val="fr-FR"/>
        </w:rPr>
      </w:pPr>
      <w:r w:rsidRPr="00AB4DCC">
        <w:rPr>
          <w:lang w:val="fr-FR"/>
        </w:rPr>
        <w:t>Les rapports d’évaluation doivent être établis par le service technique de manière à permettre la traçabilité, par exemple en attribuant des codes aux versions des documents inspectés et en les inscrivant dans les registres du service concerné.</w:t>
      </w:r>
    </w:p>
    <w:p w14:paraId="507D35C6" w14:textId="25DF235F" w:rsidR="0037414E" w:rsidRDefault="0037414E" w:rsidP="0037414E">
      <w:pPr>
        <w:pStyle w:val="SingleTxtG"/>
        <w:ind w:left="2268"/>
        <w:rPr>
          <w:lang w:val="fr-FR"/>
        </w:rPr>
      </w:pPr>
      <w:r w:rsidRPr="00AB4DCC">
        <w:rPr>
          <w:lang w:val="fr-FR"/>
        </w:rPr>
        <w:tab/>
        <w:t>On trouvera dans l’appendice</w:t>
      </w:r>
      <w:r w:rsidR="00E201F8">
        <w:rPr>
          <w:lang w:val="fr-FR"/>
        </w:rPr>
        <w:t xml:space="preserve"> </w:t>
      </w:r>
      <w:r w:rsidRPr="00AB4DCC">
        <w:rPr>
          <w:lang w:val="fr-FR"/>
        </w:rPr>
        <w:t>1 de la présente annexe un modèle envisageable de fiche d’évaluation établie par un service technique à l’intention de l’autorité d’homologation de type.</w:t>
      </w:r>
    </w:p>
    <w:p w14:paraId="6E84DF31" w14:textId="77777777" w:rsidR="0037414E" w:rsidRDefault="0037414E" w:rsidP="00E201F8">
      <w:pPr>
        <w:pStyle w:val="SingleTxtG"/>
        <w:rPr>
          <w:lang w:val="fr-FR"/>
        </w:rPr>
      </w:pPr>
      <w:r>
        <w:rPr>
          <w:lang w:val="fr-FR"/>
        </w:rPr>
        <w:br w:type="page"/>
      </w:r>
    </w:p>
    <w:p w14:paraId="7A735B13" w14:textId="156F80F9" w:rsidR="0037414E" w:rsidRPr="00AB4DCC" w:rsidRDefault="0037414E" w:rsidP="00E201F8">
      <w:pPr>
        <w:pStyle w:val="HChG"/>
        <w:rPr>
          <w:lang w:val="fr-FR"/>
        </w:rPr>
      </w:pPr>
      <w:r w:rsidRPr="00AB4DCC">
        <w:rPr>
          <w:lang w:val="fr-FR"/>
        </w:rPr>
        <w:t xml:space="preserve">Annexe 3 </w:t>
      </w:r>
      <w:r>
        <w:rPr>
          <w:lang w:val="fr-FR"/>
        </w:rPr>
        <w:t>−</w:t>
      </w:r>
      <w:r w:rsidRPr="00AB4DCC">
        <w:rPr>
          <w:lang w:val="fr-FR"/>
        </w:rPr>
        <w:t xml:space="preserve"> Appendice 1</w:t>
      </w:r>
    </w:p>
    <w:p w14:paraId="3679E6E8" w14:textId="77777777" w:rsidR="0037414E" w:rsidRPr="00AB4DCC" w:rsidRDefault="0037414E" w:rsidP="009C1E40">
      <w:pPr>
        <w:pStyle w:val="HChG"/>
        <w:spacing w:after="480"/>
        <w:rPr>
          <w:lang w:val="fr-FR"/>
        </w:rPr>
      </w:pPr>
      <w:r w:rsidRPr="00AB4DCC">
        <w:rPr>
          <w:lang w:val="fr-FR"/>
        </w:rPr>
        <w:tab/>
      </w:r>
      <w:r w:rsidRPr="00AB4DCC">
        <w:rPr>
          <w:lang w:val="fr-FR"/>
        </w:rPr>
        <w:tab/>
        <w:t>Modèle de rapport d’évaluation des systèmes électroniques</w:t>
      </w:r>
    </w:p>
    <w:p w14:paraId="7D9C279F" w14:textId="77777777" w:rsidR="0037414E" w:rsidRPr="00AB4DCC" w:rsidRDefault="0037414E" w:rsidP="00E201F8">
      <w:pPr>
        <w:pStyle w:val="SingleTxtG"/>
        <w:tabs>
          <w:tab w:val="left" w:pos="1701"/>
          <w:tab w:val="right" w:leader="dot" w:pos="8505"/>
        </w:tabs>
        <w:rPr>
          <w:lang w:val="fr-FR"/>
        </w:rPr>
      </w:pPr>
      <w:r w:rsidRPr="00AB4DCC">
        <w:rPr>
          <w:lang w:val="fr-FR"/>
        </w:rPr>
        <w:t>Procès-verbal d’essai n</w:t>
      </w:r>
      <w:r w:rsidRPr="00AB4DCC">
        <w:rPr>
          <w:vertAlign w:val="superscript"/>
          <w:lang w:val="fr-FR"/>
        </w:rPr>
        <w:t>o</w:t>
      </w:r>
      <w:r>
        <w:rPr>
          <w:lang w:val="fr-FR"/>
        </w:rPr>
        <w:t> :</w:t>
      </w:r>
      <w:r w:rsidRPr="00AB4DCC">
        <w:rPr>
          <w:lang w:val="fr-FR"/>
        </w:rPr>
        <w:tab/>
      </w:r>
    </w:p>
    <w:p w14:paraId="6AA8FAB1" w14:textId="77777777" w:rsidR="0037414E" w:rsidRPr="00AB4DCC" w:rsidRDefault="0037414E" w:rsidP="009C1E40">
      <w:pPr>
        <w:pStyle w:val="SingleTxtG"/>
        <w:tabs>
          <w:tab w:val="left" w:pos="1701"/>
          <w:tab w:val="right" w:leader="dot" w:pos="8505"/>
        </w:tabs>
        <w:ind w:left="1701" w:hanging="567"/>
        <w:jc w:val="left"/>
        <w:rPr>
          <w:lang w:val="fr-FR"/>
        </w:rPr>
      </w:pPr>
      <w:r w:rsidRPr="00AB4DCC">
        <w:rPr>
          <w:lang w:val="fr-FR"/>
        </w:rPr>
        <w:t>1.</w:t>
      </w:r>
      <w:r w:rsidRPr="00AB4DCC">
        <w:rPr>
          <w:lang w:val="fr-FR"/>
        </w:rPr>
        <w:tab/>
        <w:t>Identification</w:t>
      </w:r>
    </w:p>
    <w:p w14:paraId="6FA642EC" w14:textId="77777777" w:rsidR="0037414E" w:rsidRPr="00AB4DCC" w:rsidRDefault="0037414E" w:rsidP="009C1E40">
      <w:pPr>
        <w:pStyle w:val="SingleTxtG"/>
        <w:tabs>
          <w:tab w:val="left" w:pos="1701"/>
          <w:tab w:val="right" w:leader="dot" w:pos="8505"/>
        </w:tabs>
        <w:ind w:left="1701" w:hanging="567"/>
        <w:jc w:val="left"/>
        <w:rPr>
          <w:lang w:val="fr-FR"/>
        </w:rPr>
      </w:pPr>
      <w:r w:rsidRPr="00AB4DCC">
        <w:rPr>
          <w:lang w:val="fr-FR"/>
        </w:rPr>
        <w:t>1.1</w:t>
      </w:r>
      <w:r w:rsidRPr="00AB4DCC">
        <w:rPr>
          <w:lang w:val="fr-FR"/>
        </w:rPr>
        <w:tab/>
        <w:t>Marque du véhicule</w:t>
      </w:r>
      <w:r>
        <w:rPr>
          <w:lang w:val="fr-FR"/>
        </w:rPr>
        <w:t> :</w:t>
      </w:r>
      <w:r w:rsidRPr="00AB4DCC">
        <w:rPr>
          <w:lang w:val="fr-FR"/>
        </w:rPr>
        <w:tab/>
      </w:r>
    </w:p>
    <w:p w14:paraId="586243C8" w14:textId="77777777" w:rsidR="0037414E" w:rsidRPr="00AB4DCC" w:rsidRDefault="0037414E" w:rsidP="009C1E40">
      <w:pPr>
        <w:pStyle w:val="SingleTxtG"/>
        <w:tabs>
          <w:tab w:val="left" w:pos="1701"/>
          <w:tab w:val="right" w:leader="dot" w:pos="8505"/>
        </w:tabs>
        <w:ind w:left="1701" w:hanging="567"/>
        <w:jc w:val="left"/>
        <w:rPr>
          <w:lang w:val="fr-FR"/>
        </w:rPr>
      </w:pPr>
      <w:r w:rsidRPr="00AB4DCC">
        <w:rPr>
          <w:lang w:val="fr-FR"/>
        </w:rPr>
        <w:t>1.2</w:t>
      </w:r>
      <w:r w:rsidRPr="00AB4DCC">
        <w:rPr>
          <w:lang w:val="fr-FR"/>
        </w:rPr>
        <w:tab/>
        <w:t>Type</w:t>
      </w:r>
      <w:r>
        <w:rPr>
          <w:lang w:val="fr-FR"/>
        </w:rPr>
        <w:t> :</w:t>
      </w:r>
      <w:r w:rsidRPr="00AB4DCC">
        <w:rPr>
          <w:lang w:val="fr-FR"/>
        </w:rPr>
        <w:tab/>
      </w:r>
    </w:p>
    <w:p w14:paraId="4CCF26CC" w14:textId="77777777" w:rsidR="0037414E" w:rsidRPr="00AB4DCC" w:rsidRDefault="0037414E" w:rsidP="009C1E40">
      <w:pPr>
        <w:pStyle w:val="SingleTxtG"/>
        <w:tabs>
          <w:tab w:val="left" w:pos="1701"/>
          <w:tab w:val="right" w:leader="dot" w:pos="8505"/>
        </w:tabs>
        <w:ind w:left="1701" w:hanging="567"/>
        <w:jc w:val="left"/>
        <w:rPr>
          <w:lang w:val="fr-FR"/>
        </w:rPr>
      </w:pPr>
      <w:r w:rsidRPr="00AB4DCC">
        <w:rPr>
          <w:lang w:val="fr-FR"/>
        </w:rPr>
        <w:t>1.3</w:t>
      </w:r>
      <w:r w:rsidRPr="00AB4DCC">
        <w:rPr>
          <w:lang w:val="fr-FR"/>
        </w:rPr>
        <w:tab/>
        <w:t>Moyens d’identification du type, s’il est indiqué sur le véhicule</w:t>
      </w:r>
      <w:r>
        <w:rPr>
          <w:lang w:val="fr-FR"/>
        </w:rPr>
        <w:t> :</w:t>
      </w:r>
      <w:r w:rsidRPr="00AB4DCC">
        <w:rPr>
          <w:lang w:val="fr-FR"/>
        </w:rPr>
        <w:tab/>
      </w:r>
    </w:p>
    <w:p w14:paraId="42104377" w14:textId="77777777" w:rsidR="0037414E" w:rsidRPr="00AB4DCC" w:rsidRDefault="0037414E" w:rsidP="009C1E40">
      <w:pPr>
        <w:pStyle w:val="SingleTxtG"/>
        <w:tabs>
          <w:tab w:val="left" w:pos="1701"/>
          <w:tab w:val="right" w:leader="dot" w:pos="8505"/>
        </w:tabs>
        <w:ind w:left="1701" w:hanging="567"/>
        <w:jc w:val="left"/>
        <w:rPr>
          <w:lang w:val="fr-FR"/>
        </w:rPr>
      </w:pPr>
      <w:r w:rsidRPr="00AB4DCC">
        <w:rPr>
          <w:lang w:val="fr-FR"/>
        </w:rPr>
        <w:t>1.4</w:t>
      </w:r>
      <w:r w:rsidRPr="00AB4DCC">
        <w:rPr>
          <w:lang w:val="fr-FR"/>
        </w:rPr>
        <w:tab/>
        <w:t>Emplacement de cette inscription</w:t>
      </w:r>
      <w:r>
        <w:rPr>
          <w:lang w:val="fr-FR"/>
        </w:rPr>
        <w:t> :</w:t>
      </w:r>
      <w:r w:rsidRPr="00AB4DCC">
        <w:rPr>
          <w:lang w:val="fr-FR"/>
        </w:rPr>
        <w:tab/>
      </w:r>
    </w:p>
    <w:p w14:paraId="04F90087" w14:textId="77777777" w:rsidR="0037414E" w:rsidRPr="00AB4DCC" w:rsidRDefault="0037414E" w:rsidP="009C1E40">
      <w:pPr>
        <w:pStyle w:val="SingleTxtG"/>
        <w:tabs>
          <w:tab w:val="left" w:pos="1701"/>
          <w:tab w:val="right" w:leader="dot" w:pos="8505"/>
        </w:tabs>
        <w:ind w:left="1701" w:hanging="567"/>
        <w:jc w:val="left"/>
        <w:rPr>
          <w:lang w:val="fr-FR"/>
        </w:rPr>
      </w:pPr>
      <w:r w:rsidRPr="00AB4DCC">
        <w:rPr>
          <w:lang w:val="fr-FR"/>
        </w:rPr>
        <w:t>1.5</w:t>
      </w:r>
      <w:r w:rsidRPr="00AB4DCC">
        <w:rPr>
          <w:lang w:val="fr-FR"/>
        </w:rPr>
        <w:tab/>
        <w:t>Nom et adresse du constructeur</w:t>
      </w:r>
      <w:r>
        <w:rPr>
          <w:lang w:val="fr-FR"/>
        </w:rPr>
        <w:t> :</w:t>
      </w:r>
      <w:r w:rsidRPr="00AB4DCC">
        <w:rPr>
          <w:lang w:val="fr-FR"/>
        </w:rPr>
        <w:tab/>
      </w:r>
    </w:p>
    <w:p w14:paraId="5F95FBC8" w14:textId="77777777" w:rsidR="0037414E" w:rsidRPr="00AB4DCC" w:rsidRDefault="0037414E" w:rsidP="009C1E40">
      <w:pPr>
        <w:pStyle w:val="SingleTxtG"/>
        <w:tabs>
          <w:tab w:val="left" w:pos="1701"/>
          <w:tab w:val="right" w:leader="dot" w:pos="8505"/>
        </w:tabs>
        <w:ind w:left="1701" w:hanging="567"/>
        <w:jc w:val="left"/>
        <w:rPr>
          <w:lang w:val="fr-FR"/>
        </w:rPr>
      </w:pPr>
      <w:r w:rsidRPr="00AB4DCC">
        <w:rPr>
          <w:lang w:val="fr-FR"/>
        </w:rPr>
        <w:t>1.6</w:t>
      </w:r>
      <w:r w:rsidRPr="00AB4DCC">
        <w:rPr>
          <w:lang w:val="fr-FR"/>
        </w:rPr>
        <w:tab/>
        <w:t>Le cas échéant, nom et adresse du mandataire du constructeur</w:t>
      </w:r>
      <w:r>
        <w:rPr>
          <w:lang w:val="fr-FR"/>
        </w:rPr>
        <w:t> :</w:t>
      </w:r>
      <w:r w:rsidRPr="00AB4DCC">
        <w:rPr>
          <w:lang w:val="fr-FR"/>
        </w:rPr>
        <w:tab/>
      </w:r>
    </w:p>
    <w:p w14:paraId="17E8FF1A" w14:textId="77777777" w:rsidR="0037414E" w:rsidRPr="00AB4DCC" w:rsidRDefault="0037414E" w:rsidP="009C1E40">
      <w:pPr>
        <w:pStyle w:val="SingleTxtG"/>
        <w:tabs>
          <w:tab w:val="left" w:pos="1701"/>
          <w:tab w:val="right" w:leader="dot" w:pos="8505"/>
        </w:tabs>
        <w:ind w:left="1701" w:hanging="567"/>
        <w:jc w:val="left"/>
        <w:rPr>
          <w:lang w:val="fr-FR"/>
        </w:rPr>
      </w:pPr>
      <w:r w:rsidRPr="00AB4DCC">
        <w:rPr>
          <w:lang w:val="fr-FR"/>
        </w:rPr>
        <w:t>1.7</w:t>
      </w:r>
      <w:r w:rsidRPr="00AB4DCC">
        <w:rPr>
          <w:lang w:val="fr-FR"/>
        </w:rPr>
        <w:tab/>
        <w:t>Dossier d’information officiel du constructeur</w:t>
      </w:r>
      <w:r>
        <w:rPr>
          <w:lang w:val="fr-FR"/>
        </w:rPr>
        <w:t> :</w:t>
      </w:r>
    </w:p>
    <w:p w14:paraId="608F3AF2" w14:textId="77777777" w:rsidR="0037414E" w:rsidRPr="00AB4DCC" w:rsidRDefault="0037414E" w:rsidP="009C1E40">
      <w:pPr>
        <w:tabs>
          <w:tab w:val="left" w:leader="dot" w:pos="5670"/>
        </w:tabs>
        <w:ind w:left="1701" w:right="1134"/>
        <w:rPr>
          <w:lang w:val="fr-FR"/>
        </w:rPr>
      </w:pPr>
      <w:r w:rsidRPr="00AB4DCC">
        <w:rPr>
          <w:lang w:val="fr-FR"/>
        </w:rPr>
        <w:t>Numéro de référence du dossier</w:t>
      </w:r>
      <w:r>
        <w:rPr>
          <w:lang w:val="fr-FR"/>
        </w:rPr>
        <w:t> :</w:t>
      </w:r>
      <w:r w:rsidRPr="00AB4DCC">
        <w:rPr>
          <w:lang w:val="fr-FR"/>
        </w:rPr>
        <w:tab/>
      </w:r>
    </w:p>
    <w:p w14:paraId="71D54016" w14:textId="77777777" w:rsidR="0037414E" w:rsidRPr="00AB4DCC" w:rsidRDefault="0037414E" w:rsidP="009C1E40">
      <w:pPr>
        <w:tabs>
          <w:tab w:val="left" w:leader="dot" w:pos="5670"/>
        </w:tabs>
        <w:ind w:left="1701" w:right="1134"/>
        <w:rPr>
          <w:lang w:val="fr-FR"/>
        </w:rPr>
      </w:pPr>
      <w:r w:rsidRPr="00AB4DCC">
        <w:rPr>
          <w:lang w:val="fr-FR"/>
        </w:rPr>
        <w:t>Date de la première version</w:t>
      </w:r>
      <w:r>
        <w:rPr>
          <w:lang w:val="fr-FR"/>
        </w:rPr>
        <w:t> :</w:t>
      </w:r>
      <w:r w:rsidRPr="00AB4DCC">
        <w:rPr>
          <w:lang w:val="fr-FR"/>
        </w:rPr>
        <w:tab/>
      </w:r>
    </w:p>
    <w:p w14:paraId="1D087498" w14:textId="77777777" w:rsidR="0037414E" w:rsidRPr="00AB4DCC" w:rsidRDefault="0037414E" w:rsidP="009C1E40">
      <w:pPr>
        <w:tabs>
          <w:tab w:val="left" w:leader="dot" w:pos="5670"/>
        </w:tabs>
        <w:spacing w:after="120"/>
        <w:ind w:left="1701" w:right="1134"/>
        <w:rPr>
          <w:lang w:val="fr-FR"/>
        </w:rPr>
      </w:pPr>
      <w:r w:rsidRPr="00AB4DCC">
        <w:rPr>
          <w:lang w:val="fr-FR"/>
        </w:rPr>
        <w:t>Date de la dernière mise à jour</w:t>
      </w:r>
      <w:r>
        <w:rPr>
          <w:lang w:val="fr-FR"/>
        </w:rPr>
        <w:t> :</w:t>
      </w:r>
      <w:r w:rsidRPr="00AB4DCC">
        <w:rPr>
          <w:lang w:val="fr-FR"/>
        </w:rPr>
        <w:tab/>
      </w:r>
    </w:p>
    <w:p w14:paraId="686DB492" w14:textId="77777777" w:rsidR="0037414E" w:rsidRPr="00AB4DCC" w:rsidRDefault="0037414E" w:rsidP="009C1E40">
      <w:pPr>
        <w:pStyle w:val="SingleTxtG"/>
        <w:tabs>
          <w:tab w:val="left" w:pos="1701"/>
          <w:tab w:val="right" w:leader="dot" w:pos="8505"/>
        </w:tabs>
        <w:ind w:left="1701" w:hanging="567"/>
        <w:jc w:val="left"/>
        <w:rPr>
          <w:lang w:val="fr-FR"/>
        </w:rPr>
      </w:pPr>
      <w:r w:rsidRPr="00AB4DCC">
        <w:rPr>
          <w:lang w:val="fr-FR"/>
        </w:rPr>
        <w:t>2.</w:t>
      </w:r>
      <w:r w:rsidRPr="00AB4DCC">
        <w:rPr>
          <w:lang w:val="fr-FR"/>
        </w:rPr>
        <w:tab/>
        <w:t>Description du ou des véhicule(s)/système(s) à l’essai</w:t>
      </w:r>
    </w:p>
    <w:p w14:paraId="53B53E92" w14:textId="77777777" w:rsidR="0037414E" w:rsidRPr="00AB4DCC" w:rsidRDefault="0037414E" w:rsidP="009C1E40">
      <w:pPr>
        <w:pStyle w:val="SingleTxtG"/>
        <w:tabs>
          <w:tab w:val="left" w:pos="1701"/>
          <w:tab w:val="right" w:leader="dot" w:pos="8505"/>
        </w:tabs>
        <w:ind w:left="1701" w:hanging="567"/>
        <w:jc w:val="left"/>
        <w:rPr>
          <w:lang w:val="fr-FR"/>
        </w:rPr>
      </w:pPr>
      <w:r w:rsidRPr="00AB4DCC">
        <w:rPr>
          <w:lang w:val="fr-FR"/>
        </w:rPr>
        <w:t>2.1</w:t>
      </w:r>
      <w:r w:rsidRPr="00AB4DCC">
        <w:rPr>
          <w:lang w:val="fr-FR"/>
        </w:rPr>
        <w:tab/>
        <w:t>Description générale</w:t>
      </w:r>
      <w:r>
        <w:rPr>
          <w:lang w:val="fr-FR"/>
        </w:rPr>
        <w:t> :</w:t>
      </w:r>
      <w:r w:rsidRPr="00AB4DCC">
        <w:rPr>
          <w:lang w:val="fr-FR"/>
        </w:rPr>
        <w:tab/>
      </w:r>
    </w:p>
    <w:p w14:paraId="6B2E58B4" w14:textId="7913998B" w:rsidR="0037414E" w:rsidRPr="00AB4DCC" w:rsidRDefault="0037414E" w:rsidP="009C1E40">
      <w:pPr>
        <w:pStyle w:val="SingleTxtG"/>
        <w:tabs>
          <w:tab w:val="left" w:pos="1701"/>
          <w:tab w:val="right" w:leader="dot" w:pos="8505"/>
        </w:tabs>
        <w:ind w:left="1701" w:hanging="567"/>
        <w:jc w:val="left"/>
        <w:rPr>
          <w:lang w:val="fr-FR"/>
        </w:rPr>
      </w:pPr>
      <w:r w:rsidRPr="00AB4DCC">
        <w:rPr>
          <w:lang w:val="fr-FR"/>
        </w:rPr>
        <w:t>2.2</w:t>
      </w:r>
      <w:r w:rsidRPr="00AB4DCC">
        <w:rPr>
          <w:lang w:val="fr-FR"/>
        </w:rPr>
        <w:tab/>
        <w:t xml:space="preserve">Description de l’ensemble des fonctions de commande du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sidRPr="00AB4DCC">
        <w:rPr>
          <w:lang w:val="fr-FR"/>
        </w:rPr>
        <w:t xml:space="preserve"> et des modes de fonctionnement</w:t>
      </w:r>
      <w:r>
        <w:rPr>
          <w:lang w:val="fr-FR"/>
        </w:rPr>
        <w:t> :</w:t>
      </w:r>
      <w:r w:rsidRPr="00AB4DCC">
        <w:rPr>
          <w:lang w:val="fr-FR"/>
        </w:rPr>
        <w:tab/>
      </w:r>
    </w:p>
    <w:p w14:paraId="6C0DE048" w14:textId="051B59E7" w:rsidR="0037414E" w:rsidRPr="00AB4DCC" w:rsidRDefault="0037414E" w:rsidP="009C1E40">
      <w:pPr>
        <w:pStyle w:val="SingleTxtG"/>
        <w:tabs>
          <w:tab w:val="left" w:pos="1701"/>
          <w:tab w:val="right" w:leader="dot" w:pos="8505"/>
        </w:tabs>
        <w:ind w:left="1701" w:hanging="567"/>
        <w:jc w:val="left"/>
        <w:rPr>
          <w:lang w:val="fr-FR"/>
        </w:rPr>
      </w:pPr>
      <w:r w:rsidRPr="00AB4DCC">
        <w:rPr>
          <w:lang w:val="fr-FR"/>
        </w:rPr>
        <w:t>2.3</w:t>
      </w:r>
      <w:r w:rsidRPr="00AB4DCC">
        <w:rPr>
          <w:lang w:val="fr-FR"/>
        </w:rPr>
        <w:tab/>
        <w:t xml:space="preserve">Description des éléments et schémas des interconnexions internes du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Pr>
          <w:lang w:val="fr-FR"/>
        </w:rPr>
        <w:t> :</w:t>
      </w:r>
      <w:r w:rsidRPr="00AB4DCC">
        <w:rPr>
          <w:lang w:val="fr-FR"/>
        </w:rPr>
        <w:tab/>
      </w:r>
      <w:r w:rsidR="009C1E40">
        <w:rPr>
          <w:lang w:val="fr-FR"/>
        </w:rPr>
        <w:br/>
      </w:r>
      <w:r w:rsidR="009C1E40">
        <w:rPr>
          <w:lang w:val="fr-FR"/>
        </w:rPr>
        <w:tab/>
      </w:r>
    </w:p>
    <w:p w14:paraId="6B6223C3" w14:textId="77777777" w:rsidR="0037414E" w:rsidRPr="00AB4DCC" w:rsidRDefault="0037414E" w:rsidP="009C1E40">
      <w:pPr>
        <w:pStyle w:val="SingleTxtG"/>
        <w:tabs>
          <w:tab w:val="left" w:pos="1701"/>
          <w:tab w:val="right" w:leader="dot" w:pos="8505"/>
        </w:tabs>
        <w:ind w:left="1701" w:hanging="567"/>
        <w:jc w:val="left"/>
        <w:rPr>
          <w:lang w:val="fr-FR"/>
        </w:rPr>
      </w:pPr>
      <w:r w:rsidRPr="00AB4DCC">
        <w:rPr>
          <w:lang w:val="fr-FR"/>
        </w:rPr>
        <w:t>3.</w:t>
      </w:r>
      <w:r w:rsidRPr="00AB4DCC">
        <w:rPr>
          <w:lang w:val="fr-FR"/>
        </w:rPr>
        <w:tab/>
        <w:t>Concept de sécurité du constructeur/fabricant</w:t>
      </w:r>
    </w:p>
    <w:p w14:paraId="2F02E88D" w14:textId="77777777" w:rsidR="0037414E" w:rsidRPr="00AB4DCC" w:rsidRDefault="0037414E" w:rsidP="009C1E40">
      <w:pPr>
        <w:pStyle w:val="SingleTxtG"/>
        <w:tabs>
          <w:tab w:val="left" w:pos="1701"/>
          <w:tab w:val="right" w:leader="dot" w:pos="8505"/>
        </w:tabs>
        <w:ind w:left="1701" w:hanging="567"/>
        <w:jc w:val="left"/>
        <w:rPr>
          <w:lang w:val="fr-FR"/>
        </w:rPr>
      </w:pPr>
      <w:r w:rsidRPr="00AB4DCC">
        <w:rPr>
          <w:lang w:val="fr-FR"/>
        </w:rPr>
        <w:t>3.1</w:t>
      </w:r>
      <w:r w:rsidRPr="00AB4DCC">
        <w:rPr>
          <w:lang w:val="fr-FR"/>
        </w:rPr>
        <w:tab/>
        <w:t>Description des priorités en matière de circulation de signaux et de données</w:t>
      </w:r>
      <w:r>
        <w:rPr>
          <w:lang w:val="fr-FR"/>
        </w:rPr>
        <w:t> :</w:t>
      </w:r>
      <w:r w:rsidRPr="00AB4DCC">
        <w:rPr>
          <w:lang w:val="fr-FR"/>
        </w:rPr>
        <w:tab/>
      </w:r>
    </w:p>
    <w:p w14:paraId="2611A751" w14:textId="1DED266E" w:rsidR="0037414E" w:rsidRPr="00401B26" w:rsidRDefault="0037414E" w:rsidP="009C1E40">
      <w:pPr>
        <w:pStyle w:val="SingleTxtG"/>
        <w:tabs>
          <w:tab w:val="left" w:pos="1701"/>
          <w:tab w:val="right" w:leader="dot" w:pos="7797"/>
        </w:tabs>
        <w:ind w:left="1701" w:hanging="567"/>
        <w:jc w:val="left"/>
        <w:rPr>
          <w:i/>
          <w:iCs/>
          <w:spacing w:val="-2"/>
          <w:lang w:val="fr-FR"/>
        </w:rPr>
      </w:pPr>
      <w:r w:rsidRPr="00AB4DCC">
        <w:rPr>
          <w:lang w:val="fr-FR"/>
        </w:rPr>
        <w:t>3.2</w:t>
      </w:r>
      <w:r w:rsidRPr="00AB4DCC">
        <w:rPr>
          <w:lang w:val="fr-FR"/>
        </w:rPr>
        <w:tab/>
        <w:t>Déclaration du constructeur/fabricant</w:t>
      </w:r>
      <w:r>
        <w:rPr>
          <w:lang w:val="fr-FR"/>
        </w:rPr>
        <w:t> :</w:t>
      </w:r>
      <w:r w:rsidR="009C1E40">
        <w:rPr>
          <w:lang w:val="fr-FR"/>
        </w:rPr>
        <w:br/>
      </w:r>
      <w:r w:rsidRPr="00401B26">
        <w:rPr>
          <w:i/>
          <w:iCs/>
          <w:spacing w:val="-2"/>
          <w:lang w:val="fr-FR"/>
        </w:rPr>
        <w:t>Le(s) constructeur(s)/fabricant(s)</w:t>
      </w:r>
      <w:r w:rsidR="00C340E0" w:rsidRPr="00401B26">
        <w:rPr>
          <w:i/>
          <w:iCs/>
          <w:spacing w:val="-2"/>
          <w:lang w:val="fr-FR"/>
        </w:rPr>
        <w:t xml:space="preserve"> </w:t>
      </w:r>
      <w:r w:rsidR="00C340E0" w:rsidRPr="00401B26">
        <w:rPr>
          <w:i/>
          <w:iCs/>
          <w:spacing w:val="-2"/>
          <w:lang w:val="fr-FR"/>
        </w:rPr>
        <w:tab/>
      </w:r>
      <w:r w:rsidR="00401B26" w:rsidRPr="00401B26">
        <w:rPr>
          <w:i/>
          <w:iCs/>
          <w:spacing w:val="-2"/>
          <w:lang w:val="fr-FR"/>
        </w:rPr>
        <w:br/>
      </w:r>
      <w:r w:rsidRPr="00401B26">
        <w:rPr>
          <w:i/>
          <w:iCs/>
          <w:spacing w:val="-2"/>
          <w:lang w:val="fr-FR"/>
        </w:rPr>
        <w:t xml:space="preserve">certifie(nt) que la démarche suivie pour réaliser les objectifs du </w:t>
      </w:r>
      <w:r w:rsidR="00401B26" w:rsidRPr="00401B26">
        <w:rPr>
          <w:spacing w:val="-2"/>
          <w:lang w:val="fr-FR"/>
        </w:rPr>
        <w:t>« </w:t>
      </w:r>
      <w:r w:rsidRPr="00401B26">
        <w:rPr>
          <w:i/>
          <w:iCs/>
          <w:spacing w:val="-2"/>
          <w:lang w:val="fr-FR"/>
        </w:rPr>
        <w:t>système</w:t>
      </w:r>
      <w:r w:rsidR="00401B26" w:rsidRPr="00401B26">
        <w:rPr>
          <w:spacing w:val="-2"/>
          <w:lang w:val="fr-FR"/>
        </w:rPr>
        <w:t> »</w:t>
      </w:r>
      <w:r w:rsidRPr="00401B26">
        <w:rPr>
          <w:i/>
          <w:iCs/>
          <w:spacing w:val="-2"/>
          <w:lang w:val="fr-FR"/>
        </w:rPr>
        <w:t xml:space="preserve"> ne compromet pas, en l’absence de défaillances, la sécurité de fonctionnement du véhicule.</w:t>
      </w:r>
    </w:p>
    <w:p w14:paraId="0E4C996F" w14:textId="77777777" w:rsidR="0037414E" w:rsidRPr="00AB4DCC" w:rsidRDefault="0037414E" w:rsidP="009C1E40">
      <w:pPr>
        <w:pStyle w:val="SingleTxtG"/>
        <w:tabs>
          <w:tab w:val="left" w:pos="1701"/>
          <w:tab w:val="right" w:leader="dot" w:pos="8505"/>
        </w:tabs>
        <w:ind w:left="1701" w:hanging="567"/>
        <w:jc w:val="left"/>
        <w:rPr>
          <w:lang w:val="fr-FR"/>
        </w:rPr>
      </w:pPr>
      <w:r w:rsidRPr="00AB4DCC">
        <w:rPr>
          <w:lang w:val="fr-FR"/>
        </w:rPr>
        <w:t>3.3</w:t>
      </w:r>
      <w:r w:rsidRPr="00AB4DCC">
        <w:rPr>
          <w:lang w:val="fr-FR"/>
        </w:rPr>
        <w:tab/>
        <w:t>Configuration du logiciel et méthodes et outils de conception utilisés</w:t>
      </w:r>
      <w:r>
        <w:rPr>
          <w:lang w:val="fr-FR"/>
        </w:rPr>
        <w:t> :</w:t>
      </w:r>
      <w:r w:rsidRPr="00AB4DCC">
        <w:rPr>
          <w:lang w:val="fr-FR"/>
        </w:rPr>
        <w:tab/>
      </w:r>
    </w:p>
    <w:p w14:paraId="2BA6E3FC" w14:textId="05E7BE91" w:rsidR="0037414E" w:rsidRPr="00AB4DCC" w:rsidRDefault="0037414E" w:rsidP="009C1E40">
      <w:pPr>
        <w:pStyle w:val="SingleTxtG"/>
        <w:tabs>
          <w:tab w:val="left" w:pos="1701"/>
          <w:tab w:val="right" w:leader="dot" w:pos="8505"/>
        </w:tabs>
        <w:ind w:left="1701" w:hanging="567"/>
        <w:jc w:val="left"/>
        <w:rPr>
          <w:lang w:val="fr-FR"/>
        </w:rPr>
      </w:pPr>
      <w:r w:rsidRPr="00AB4DCC">
        <w:rPr>
          <w:lang w:val="fr-FR"/>
        </w:rPr>
        <w:t>3.4</w:t>
      </w:r>
      <w:r w:rsidRPr="00AB4DCC">
        <w:rPr>
          <w:lang w:val="fr-FR"/>
        </w:rPr>
        <w:tab/>
        <w:t xml:space="preserve">Explication des prescriptions générales appliquées dans le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sidRPr="00AB4DCC">
        <w:rPr>
          <w:lang w:val="fr-FR"/>
        </w:rPr>
        <w:t xml:space="preserve"> en cas de</w:t>
      </w:r>
      <w:r w:rsidR="009C1E40">
        <w:rPr>
          <w:lang w:val="fr-FR"/>
        </w:rPr>
        <w:t> </w:t>
      </w:r>
      <w:r w:rsidRPr="00AB4DCC">
        <w:rPr>
          <w:lang w:val="fr-FR"/>
        </w:rPr>
        <w:t>défaillance</w:t>
      </w:r>
      <w:r>
        <w:rPr>
          <w:lang w:val="fr-FR"/>
        </w:rPr>
        <w:t> :</w:t>
      </w:r>
      <w:r w:rsidRPr="00AB4DCC">
        <w:rPr>
          <w:lang w:val="fr-FR"/>
        </w:rPr>
        <w:tab/>
      </w:r>
    </w:p>
    <w:p w14:paraId="3C84F7EA" w14:textId="403DB300" w:rsidR="0037414E" w:rsidRPr="00AB4DCC" w:rsidRDefault="0037414E" w:rsidP="009C1E40">
      <w:pPr>
        <w:pStyle w:val="SingleTxtG"/>
        <w:tabs>
          <w:tab w:val="left" w:pos="1701"/>
          <w:tab w:val="right" w:leader="dot" w:pos="8505"/>
        </w:tabs>
        <w:ind w:left="1701" w:hanging="567"/>
        <w:jc w:val="left"/>
        <w:rPr>
          <w:lang w:val="fr-FR"/>
        </w:rPr>
      </w:pPr>
      <w:r w:rsidRPr="00AB4DCC">
        <w:rPr>
          <w:lang w:val="fr-FR"/>
        </w:rPr>
        <w:t>3.5</w:t>
      </w:r>
      <w:r w:rsidRPr="00AB4DCC">
        <w:rPr>
          <w:lang w:val="fr-FR"/>
        </w:rPr>
        <w:tab/>
        <w:t xml:space="preserve">Analyses étayées du comportement du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sidRPr="00AB4DCC">
        <w:rPr>
          <w:lang w:val="fr-FR"/>
        </w:rPr>
        <w:t xml:space="preserve"> face à chaque défaillance ou devant chaque risque</w:t>
      </w:r>
      <w:r>
        <w:rPr>
          <w:lang w:val="fr-FR"/>
        </w:rPr>
        <w:t> :</w:t>
      </w:r>
      <w:r w:rsidRPr="00AB4DCC">
        <w:rPr>
          <w:lang w:val="fr-FR"/>
        </w:rPr>
        <w:tab/>
      </w:r>
    </w:p>
    <w:p w14:paraId="54279CC8" w14:textId="77777777" w:rsidR="0037414E" w:rsidRPr="00AB4DCC" w:rsidRDefault="0037414E" w:rsidP="009C1E40">
      <w:pPr>
        <w:pStyle w:val="SingleTxtG"/>
        <w:tabs>
          <w:tab w:val="left" w:pos="1701"/>
          <w:tab w:val="right" w:leader="dot" w:pos="8505"/>
        </w:tabs>
        <w:ind w:left="1701" w:hanging="567"/>
        <w:jc w:val="left"/>
        <w:rPr>
          <w:lang w:val="fr-FR"/>
        </w:rPr>
      </w:pPr>
      <w:r w:rsidRPr="00AB4DCC">
        <w:rPr>
          <w:lang w:val="fr-FR"/>
        </w:rPr>
        <w:t>3.6</w:t>
      </w:r>
      <w:r w:rsidRPr="00AB4DCC">
        <w:rPr>
          <w:lang w:val="fr-FR"/>
        </w:rPr>
        <w:tab/>
        <w:t>Description des mesures prises face aux facteurs extérieurs</w:t>
      </w:r>
      <w:r>
        <w:rPr>
          <w:lang w:val="fr-FR"/>
        </w:rPr>
        <w:t> :</w:t>
      </w:r>
      <w:r w:rsidRPr="00AB4DCC">
        <w:rPr>
          <w:lang w:val="fr-FR"/>
        </w:rPr>
        <w:tab/>
      </w:r>
    </w:p>
    <w:p w14:paraId="0EB67728" w14:textId="12086C7A" w:rsidR="0037414E" w:rsidRPr="00AB4DCC" w:rsidRDefault="0037414E" w:rsidP="009C1E40">
      <w:pPr>
        <w:pStyle w:val="SingleTxtG"/>
        <w:tabs>
          <w:tab w:val="left" w:pos="1701"/>
          <w:tab w:val="right" w:leader="dot" w:pos="8505"/>
        </w:tabs>
        <w:ind w:left="1701" w:hanging="567"/>
        <w:jc w:val="left"/>
        <w:rPr>
          <w:lang w:val="fr-FR"/>
        </w:rPr>
      </w:pPr>
      <w:r w:rsidRPr="00AB4DCC">
        <w:rPr>
          <w:lang w:val="fr-FR"/>
        </w:rPr>
        <w:t>3.7</w:t>
      </w:r>
      <w:r w:rsidRPr="00AB4DCC">
        <w:rPr>
          <w:lang w:val="fr-FR"/>
        </w:rPr>
        <w:tab/>
        <w:t xml:space="preserve">Dispositions relatives au contrôle technique périodique du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Pr>
          <w:lang w:val="fr-FR"/>
        </w:rPr>
        <w:t> :</w:t>
      </w:r>
      <w:r w:rsidRPr="00AB4DCC">
        <w:rPr>
          <w:lang w:val="fr-FR"/>
        </w:rPr>
        <w:tab/>
      </w:r>
      <w:r w:rsidR="009C1E40">
        <w:rPr>
          <w:lang w:val="fr-FR"/>
        </w:rPr>
        <w:br/>
      </w:r>
      <w:r w:rsidR="009C1E40">
        <w:rPr>
          <w:lang w:val="fr-FR"/>
        </w:rPr>
        <w:tab/>
      </w:r>
    </w:p>
    <w:p w14:paraId="0905EC7C" w14:textId="0499CCAE" w:rsidR="0037414E" w:rsidRPr="00AB4DCC" w:rsidRDefault="0037414E" w:rsidP="009C1E40">
      <w:pPr>
        <w:pStyle w:val="SingleTxtG"/>
        <w:tabs>
          <w:tab w:val="left" w:pos="1701"/>
          <w:tab w:val="right" w:leader="dot" w:pos="8505"/>
        </w:tabs>
        <w:ind w:left="1701" w:hanging="567"/>
        <w:jc w:val="left"/>
        <w:rPr>
          <w:lang w:val="fr-FR"/>
        </w:rPr>
      </w:pPr>
      <w:r w:rsidRPr="00AB4DCC">
        <w:rPr>
          <w:lang w:val="fr-FR"/>
        </w:rPr>
        <w:t>3.8</w:t>
      </w:r>
      <w:r w:rsidRPr="00AB4DCC">
        <w:rPr>
          <w:lang w:val="fr-FR"/>
        </w:rPr>
        <w:tab/>
        <w:t xml:space="preserve">Résultats des essais de vérification de l’efficacité du </w:t>
      </w:r>
      <w:r w:rsidR="00401B26" w:rsidRPr="00AB4DCC">
        <w:rPr>
          <w:lang w:val="fr-FR"/>
        </w:rPr>
        <w:t>«</w:t>
      </w:r>
      <w:r w:rsidR="00401B26">
        <w:rPr>
          <w:lang w:val="fr-FR"/>
        </w:rPr>
        <w:t> </w:t>
      </w:r>
      <w:r w:rsidRPr="00AB4DCC">
        <w:rPr>
          <w:lang w:val="fr-FR"/>
        </w:rPr>
        <w:t>système</w:t>
      </w:r>
      <w:r w:rsidR="00401B26">
        <w:rPr>
          <w:lang w:val="fr-FR"/>
        </w:rPr>
        <w:t> </w:t>
      </w:r>
      <w:r w:rsidR="00401B26" w:rsidRPr="00AB4DCC">
        <w:rPr>
          <w:lang w:val="fr-FR"/>
        </w:rPr>
        <w:t>»</w:t>
      </w:r>
      <w:r w:rsidRPr="00AB4DCC">
        <w:rPr>
          <w:lang w:val="fr-FR"/>
        </w:rPr>
        <w:t>, en application des dispositions du paragraphe 4.1.1 de l’annexe 3 du Règlement ONU n</w:t>
      </w:r>
      <w:r w:rsidRPr="00AB4DCC">
        <w:rPr>
          <w:vertAlign w:val="superscript"/>
          <w:lang w:val="fr-FR"/>
        </w:rPr>
        <w:t>o</w:t>
      </w:r>
      <w:r w:rsidRPr="00AB4DCC">
        <w:rPr>
          <w:lang w:val="fr-FR"/>
        </w:rPr>
        <w:t xml:space="preserve"> XXX</w:t>
      </w:r>
      <w:r>
        <w:rPr>
          <w:lang w:val="fr-FR"/>
        </w:rPr>
        <w:t> :</w:t>
      </w:r>
      <w:r w:rsidRPr="00AB4DCC">
        <w:rPr>
          <w:lang w:val="fr-FR"/>
        </w:rPr>
        <w:tab/>
      </w:r>
      <w:r w:rsidR="009C1E40">
        <w:rPr>
          <w:lang w:val="fr-FR"/>
        </w:rPr>
        <w:br/>
      </w:r>
      <w:r w:rsidR="009C1E40">
        <w:rPr>
          <w:lang w:val="fr-FR"/>
        </w:rPr>
        <w:tab/>
      </w:r>
    </w:p>
    <w:p w14:paraId="434E184E" w14:textId="15B38EFA" w:rsidR="0037414E" w:rsidRPr="00AB4DCC" w:rsidRDefault="0037414E" w:rsidP="009C1E40">
      <w:pPr>
        <w:pStyle w:val="SingleTxtG"/>
        <w:tabs>
          <w:tab w:val="left" w:pos="1701"/>
          <w:tab w:val="right" w:leader="dot" w:pos="8505"/>
        </w:tabs>
        <w:ind w:left="1701" w:hanging="567"/>
        <w:jc w:val="left"/>
        <w:rPr>
          <w:lang w:val="fr-FR"/>
        </w:rPr>
      </w:pPr>
      <w:r w:rsidRPr="00AB4DCC">
        <w:rPr>
          <w:lang w:val="fr-FR"/>
        </w:rPr>
        <w:t>3.9</w:t>
      </w:r>
      <w:r w:rsidRPr="00AB4DCC">
        <w:rPr>
          <w:lang w:val="fr-FR"/>
        </w:rPr>
        <w:tab/>
        <w:t>Résultats des essais de vérification du concept de sécurité, en application des dispositions du paragraphe 4.1.2 de l’annexe 3 du Règlement ONU n</w:t>
      </w:r>
      <w:r w:rsidRPr="00AB4DCC">
        <w:rPr>
          <w:vertAlign w:val="superscript"/>
          <w:lang w:val="fr-FR"/>
        </w:rPr>
        <w:t>o</w:t>
      </w:r>
      <w:r w:rsidRPr="00AB4DCC">
        <w:rPr>
          <w:lang w:val="fr-FR"/>
        </w:rPr>
        <w:t xml:space="preserve"> XXX</w:t>
      </w:r>
      <w:r>
        <w:rPr>
          <w:lang w:val="fr-FR"/>
        </w:rPr>
        <w:t> :</w:t>
      </w:r>
      <w:r w:rsidRPr="00AB4DCC">
        <w:rPr>
          <w:lang w:val="fr-FR"/>
        </w:rPr>
        <w:tab/>
      </w:r>
      <w:r w:rsidR="009C1E40">
        <w:rPr>
          <w:lang w:val="fr-FR"/>
        </w:rPr>
        <w:br/>
      </w:r>
      <w:r w:rsidR="009C1E40">
        <w:rPr>
          <w:lang w:val="fr-FR"/>
        </w:rPr>
        <w:tab/>
      </w:r>
      <w:r w:rsidRPr="00AB4DCC">
        <w:rPr>
          <w:lang w:val="fr-FR"/>
        </w:rPr>
        <w:tab/>
      </w:r>
    </w:p>
    <w:p w14:paraId="26073836" w14:textId="77777777" w:rsidR="0037414E" w:rsidRPr="00AB4DCC" w:rsidRDefault="0037414E" w:rsidP="009C1E40">
      <w:pPr>
        <w:pStyle w:val="SingleTxtG"/>
        <w:keepNext/>
        <w:tabs>
          <w:tab w:val="left" w:pos="1701"/>
          <w:tab w:val="right" w:leader="dot" w:pos="8505"/>
        </w:tabs>
        <w:ind w:left="1701" w:hanging="567"/>
        <w:jc w:val="left"/>
        <w:rPr>
          <w:lang w:val="fr-FR"/>
        </w:rPr>
      </w:pPr>
      <w:r w:rsidRPr="00AB4DCC">
        <w:rPr>
          <w:lang w:val="fr-FR"/>
        </w:rPr>
        <w:t>3.10</w:t>
      </w:r>
      <w:r w:rsidRPr="00AB4DCC">
        <w:rPr>
          <w:lang w:val="fr-FR"/>
        </w:rPr>
        <w:tab/>
        <w:t>Date de l’essai</w:t>
      </w:r>
      <w:r>
        <w:rPr>
          <w:lang w:val="fr-FR"/>
        </w:rPr>
        <w:t> :</w:t>
      </w:r>
      <w:r w:rsidRPr="00AB4DCC">
        <w:rPr>
          <w:lang w:val="fr-FR"/>
        </w:rPr>
        <w:tab/>
      </w:r>
    </w:p>
    <w:p w14:paraId="7E043B37" w14:textId="4CCF6A6D" w:rsidR="0037414E" w:rsidRPr="00AB4DCC" w:rsidRDefault="0037414E" w:rsidP="009C1E40">
      <w:pPr>
        <w:pStyle w:val="SingleTxtG"/>
        <w:tabs>
          <w:tab w:val="left" w:pos="1701"/>
          <w:tab w:val="right" w:leader="dot" w:pos="8505"/>
        </w:tabs>
        <w:ind w:left="1701" w:hanging="567"/>
        <w:jc w:val="left"/>
        <w:rPr>
          <w:lang w:val="fr-FR"/>
        </w:rPr>
      </w:pPr>
      <w:r w:rsidRPr="00AB4DCC">
        <w:rPr>
          <w:lang w:val="fr-FR"/>
        </w:rPr>
        <w:t>3.11</w:t>
      </w:r>
      <w:r w:rsidRPr="00AB4DCC">
        <w:rPr>
          <w:lang w:val="fr-FR"/>
        </w:rPr>
        <w:tab/>
        <w:t>Cet essai a été effectué et ses résultats ont été consignés conformément …</w:t>
      </w:r>
      <w:r w:rsidR="00401B26">
        <w:rPr>
          <w:lang w:val="fr-FR"/>
        </w:rPr>
        <w:t>…</w:t>
      </w:r>
      <w:r w:rsidRPr="00AB4DCC">
        <w:rPr>
          <w:lang w:val="fr-FR"/>
        </w:rPr>
        <w:t xml:space="preserve"> du Règlement ONU n</w:t>
      </w:r>
      <w:r w:rsidRPr="00AB4DCC">
        <w:rPr>
          <w:vertAlign w:val="superscript"/>
          <w:lang w:val="fr-FR"/>
        </w:rPr>
        <w:t>o</w:t>
      </w:r>
      <w:r w:rsidRPr="00AB4DCC">
        <w:rPr>
          <w:lang w:val="fr-FR"/>
        </w:rPr>
        <w:t xml:space="preserve"> XXX, tel que modifié par la série … d’amendements.</w:t>
      </w:r>
    </w:p>
    <w:p w14:paraId="0360B7C0" w14:textId="694D7E48" w:rsidR="0037414E" w:rsidRPr="00AB4DCC" w:rsidRDefault="0037414E" w:rsidP="009C1E40">
      <w:pPr>
        <w:tabs>
          <w:tab w:val="right" w:leader="dot" w:pos="4536"/>
          <w:tab w:val="left" w:pos="4962"/>
          <w:tab w:val="right" w:leader="dot" w:pos="7655"/>
        </w:tabs>
        <w:spacing w:after="120" w:line="280" w:lineRule="atLeast"/>
        <w:ind w:left="1701" w:right="1134"/>
        <w:rPr>
          <w:lang w:val="fr-FR"/>
        </w:rPr>
      </w:pPr>
      <w:r w:rsidRPr="00AB4DCC">
        <w:rPr>
          <w:lang w:val="fr-FR"/>
        </w:rPr>
        <w:t>Signature</w:t>
      </w:r>
      <w:r>
        <w:rPr>
          <w:lang w:val="fr-FR"/>
        </w:rPr>
        <w:t> :</w:t>
      </w:r>
      <w:r w:rsidR="00401B26">
        <w:rPr>
          <w:lang w:val="fr-FR"/>
        </w:rPr>
        <w:tab/>
      </w:r>
      <w:r w:rsidRPr="00AB4DCC">
        <w:rPr>
          <w:lang w:val="fr-FR"/>
        </w:rPr>
        <w:tab/>
        <w:t>Date</w:t>
      </w:r>
      <w:r>
        <w:rPr>
          <w:lang w:val="fr-FR"/>
        </w:rPr>
        <w:t> :</w:t>
      </w:r>
      <w:r w:rsidR="00401B26">
        <w:rPr>
          <w:lang w:val="fr-FR"/>
        </w:rPr>
        <w:tab/>
      </w:r>
    </w:p>
    <w:p w14:paraId="30760383" w14:textId="77777777" w:rsidR="0037414E" w:rsidRDefault="0037414E" w:rsidP="009C1E40">
      <w:pPr>
        <w:pStyle w:val="SingleTxtG"/>
        <w:tabs>
          <w:tab w:val="left" w:pos="1701"/>
          <w:tab w:val="right" w:leader="dot" w:pos="8505"/>
        </w:tabs>
        <w:spacing w:after="0"/>
        <w:ind w:left="1701" w:hanging="567"/>
        <w:jc w:val="left"/>
        <w:rPr>
          <w:lang w:val="fr-FR"/>
        </w:rPr>
      </w:pPr>
      <w:r w:rsidRPr="00AB4DCC">
        <w:rPr>
          <w:lang w:val="fr-FR"/>
        </w:rPr>
        <w:t>3.13</w:t>
      </w:r>
      <w:r w:rsidRPr="00AB4DCC">
        <w:rPr>
          <w:lang w:val="fr-FR"/>
        </w:rPr>
        <w:tab/>
        <w:t>Observations</w:t>
      </w:r>
      <w:r>
        <w:rPr>
          <w:lang w:val="fr-FR"/>
        </w:rPr>
        <w:t> :</w:t>
      </w:r>
      <w:r w:rsidRPr="00AB4DCC">
        <w:rPr>
          <w:lang w:val="fr-FR"/>
        </w:rPr>
        <w:tab/>
      </w:r>
    </w:p>
    <w:p w14:paraId="42EB6A5F" w14:textId="42C950CB" w:rsidR="0037414E" w:rsidRPr="009C1E40" w:rsidRDefault="009C1E40" w:rsidP="009C1E40">
      <w:pPr>
        <w:pStyle w:val="SingleTxtG"/>
        <w:spacing w:before="240" w:after="0"/>
        <w:jc w:val="center"/>
        <w:rPr>
          <w:u w:val="single"/>
        </w:rPr>
      </w:pPr>
      <w:r>
        <w:rPr>
          <w:u w:val="single"/>
        </w:rPr>
        <w:tab/>
      </w:r>
      <w:r>
        <w:rPr>
          <w:u w:val="single"/>
        </w:rPr>
        <w:tab/>
      </w:r>
      <w:r>
        <w:rPr>
          <w:u w:val="single"/>
        </w:rPr>
        <w:tab/>
      </w:r>
      <w:r>
        <w:rPr>
          <w:u w:val="single"/>
        </w:rPr>
        <w:tab/>
      </w:r>
    </w:p>
    <w:sectPr w:rsidR="0037414E" w:rsidRPr="009C1E40" w:rsidSect="0037414E">
      <w:headerReference w:type="default" r:id="rId17"/>
      <w:footerReference w:type="default" r:id="rId18"/>
      <w:headerReference w:type="first" r:id="rId19"/>
      <w:footerReference w:type="first" r:id="rId20"/>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D559" w14:textId="77777777" w:rsidR="00C06F7E" w:rsidRDefault="00C06F7E" w:rsidP="00F95C08">
      <w:pPr>
        <w:spacing w:line="240" w:lineRule="auto"/>
      </w:pPr>
    </w:p>
  </w:endnote>
  <w:endnote w:type="continuationSeparator" w:id="0">
    <w:p w14:paraId="122ECE50" w14:textId="77777777" w:rsidR="00C06F7E" w:rsidRPr="00AC3823" w:rsidRDefault="00C06F7E" w:rsidP="00AC3823"/>
  </w:endnote>
  <w:endnote w:type="continuationNotice" w:id="1">
    <w:p w14:paraId="24234CE7" w14:textId="77777777" w:rsidR="00C06F7E" w:rsidRDefault="00C06F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29D9" w14:textId="31ACB6E4" w:rsidR="00100EC6" w:rsidRPr="0037414E" w:rsidRDefault="0037414E" w:rsidP="0037414E">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37414E">
      <w:t>GE.</w:t>
    </w:r>
    <w:r w:rsidRPr="0037414E">
      <w:t>24</w:t>
    </w:r>
    <w:r w:rsidRPr="0037414E">
      <w:t>-</w:t>
    </w:r>
    <w:r w:rsidRPr="0037414E">
      <w:t>06705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238B" w14:textId="3A403328" w:rsidR="00100EC6" w:rsidRPr="00100EC6" w:rsidRDefault="00100EC6" w:rsidP="00100EC6">
    <w:pPr>
      <w:tabs>
        <w:tab w:val="right" w:pos="9638"/>
      </w:tabs>
      <w:rPr>
        <w:b/>
        <w:sz w:val="18"/>
      </w:rPr>
    </w:pPr>
    <w:r w:rsidRPr="00100EC6">
      <w:rPr>
        <w:b/>
        <w:sz w:val="18"/>
      </w:rPr>
      <w:fldChar w:fldCharType="begin"/>
    </w:r>
    <w:r w:rsidRPr="00100EC6">
      <w:rPr>
        <w:b/>
        <w:sz w:val="18"/>
      </w:rPr>
      <w:instrText xml:space="preserve"> PAGE  \* MERGEFORMAT </w:instrText>
    </w:r>
    <w:r w:rsidRPr="00100EC6">
      <w:rPr>
        <w:b/>
        <w:sz w:val="18"/>
      </w:rPr>
      <w:fldChar w:fldCharType="separate"/>
    </w:r>
    <w:r w:rsidRPr="00100EC6">
      <w:rPr>
        <w:b/>
        <w:noProof/>
        <w:sz w:val="18"/>
      </w:rPr>
      <w:t>3</w:t>
    </w:r>
    <w:r w:rsidRPr="00100EC6">
      <w:rPr>
        <w:b/>
        <w:sz w:val="18"/>
      </w:rPr>
      <w:fldChar w:fldCharType="end"/>
    </w:r>
    <w:r w:rsidR="00DE2924">
      <w:rPr>
        <w:b/>
        <w:sz w:val="18"/>
      </w:rPr>
      <w:tab/>
    </w:r>
    <w:r w:rsidR="00DE2924" w:rsidRPr="00DE2924">
      <w:rPr>
        <w:sz w:val="16"/>
        <w:szCs w:val="16"/>
      </w:rPr>
      <w:t>GE.24-06705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DDB7" w14:textId="10E00E0A" w:rsidR="007F20FA" w:rsidRPr="00100EC6" w:rsidRDefault="00100EC6" w:rsidP="00100EC6">
    <w:pPr>
      <w:spacing w:before="120" w:line="240" w:lineRule="auto"/>
    </w:pPr>
    <w:r>
      <w:t>GE.</w:t>
    </w:r>
    <w:r w:rsidR="007F20FA">
      <w:rPr>
        <w:noProof/>
        <w:lang w:eastAsia="fr-CH"/>
      </w:rPr>
      <w:drawing>
        <wp:anchor distT="0" distB="0" distL="114300" distR="114300" simplePos="0" relativeHeight="251659264" behindDoc="0" locked="0" layoutInCell="1" allowOverlap="0" wp14:anchorId="4B9EF6B2" wp14:editId="1621CBD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24-06705  (F)</w:t>
    </w:r>
    <w:r>
      <w:rPr>
        <w:noProof/>
      </w:rPr>
      <w:drawing>
        <wp:anchor distT="0" distB="0" distL="114300" distR="114300" simplePos="0" relativeHeight="251660288" behindDoc="0" locked="0" layoutInCell="1" allowOverlap="1" wp14:anchorId="6FC3DA43" wp14:editId="00EB29C3">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070524    090524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F415" w14:textId="2CB6F9F5" w:rsidR="0037414E" w:rsidRPr="0037414E" w:rsidRDefault="0037414E" w:rsidP="0037414E">
    <w:pPr>
      <w:pStyle w:val="Pieddepage"/>
      <w:tabs>
        <w:tab w:val="right" w:pos="9638"/>
      </w:tabs>
      <w:rPr>
        <w:b/>
        <w:sz w:val="18"/>
      </w:rPr>
    </w:pPr>
    <w:r>
      <w:t>GE.</w:t>
    </w:r>
    <w:r w:rsidRPr="0037414E">
      <w:t>24</w:t>
    </w:r>
    <w:r>
      <w:t>-</w:t>
    </w:r>
    <w:r w:rsidRPr="0037414E">
      <w:t>06705</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2184" w14:textId="77777777" w:rsidR="0037414E" w:rsidRPr="00100EC6" w:rsidRDefault="0037414E" w:rsidP="00100EC6">
    <w:pPr>
      <w:spacing w:before="120" w:line="240" w:lineRule="auto"/>
    </w:pPr>
    <w:r>
      <w:t>GE.</w:t>
    </w:r>
    <w:r>
      <w:rPr>
        <w:noProof/>
        <w:lang w:eastAsia="fr-CH"/>
      </w:rPr>
      <w:drawing>
        <wp:anchor distT="0" distB="0" distL="114300" distR="114300" simplePos="0" relativeHeight="251662336" behindDoc="0" locked="0" layoutInCell="1" allowOverlap="0" wp14:anchorId="70729952" wp14:editId="7770CCDB">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24-06705  (F)</w:t>
    </w:r>
    <w:r>
      <w:rPr>
        <w:noProof/>
      </w:rPr>
      <w:drawing>
        <wp:anchor distT="0" distB="0" distL="114300" distR="114300" simplePos="0" relativeHeight="251663360" behindDoc="0" locked="0" layoutInCell="1" allowOverlap="1" wp14:anchorId="3D6FE751" wp14:editId="0909EEB6">
          <wp:simplePos x="0" y="0"/>
          <wp:positionH relativeFrom="margin">
            <wp:posOffset>5489575</wp:posOffset>
          </wp:positionH>
          <wp:positionV relativeFrom="margin">
            <wp:posOffset>8891905</wp:posOffset>
          </wp:positionV>
          <wp:extent cx="628650" cy="628650"/>
          <wp:effectExtent l="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070524    090524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60FB" w14:textId="77777777" w:rsidR="00C06F7E" w:rsidRPr="00AC3823" w:rsidRDefault="00C06F7E" w:rsidP="00AC3823">
      <w:pPr>
        <w:tabs>
          <w:tab w:val="right" w:pos="2155"/>
        </w:tabs>
        <w:spacing w:after="80"/>
        <w:ind w:left="680"/>
        <w:rPr>
          <w:u w:val="single"/>
        </w:rPr>
      </w:pPr>
      <w:r>
        <w:rPr>
          <w:u w:val="single"/>
        </w:rPr>
        <w:tab/>
      </w:r>
    </w:p>
  </w:footnote>
  <w:footnote w:type="continuationSeparator" w:id="0">
    <w:p w14:paraId="41C19F6A" w14:textId="77777777" w:rsidR="00C06F7E" w:rsidRPr="00AC3823" w:rsidRDefault="00C06F7E" w:rsidP="00AC3823">
      <w:pPr>
        <w:tabs>
          <w:tab w:val="right" w:pos="2155"/>
        </w:tabs>
        <w:spacing w:after="80"/>
        <w:ind w:left="680"/>
        <w:rPr>
          <w:u w:val="single"/>
        </w:rPr>
      </w:pPr>
      <w:r>
        <w:rPr>
          <w:u w:val="single"/>
        </w:rPr>
        <w:tab/>
      </w:r>
    </w:p>
  </w:footnote>
  <w:footnote w:type="continuationNotice" w:id="1">
    <w:p w14:paraId="6A79E66B" w14:textId="77777777" w:rsidR="00C06F7E" w:rsidRPr="00AC3823" w:rsidRDefault="00C06F7E">
      <w:pPr>
        <w:spacing w:line="240" w:lineRule="auto"/>
        <w:rPr>
          <w:sz w:val="2"/>
          <w:szCs w:val="2"/>
        </w:rPr>
      </w:pPr>
    </w:p>
  </w:footnote>
  <w:footnote w:id="2">
    <w:p w14:paraId="7693C63F" w14:textId="77777777" w:rsidR="00A20ACD" w:rsidRPr="00AB4DCC" w:rsidRDefault="00A20ACD" w:rsidP="00DE2924">
      <w:pPr>
        <w:pStyle w:val="Notedebasdepage"/>
        <w:rPr>
          <w:lang w:val="fr-FR"/>
        </w:rPr>
      </w:pPr>
      <w:r w:rsidRPr="00AB4DCC">
        <w:rPr>
          <w:lang w:val="fr-FR"/>
        </w:rPr>
        <w:tab/>
      </w:r>
      <w:r w:rsidRPr="00DE2924">
        <w:rPr>
          <w:sz w:val="20"/>
          <w:lang w:val="fr-FR"/>
        </w:rPr>
        <w:t>*</w:t>
      </w:r>
      <w:r w:rsidRPr="00AB4DCC">
        <w:rPr>
          <w:lang w:val="fr-FR"/>
        </w:rPr>
        <w:tab/>
      </w:r>
      <w:r w:rsidRPr="00AB4DCC">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 w:id="3">
    <w:p w14:paraId="1E294BE9" w14:textId="70F9BF72" w:rsidR="00A20ACD" w:rsidRPr="00AB4DCC" w:rsidRDefault="00714C7B" w:rsidP="00DE2924">
      <w:pPr>
        <w:pStyle w:val="Notedebasdepage"/>
        <w:rPr>
          <w:lang w:val="fr-FR"/>
        </w:rPr>
      </w:pPr>
      <w:r>
        <w:rPr>
          <w:lang w:val="fr-FR"/>
        </w:rPr>
        <w:tab/>
      </w:r>
      <w:r w:rsidR="00A20ACD" w:rsidRPr="00DE2924">
        <w:rPr>
          <w:rStyle w:val="Appelnotedebasdep"/>
        </w:rPr>
        <w:footnoteRef/>
      </w:r>
      <w:r>
        <w:rPr>
          <w:lang w:val="fr-FR"/>
        </w:rPr>
        <w:tab/>
      </w:r>
      <w:r w:rsidR="00A20ACD" w:rsidRPr="00AB4DCC">
        <w:rPr>
          <w:lang w:val="fr-FR"/>
        </w:rPr>
        <w:t>Selon les définitions figurant dans la Résolution d’ensemble sur la construction des véhicules (R.E.3), document ECE/TRANS/WP.29/78/Rev.6, par.</w:t>
      </w:r>
      <w:r w:rsidR="005D36EF">
        <w:rPr>
          <w:lang w:val="fr-FR"/>
        </w:rPr>
        <w:t> </w:t>
      </w:r>
      <w:r w:rsidR="00A20ACD" w:rsidRPr="00AB4DCC">
        <w:rPr>
          <w:lang w:val="fr-FR"/>
        </w:rPr>
        <w:t>2</w:t>
      </w:r>
      <w:r w:rsidR="005D36EF">
        <w:rPr>
          <w:lang w:val="fr-FR"/>
        </w:rPr>
        <w:t xml:space="preserve"> </w:t>
      </w:r>
      <w:r w:rsidR="00A20ACD" w:rsidRPr="00AB4DCC">
        <w:rPr>
          <w:lang w:val="fr-FR"/>
        </w:rPr>
        <w:t>(</w:t>
      </w:r>
      <w:hyperlink r:id="rId1" w:history="1">
        <w:r w:rsidR="005D36EF" w:rsidRPr="00A1087B">
          <w:rPr>
            <w:rStyle w:val="Lienhypertexte"/>
            <w:lang w:val="fr-FR"/>
          </w:rPr>
          <w:t>www.unece.org/trans/main/wp29/wp29wgs/ wp29gen/wp29resolutions.html</w:t>
        </w:r>
      </w:hyperlink>
      <w:r w:rsidR="00A20ACD" w:rsidRPr="00AB4DCC">
        <w:rPr>
          <w:lang w:val="fr-FR"/>
        </w:rPr>
        <w:t>).</w:t>
      </w:r>
    </w:p>
  </w:footnote>
  <w:footnote w:id="4">
    <w:p w14:paraId="3151E836" w14:textId="0BF60740" w:rsidR="00A20ACD" w:rsidRPr="00AB4DCC" w:rsidRDefault="00714C7B" w:rsidP="00DE2924">
      <w:pPr>
        <w:pStyle w:val="Notedebasdepage"/>
        <w:rPr>
          <w:szCs w:val="18"/>
          <w:lang w:val="fr-FR"/>
        </w:rPr>
      </w:pPr>
      <w:r>
        <w:rPr>
          <w:lang w:val="fr-FR"/>
        </w:rPr>
        <w:tab/>
      </w:r>
      <w:r w:rsidR="00A20ACD" w:rsidRPr="00DE2924">
        <w:rPr>
          <w:rStyle w:val="Appelnotedebasdep"/>
        </w:rPr>
        <w:footnoteRef/>
      </w:r>
      <w:r>
        <w:rPr>
          <w:lang w:val="fr-FR"/>
        </w:rPr>
        <w:tab/>
      </w:r>
      <w:r w:rsidR="00A20ACD" w:rsidRPr="00AB4DCC">
        <w:rPr>
          <w:rStyle w:val="ui-provider"/>
          <w:lang w:val="fr-FR"/>
        </w:rPr>
        <w:t xml:space="preserve">Les numéros distinctifs des Parties contractantes à l’Accord de 1958 sont indiqués à l’annexe 3 de la Résolution d’ensemble sur la construction des véhicules (R.E.3), document </w:t>
      </w:r>
      <w:r w:rsidR="00A20ACD" w:rsidRPr="00AB4DCC">
        <w:rPr>
          <w:lang w:val="fr-FR"/>
        </w:rPr>
        <w:t>ECE/TRANS/WP.29/78/Rev.6, annexe3 (</w:t>
      </w:r>
      <w:hyperlink r:id="rId2" w:history="1">
        <w:r w:rsidR="005D36EF" w:rsidRPr="00A1087B">
          <w:rPr>
            <w:rStyle w:val="Lienhypertexte"/>
            <w:lang w:val="fr-FR"/>
          </w:rPr>
          <w:t>www.unece.org/trans/main/wp29/wp29wgs/ wp29gen/wp29resolutions.html</w:t>
        </w:r>
      </w:hyperlink>
      <w:r w:rsidR="00A20ACD" w:rsidRPr="00AB4DCC">
        <w:rPr>
          <w:lang w:val="fr-FR"/>
        </w:rPr>
        <w:t>).</w:t>
      </w:r>
    </w:p>
  </w:footnote>
  <w:footnote w:id="5">
    <w:p w14:paraId="2E462CCB" w14:textId="60927631" w:rsidR="00A20ACD" w:rsidRPr="00AB4DCC" w:rsidRDefault="00A20ACD" w:rsidP="00DE2924">
      <w:pPr>
        <w:pStyle w:val="Notedebasdepage"/>
        <w:rPr>
          <w:lang w:val="fr-FR"/>
        </w:rPr>
      </w:pPr>
      <w:r w:rsidRPr="00AB4DCC">
        <w:rPr>
          <w:lang w:val="fr-FR"/>
        </w:rPr>
        <w:tab/>
      </w:r>
      <w:r w:rsidRPr="00DE2924">
        <w:rPr>
          <w:rStyle w:val="Appelnotedebasdep"/>
        </w:rPr>
        <w:footnoteRef/>
      </w:r>
      <w:r w:rsidRPr="00AB4DCC">
        <w:rPr>
          <w:lang w:val="fr-FR"/>
        </w:rPr>
        <w:tab/>
        <w:t>Le secrétariat de la CEE fournit la plateforme en ligne (</w:t>
      </w:r>
      <w:r w:rsidR="00401B26" w:rsidRPr="00AB4DCC">
        <w:rPr>
          <w:lang w:val="fr-FR"/>
        </w:rPr>
        <w:t>«</w:t>
      </w:r>
      <w:r w:rsidR="00401B26">
        <w:rPr>
          <w:lang w:val="fr-FR"/>
        </w:rPr>
        <w:t> </w:t>
      </w:r>
      <w:r w:rsidRPr="00AB4DCC">
        <w:rPr>
          <w:lang w:val="fr-FR"/>
        </w:rPr>
        <w:t>/343 Application</w:t>
      </w:r>
      <w:r w:rsidR="00401B26">
        <w:rPr>
          <w:lang w:val="fr-FR"/>
        </w:rPr>
        <w:t> </w:t>
      </w:r>
      <w:r w:rsidR="00401B26" w:rsidRPr="00AB4DCC">
        <w:rPr>
          <w:lang w:val="fr-FR"/>
        </w:rPr>
        <w:t>»</w:t>
      </w:r>
      <w:r w:rsidRPr="00AB4DCC">
        <w:rPr>
          <w:lang w:val="fr-FR"/>
        </w:rPr>
        <w:t>) pour la communication de ces données</w:t>
      </w:r>
      <w:r w:rsidR="00AB6B32">
        <w:rPr>
          <w:lang w:val="fr-FR"/>
        </w:rPr>
        <w:t> :</w:t>
      </w:r>
      <w:r w:rsidRPr="00AB4DCC">
        <w:rPr>
          <w:lang w:val="fr-FR"/>
        </w:rPr>
        <w:t xml:space="preserve"> </w:t>
      </w:r>
      <w:hyperlink r:id="rId3" w:history="1">
        <w:r w:rsidR="005A0A4B" w:rsidRPr="00A1087B">
          <w:rPr>
            <w:rStyle w:val="Lienhypertexte"/>
            <w:lang w:val="fr-FR"/>
          </w:rPr>
          <w:t>https://www.unece.org/trans/main/wp29/datasharing.html</w:t>
        </w:r>
      </w:hyperlink>
      <w:r w:rsidRPr="00AB4DCC">
        <w:rPr>
          <w:lang w:val="fr-FR"/>
        </w:rPr>
        <w:t>.</w:t>
      </w:r>
    </w:p>
  </w:footnote>
  <w:footnote w:id="6">
    <w:p w14:paraId="44D2F79D" w14:textId="15CB7BD6" w:rsidR="0037414E" w:rsidRPr="00AB4DCC" w:rsidRDefault="0037414E" w:rsidP="0037414E">
      <w:pPr>
        <w:pStyle w:val="Notedebasdepage"/>
        <w:rPr>
          <w:lang w:val="fr-FR"/>
        </w:rPr>
      </w:pPr>
      <w:r w:rsidRPr="00AB4DCC">
        <w:rPr>
          <w:lang w:val="fr-FR"/>
        </w:rPr>
        <w:tab/>
      </w:r>
      <w:r w:rsidRPr="00DE2924">
        <w:rPr>
          <w:rStyle w:val="Appelnotedebasdep"/>
        </w:rPr>
        <w:footnoteRef/>
      </w:r>
      <w:r w:rsidRPr="00AB4DCC">
        <w:rPr>
          <w:lang w:val="fr-FR"/>
        </w:rPr>
        <w:tab/>
        <w:t>Numéro distinctif du pays qui a accordé/étendu/refusé/retiré l’homologation (voir les dispositions du</w:t>
      </w:r>
      <w:r>
        <w:rPr>
          <w:lang w:val="fr-FR"/>
        </w:rPr>
        <w:t> </w:t>
      </w:r>
      <w:r w:rsidRPr="00AB4DCC">
        <w:rPr>
          <w:lang w:val="fr-FR"/>
        </w:rPr>
        <w:t>Règlement relatives à l’homologation)</w:t>
      </w:r>
      <w:r>
        <w:rPr>
          <w:lang w:val="fr-FR"/>
        </w:rPr>
        <w:t>.</w:t>
      </w:r>
    </w:p>
  </w:footnote>
  <w:footnote w:id="7">
    <w:p w14:paraId="6C72216B" w14:textId="77777777" w:rsidR="0037414E" w:rsidRPr="00AB4DCC" w:rsidRDefault="0037414E" w:rsidP="0037414E">
      <w:pPr>
        <w:pStyle w:val="Notedebasdepage"/>
        <w:rPr>
          <w:lang w:val="fr-FR"/>
        </w:rPr>
      </w:pPr>
      <w:r w:rsidRPr="00AB4DCC">
        <w:rPr>
          <w:lang w:val="fr-FR"/>
        </w:rPr>
        <w:tab/>
      </w:r>
      <w:r w:rsidRPr="00DE2924">
        <w:rPr>
          <w:rStyle w:val="Appelnotedebasdep"/>
        </w:rPr>
        <w:footnoteRef/>
      </w:r>
      <w:r w:rsidRPr="00AB4DCC">
        <w:rPr>
          <w:lang w:val="fr-FR"/>
        </w:rPr>
        <w:tab/>
        <w:t>Biffer les mentions inutiles.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2800" w14:textId="0EBBF5D8" w:rsidR="00100EC6" w:rsidRPr="00100EC6" w:rsidRDefault="00100EC6" w:rsidP="00DE2924">
    <w:pPr>
      <w:pStyle w:val="En-tte"/>
    </w:pPr>
    <w:fldSimple w:instr=" TITLE  \* MERGEFORMAT ">
      <w:r w:rsidR="00DE2924">
        <w:t>ECE/TRANS/WP.29/GRVA/2024/24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3F08" w14:textId="4E6D5E59" w:rsidR="00100EC6" w:rsidRPr="00100EC6" w:rsidRDefault="00100EC6" w:rsidP="00DE2924">
    <w:pPr>
      <w:pStyle w:val="En-tte"/>
      <w:jc w:val="right"/>
    </w:pPr>
    <w:fldSimple w:instr=" TITLE  \* MERGEFORMAT ">
      <w:r w:rsidR="00DE2924">
        <w:t>ECE/TRANS/WP.29/GRVA/2024/24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9CB8" w14:textId="5AF3F774" w:rsidR="0037414E" w:rsidRPr="0037414E" w:rsidRDefault="0037414E" w:rsidP="0037414E">
    <w:pPr>
      <w:pStyle w:val="En-tte"/>
      <w:jc w:val="right"/>
    </w:pPr>
    <w:fldSimple w:instr=" TITLE  \* MERGEFORMAT ">
      <w:r>
        <w:t>ECE/TRANS/WP.29/GRVA/2024/24</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0D23" w14:textId="5D32EBAB" w:rsidR="0037414E" w:rsidRPr="0037414E" w:rsidRDefault="0037414E" w:rsidP="0037414E">
    <w:pPr>
      <w:pStyle w:val="En-tte"/>
    </w:pPr>
    <w:fldSimple w:instr=" TITLE  \* MERGEFORMAT ">
      <w:r>
        <w:t>ECE/TRANS/WP.29/GRVA/2024/24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A545D7C"/>
    <w:multiLevelType w:val="hybridMultilevel"/>
    <w:tmpl w:val="54CA200E"/>
    <w:lvl w:ilvl="0" w:tplc="12B4FDB8">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E271A65"/>
    <w:multiLevelType w:val="multilevel"/>
    <w:tmpl w:val="71AC3450"/>
    <w:lvl w:ilvl="0">
      <w:start w:val="7"/>
      <w:numFmt w:val="decimal"/>
      <w:lvlText w:val="%1."/>
      <w:lvlJc w:val="left"/>
      <w:pPr>
        <w:ind w:left="1440" w:hanging="1440"/>
      </w:pPr>
      <w:rPr>
        <w:rFonts w:hint="default"/>
        <w:b/>
        <w:bCs w:val="0"/>
        <w:i w:val="0"/>
        <w:iCs w:val="0"/>
        <w:color w:val="auto"/>
        <w:sz w:val="24"/>
        <w:szCs w:val="24"/>
      </w:rPr>
    </w:lvl>
    <w:lvl w:ilvl="1">
      <w:start w:val="1"/>
      <w:numFmt w:val="decimal"/>
      <w:isLgl/>
      <w:lvlText w:val="%1.%2."/>
      <w:lvlJc w:val="left"/>
      <w:pPr>
        <w:ind w:left="1440" w:hanging="1440"/>
      </w:pPr>
      <w:rPr>
        <w:rFonts w:hint="default"/>
        <w:sz w:val="22"/>
        <w:szCs w:val="16"/>
      </w:rPr>
    </w:lvl>
    <w:lvl w:ilvl="2">
      <w:start w:val="1"/>
      <w:numFmt w:val="decimal"/>
      <w:isLgl/>
      <w:lvlText w:val="%1.%2.%3."/>
      <w:lvlJc w:val="left"/>
      <w:pPr>
        <w:ind w:left="1440" w:hanging="1440"/>
      </w:pPr>
      <w:rPr>
        <w:rFonts w:hint="default"/>
        <w:strike w:val="0"/>
      </w:rPr>
    </w:lvl>
    <w:lvl w:ilvl="3">
      <w:start w:val="1"/>
      <w:numFmt w:val="decimal"/>
      <w:isLgl/>
      <w:lvlText w:val="%1.%2.%3.%4."/>
      <w:lvlJc w:val="left"/>
      <w:pPr>
        <w:ind w:left="1440" w:hanging="1440"/>
      </w:pPr>
      <w:rPr>
        <w:rFonts w:hint="default"/>
        <w:b w:val="0"/>
        <w:bCs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0EC432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43B5FC4"/>
    <w:multiLevelType w:val="multilevel"/>
    <w:tmpl w:val="9C7602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355CD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BE37C6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202A117D"/>
    <w:multiLevelType w:val="hybridMultilevel"/>
    <w:tmpl w:val="175C868A"/>
    <w:lvl w:ilvl="0" w:tplc="FFFFFFFF">
      <w:start w:val="1"/>
      <w:numFmt w:val="lowerLetter"/>
      <w:lvlText w:val="(%1)"/>
      <w:lvlJc w:val="left"/>
      <w:pPr>
        <w:ind w:left="1800" w:hanging="360"/>
      </w:pPr>
      <w:rPr>
        <w:rFonts w:hint="default"/>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21DF248D"/>
    <w:multiLevelType w:val="multilevel"/>
    <w:tmpl w:val="A1E4388E"/>
    <w:lvl w:ilvl="0">
      <w:start w:val="1"/>
      <w:numFmt w:val="decimal"/>
      <w:lvlText w:val="%1."/>
      <w:lvlJc w:val="left"/>
      <w:pPr>
        <w:ind w:left="1440" w:hanging="1440"/>
      </w:pPr>
      <w:rPr>
        <w:rFonts w:hint="default"/>
      </w:rPr>
    </w:lvl>
    <w:lvl w:ilvl="1">
      <w:start w:val="1"/>
      <w:numFmt w:val="decimal"/>
      <w:isLgl/>
      <w:lvlText w:val="%1.%2."/>
      <w:lvlJc w:val="left"/>
      <w:pPr>
        <w:ind w:left="1440" w:hanging="1440"/>
      </w:pPr>
      <w:rPr>
        <w:rFonts w:hint="default"/>
      </w:rPr>
    </w:lvl>
    <w:lvl w:ilvl="2">
      <w:start w:val="1"/>
      <w:numFmt w:val="decimal"/>
      <w:isLgl/>
      <w:lvlText w:val="%1.%2.%3."/>
      <w:lvlJc w:val="left"/>
      <w:pPr>
        <w:ind w:left="1440" w:hanging="144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22" w15:restartNumberingAfterBreak="0">
    <w:nsid w:val="2C62588C"/>
    <w:multiLevelType w:val="multilevel"/>
    <w:tmpl w:val="93FCA72E"/>
    <w:lvl w:ilvl="0">
      <w:start w:val="2"/>
      <w:numFmt w:val="decimal"/>
      <w:lvlText w:val="%1."/>
      <w:lvlJc w:val="left"/>
      <w:pPr>
        <w:ind w:left="1440" w:hanging="1440"/>
      </w:pPr>
      <w:rPr>
        <w:rFonts w:hint="default"/>
        <w:b/>
        <w:bCs w:val="0"/>
        <w:i w:val="0"/>
        <w:iCs w:val="0"/>
        <w:color w:val="auto"/>
        <w:sz w:val="24"/>
        <w:szCs w:val="24"/>
      </w:rPr>
    </w:lvl>
    <w:lvl w:ilvl="1">
      <w:start w:val="1"/>
      <w:numFmt w:val="decimal"/>
      <w:isLgl/>
      <w:lvlText w:val="%1.%2."/>
      <w:lvlJc w:val="left"/>
      <w:pPr>
        <w:ind w:left="1440" w:hanging="1440"/>
      </w:pPr>
      <w:rPr>
        <w:rFonts w:hint="default"/>
        <w:sz w:val="22"/>
        <w:szCs w:val="16"/>
      </w:rPr>
    </w:lvl>
    <w:lvl w:ilvl="2">
      <w:start w:val="1"/>
      <w:numFmt w:val="decimal"/>
      <w:isLgl/>
      <w:lvlText w:val="%1.%2.%3."/>
      <w:lvlJc w:val="left"/>
      <w:pPr>
        <w:ind w:left="1440" w:hanging="1440"/>
      </w:pPr>
      <w:rPr>
        <w:rFonts w:hint="default"/>
        <w:strike w:val="0"/>
      </w:rPr>
    </w:lvl>
    <w:lvl w:ilvl="3">
      <w:start w:val="1"/>
      <w:numFmt w:val="decimal"/>
      <w:isLgl/>
      <w:lvlText w:val="%1.%2.%3.%4."/>
      <w:lvlJc w:val="left"/>
      <w:pPr>
        <w:ind w:left="1440" w:hanging="1440"/>
      </w:pPr>
      <w:rPr>
        <w:rFonts w:hint="default"/>
        <w:b w:val="0"/>
        <w:bCs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2FB73E94"/>
    <w:multiLevelType w:val="hybridMultilevel"/>
    <w:tmpl w:val="175C868A"/>
    <w:lvl w:ilvl="0" w:tplc="E774FB28">
      <w:start w:val="1"/>
      <w:numFmt w:val="lowerLetter"/>
      <w:lvlText w:val="(%1)"/>
      <w:lvlJc w:val="left"/>
      <w:pPr>
        <w:ind w:left="1800" w:hanging="360"/>
      </w:pPr>
      <w:rPr>
        <w:rFonts w:hint="default"/>
        <w:sz w:val="20"/>
        <w:szCs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CB061AB"/>
    <w:multiLevelType w:val="singleLevel"/>
    <w:tmpl w:val="1C1E1026"/>
    <w:lvl w:ilvl="0">
      <w:start w:val="1"/>
      <w:numFmt w:val="decimal"/>
      <w:lvlText w:val="%1."/>
      <w:lvlJc w:val="left"/>
      <w:pPr>
        <w:tabs>
          <w:tab w:val="num" w:pos="360"/>
        </w:tabs>
        <w:ind w:left="-1" w:firstLine="1"/>
      </w:pPr>
      <w:rPr>
        <w:rFonts w:hint="default"/>
      </w:rPr>
    </w:lvl>
  </w:abstractNum>
  <w:abstractNum w:abstractNumId="26"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27" w15:restartNumberingAfterBreak="0">
    <w:nsid w:val="65925DC1"/>
    <w:multiLevelType w:val="hybridMultilevel"/>
    <w:tmpl w:val="FAA66F24"/>
    <w:lvl w:ilvl="0" w:tplc="1A4C4822">
      <w:start w:val="1"/>
      <w:numFmt w:val="bullet"/>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5E223DA"/>
    <w:multiLevelType w:val="hybridMultilevel"/>
    <w:tmpl w:val="5B7ACB42"/>
    <w:lvl w:ilvl="0" w:tplc="A2CE5F8E">
      <w:start w:val="1"/>
      <w:numFmt w:val="bullet"/>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28"/>
  </w:num>
  <w:num w:numId="2">
    <w:abstractNumId w:val="24"/>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24"/>
  </w:num>
  <w:num w:numId="16">
    <w:abstractNumId w:val="13"/>
  </w:num>
  <w:num w:numId="17">
    <w:abstractNumId w:val="18"/>
  </w:num>
  <w:num w:numId="18">
    <w:abstractNumId w:val="15"/>
  </w:num>
  <w:num w:numId="19">
    <w:abstractNumId w:val="17"/>
  </w:num>
  <w:num w:numId="20">
    <w:abstractNumId w:val="27"/>
  </w:num>
  <w:num w:numId="21">
    <w:abstractNumId w:val="29"/>
  </w:num>
  <w:num w:numId="22">
    <w:abstractNumId w:val="26"/>
  </w:num>
  <w:num w:numId="23">
    <w:abstractNumId w:val="25"/>
  </w:num>
  <w:num w:numId="24">
    <w:abstractNumId w:val="30"/>
  </w:num>
  <w:num w:numId="25">
    <w:abstractNumId w:val="21"/>
  </w:num>
  <w:num w:numId="26">
    <w:abstractNumId w:val="10"/>
    <w:lvlOverride w:ilvl="0">
      <w:startOverride w:val="1"/>
      <w:lvl w:ilvl="0">
        <w:start w:val="1"/>
        <w:numFmt w:val="decimal"/>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12"/>
  </w:num>
  <w:num w:numId="28">
    <w:abstractNumId w:val="11"/>
  </w:num>
  <w:num w:numId="29">
    <w:abstractNumId w:val="22"/>
  </w:num>
  <w:num w:numId="30">
    <w:abstractNumId w:val="16"/>
  </w:num>
  <w:num w:numId="31">
    <w:abstractNumId w:val="20"/>
  </w:num>
  <w:num w:numId="32">
    <w:abstractNumId w:val="14"/>
  </w:num>
  <w:num w:numId="33">
    <w:abstractNumId w:val="2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7E"/>
    <w:rsid w:val="00017F94"/>
    <w:rsid w:val="00023842"/>
    <w:rsid w:val="000334F9"/>
    <w:rsid w:val="00045FEB"/>
    <w:rsid w:val="00053BD0"/>
    <w:rsid w:val="0007796D"/>
    <w:rsid w:val="000B7790"/>
    <w:rsid w:val="00100EC6"/>
    <w:rsid w:val="00111F2F"/>
    <w:rsid w:val="0014365E"/>
    <w:rsid w:val="00143C66"/>
    <w:rsid w:val="00176178"/>
    <w:rsid w:val="001F525A"/>
    <w:rsid w:val="00201148"/>
    <w:rsid w:val="00223272"/>
    <w:rsid w:val="0024779E"/>
    <w:rsid w:val="00257168"/>
    <w:rsid w:val="002744B8"/>
    <w:rsid w:val="002832AC"/>
    <w:rsid w:val="002D7C93"/>
    <w:rsid w:val="00305801"/>
    <w:rsid w:val="0037414E"/>
    <w:rsid w:val="003916DE"/>
    <w:rsid w:val="00401B26"/>
    <w:rsid w:val="00421996"/>
    <w:rsid w:val="00441C3B"/>
    <w:rsid w:val="00446FE5"/>
    <w:rsid w:val="00452396"/>
    <w:rsid w:val="004560AA"/>
    <w:rsid w:val="00477EB2"/>
    <w:rsid w:val="004837D8"/>
    <w:rsid w:val="004E2EED"/>
    <w:rsid w:val="004E468C"/>
    <w:rsid w:val="005505B7"/>
    <w:rsid w:val="00571A25"/>
    <w:rsid w:val="00573BE5"/>
    <w:rsid w:val="00586ED3"/>
    <w:rsid w:val="00596AA9"/>
    <w:rsid w:val="005A0A4B"/>
    <w:rsid w:val="005D36EF"/>
    <w:rsid w:val="0067037F"/>
    <w:rsid w:val="00714C7B"/>
    <w:rsid w:val="0071601D"/>
    <w:rsid w:val="007412B6"/>
    <w:rsid w:val="007A62E6"/>
    <w:rsid w:val="007F20FA"/>
    <w:rsid w:val="0080684C"/>
    <w:rsid w:val="00871C75"/>
    <w:rsid w:val="008776DC"/>
    <w:rsid w:val="008D5EF9"/>
    <w:rsid w:val="009446C0"/>
    <w:rsid w:val="009705C8"/>
    <w:rsid w:val="009C1CF4"/>
    <w:rsid w:val="009C1E40"/>
    <w:rsid w:val="009F6B74"/>
    <w:rsid w:val="00A20ACD"/>
    <w:rsid w:val="00A3029F"/>
    <w:rsid w:val="00A30353"/>
    <w:rsid w:val="00AB6B32"/>
    <w:rsid w:val="00AC3823"/>
    <w:rsid w:val="00AE25B6"/>
    <w:rsid w:val="00AE323C"/>
    <w:rsid w:val="00AF0CB5"/>
    <w:rsid w:val="00B00181"/>
    <w:rsid w:val="00B00B0D"/>
    <w:rsid w:val="00B45F2E"/>
    <w:rsid w:val="00B765F7"/>
    <w:rsid w:val="00B77993"/>
    <w:rsid w:val="00BA0CA9"/>
    <w:rsid w:val="00C02897"/>
    <w:rsid w:val="00C06F7E"/>
    <w:rsid w:val="00C24A8A"/>
    <w:rsid w:val="00C340E0"/>
    <w:rsid w:val="00C97039"/>
    <w:rsid w:val="00D3439C"/>
    <w:rsid w:val="00D62247"/>
    <w:rsid w:val="00D7622E"/>
    <w:rsid w:val="00DB1831"/>
    <w:rsid w:val="00DD3BFD"/>
    <w:rsid w:val="00DE2924"/>
    <w:rsid w:val="00DF6678"/>
    <w:rsid w:val="00E0299A"/>
    <w:rsid w:val="00E201F8"/>
    <w:rsid w:val="00E85C74"/>
    <w:rsid w:val="00EA6547"/>
    <w:rsid w:val="00ED7237"/>
    <w:rsid w:val="00EF2E22"/>
    <w:rsid w:val="00F10984"/>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83A2F"/>
  <w15:docId w15:val="{9C543558-6366-4F5E-B809-0C03292A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92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14C7B"/>
    <w:pPr>
      <w:keepNext/>
      <w:keepLines/>
      <w:tabs>
        <w:tab w:val="left" w:pos="1701"/>
        <w:tab w:val="left" w:pos="2268"/>
        <w:tab w:val="left" w:pos="2835"/>
      </w:tabs>
      <w:spacing w:after="0" w:line="240" w:lineRule="auto"/>
      <w:ind w:right="0"/>
      <w:jc w:val="left"/>
      <w:outlineLvl w:val="0"/>
    </w:pPr>
  </w:style>
  <w:style w:type="paragraph" w:styleId="Titre2">
    <w:name w:val="heading 2"/>
    <w:aliases w:val="h2"/>
    <w:basedOn w:val="Normal"/>
    <w:next w:val="Normal"/>
    <w:link w:val="Titre2Car"/>
    <w:qFormat/>
    <w:rsid w:val="00DE2924"/>
    <w:pPr>
      <w:outlineLvl w:val="1"/>
    </w:pPr>
  </w:style>
  <w:style w:type="paragraph" w:styleId="Titre3">
    <w:name w:val="heading 3"/>
    <w:aliases w:val="h3"/>
    <w:basedOn w:val="Normal"/>
    <w:next w:val="Normal"/>
    <w:link w:val="Titre3Car"/>
    <w:qFormat/>
    <w:rsid w:val="00DE2924"/>
    <w:pPr>
      <w:outlineLvl w:val="2"/>
    </w:pPr>
  </w:style>
  <w:style w:type="paragraph" w:styleId="Titre4">
    <w:name w:val="heading 4"/>
    <w:aliases w:val="h4"/>
    <w:basedOn w:val="Normal"/>
    <w:next w:val="Normal"/>
    <w:link w:val="Titre4Car"/>
    <w:qFormat/>
    <w:rsid w:val="00DE2924"/>
    <w:pPr>
      <w:outlineLvl w:val="3"/>
    </w:pPr>
  </w:style>
  <w:style w:type="paragraph" w:styleId="Titre5">
    <w:name w:val="heading 5"/>
    <w:aliases w:val="h5"/>
    <w:basedOn w:val="Normal"/>
    <w:next w:val="Normal"/>
    <w:link w:val="Titre5Car"/>
    <w:qFormat/>
    <w:rsid w:val="00DE2924"/>
    <w:pPr>
      <w:outlineLvl w:val="4"/>
    </w:pPr>
  </w:style>
  <w:style w:type="paragraph" w:styleId="Titre6">
    <w:name w:val="heading 6"/>
    <w:aliases w:val="h6"/>
    <w:basedOn w:val="Normal"/>
    <w:next w:val="Normal"/>
    <w:link w:val="Titre6Car"/>
    <w:qFormat/>
    <w:rsid w:val="00DE2924"/>
    <w:pPr>
      <w:outlineLvl w:val="5"/>
    </w:pPr>
  </w:style>
  <w:style w:type="paragraph" w:styleId="Titre7">
    <w:name w:val="heading 7"/>
    <w:basedOn w:val="Normal"/>
    <w:next w:val="Normal"/>
    <w:link w:val="Titre7Car"/>
    <w:qFormat/>
    <w:rsid w:val="00DE2924"/>
    <w:pPr>
      <w:outlineLvl w:val="6"/>
    </w:pPr>
  </w:style>
  <w:style w:type="paragraph" w:styleId="Titre8">
    <w:name w:val="heading 8"/>
    <w:basedOn w:val="Normal"/>
    <w:next w:val="Normal"/>
    <w:link w:val="Titre8Car"/>
    <w:qFormat/>
    <w:rsid w:val="00DE2924"/>
    <w:pPr>
      <w:outlineLvl w:val="7"/>
    </w:pPr>
  </w:style>
  <w:style w:type="paragraph" w:styleId="Titre9">
    <w:name w:val="heading 9"/>
    <w:basedOn w:val="Normal"/>
    <w:next w:val="Normal"/>
    <w:link w:val="Titre9Car"/>
    <w:qFormat/>
    <w:rsid w:val="00DE2924"/>
    <w:pPr>
      <w:outlineLvl w:val="8"/>
    </w:pPr>
  </w:style>
  <w:style w:type="character" w:default="1" w:styleId="Policepardfaut">
    <w:name w:val="Default Paragraph Font"/>
    <w:uiPriority w:val="1"/>
    <w:unhideWhenUsed/>
    <w:rsid w:val="00DE2924"/>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DE2924"/>
  </w:style>
  <w:style w:type="paragraph" w:styleId="En-tte">
    <w:name w:val="header"/>
    <w:aliases w:val="6_G"/>
    <w:basedOn w:val="Normal"/>
    <w:next w:val="Normal"/>
    <w:link w:val="En-tteCar"/>
    <w:qFormat/>
    <w:rsid w:val="00DE292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E292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E2924"/>
    <w:pPr>
      <w:spacing w:line="240" w:lineRule="auto"/>
    </w:pPr>
    <w:rPr>
      <w:sz w:val="16"/>
    </w:rPr>
  </w:style>
  <w:style w:type="character" w:customStyle="1" w:styleId="PieddepageCar">
    <w:name w:val="Pied de page Car"/>
    <w:aliases w:val="3_G Car"/>
    <w:basedOn w:val="Policepardfaut"/>
    <w:link w:val="Pieddepage"/>
    <w:rsid w:val="00DE292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E292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E292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E292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DE292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E292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E292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E2924"/>
    <w:pPr>
      <w:spacing w:after="120"/>
      <w:ind w:left="1134" w:right="1134"/>
      <w:jc w:val="both"/>
    </w:pPr>
  </w:style>
  <w:style w:type="paragraph" w:customStyle="1" w:styleId="SLG">
    <w:name w:val="__S_L_G"/>
    <w:basedOn w:val="Normal"/>
    <w:next w:val="Normal"/>
    <w:rsid w:val="00DE2924"/>
    <w:pPr>
      <w:keepNext/>
      <w:keepLines/>
      <w:spacing w:before="240" w:after="240" w:line="580" w:lineRule="exact"/>
      <w:ind w:left="1134" w:right="1134"/>
    </w:pPr>
    <w:rPr>
      <w:b/>
      <w:sz w:val="56"/>
    </w:rPr>
  </w:style>
  <w:style w:type="paragraph" w:customStyle="1" w:styleId="SMG">
    <w:name w:val="__S_M_G"/>
    <w:basedOn w:val="Normal"/>
    <w:next w:val="Normal"/>
    <w:rsid w:val="00DE2924"/>
    <w:pPr>
      <w:keepNext/>
      <w:keepLines/>
      <w:spacing w:before="240" w:after="240" w:line="420" w:lineRule="exact"/>
      <w:ind w:left="1134" w:right="1134"/>
    </w:pPr>
    <w:rPr>
      <w:b/>
      <w:sz w:val="40"/>
    </w:rPr>
  </w:style>
  <w:style w:type="paragraph" w:customStyle="1" w:styleId="SSG">
    <w:name w:val="__S_S_G"/>
    <w:basedOn w:val="Normal"/>
    <w:next w:val="Normal"/>
    <w:rsid w:val="00DE2924"/>
    <w:pPr>
      <w:keepNext/>
      <w:keepLines/>
      <w:spacing w:before="240" w:after="240" w:line="300" w:lineRule="exact"/>
      <w:ind w:left="1134" w:right="1134"/>
    </w:pPr>
    <w:rPr>
      <w:b/>
      <w:sz w:val="28"/>
    </w:rPr>
  </w:style>
  <w:style w:type="paragraph" w:customStyle="1" w:styleId="XLargeG">
    <w:name w:val="__XLarge_G"/>
    <w:basedOn w:val="Normal"/>
    <w:next w:val="Normal"/>
    <w:rsid w:val="00DE2924"/>
    <w:pPr>
      <w:keepNext/>
      <w:keepLines/>
      <w:spacing w:before="240" w:after="240" w:line="420" w:lineRule="exact"/>
      <w:ind w:left="1134" w:right="1134"/>
    </w:pPr>
    <w:rPr>
      <w:b/>
      <w:sz w:val="40"/>
    </w:rPr>
  </w:style>
  <w:style w:type="paragraph" w:customStyle="1" w:styleId="Bullet1G">
    <w:name w:val="_Bullet 1_G"/>
    <w:basedOn w:val="Normal"/>
    <w:qFormat/>
    <w:rsid w:val="00DE2924"/>
    <w:pPr>
      <w:numPr>
        <w:numId w:val="1"/>
      </w:numPr>
      <w:spacing w:after="120"/>
      <w:ind w:right="1134"/>
      <w:jc w:val="both"/>
    </w:pPr>
  </w:style>
  <w:style w:type="paragraph" w:customStyle="1" w:styleId="Bullet2G">
    <w:name w:val="_Bullet 2_G"/>
    <w:basedOn w:val="Normal"/>
    <w:qFormat/>
    <w:rsid w:val="00DE2924"/>
    <w:pPr>
      <w:numPr>
        <w:numId w:val="2"/>
      </w:numPr>
      <w:spacing w:after="120"/>
      <w:ind w:right="1134"/>
      <w:jc w:val="both"/>
    </w:pPr>
  </w:style>
  <w:style w:type="paragraph" w:customStyle="1" w:styleId="ParNoG">
    <w:name w:val="_ParNo_G"/>
    <w:basedOn w:val="Normal"/>
    <w:qFormat/>
    <w:rsid w:val="00DE2924"/>
    <w:pPr>
      <w:numPr>
        <w:numId w:val="3"/>
      </w:numPr>
      <w:tabs>
        <w:tab w:val="clear" w:pos="1701"/>
      </w:tabs>
      <w:spacing w:after="120"/>
      <w:ind w:right="1134"/>
      <w:jc w:val="both"/>
    </w:pPr>
  </w:style>
  <w:style w:type="character" w:styleId="Appelnotedebasdep">
    <w:name w:val="footnote reference"/>
    <w:aliases w:val="4_G"/>
    <w:basedOn w:val="Policepardfaut"/>
    <w:qFormat/>
    <w:rsid w:val="00DE2924"/>
    <w:rPr>
      <w:rFonts w:ascii="Times New Roman" w:hAnsi="Times New Roman"/>
      <w:sz w:val="18"/>
      <w:vertAlign w:val="superscript"/>
      <w:lang w:val="fr-CH"/>
    </w:rPr>
  </w:style>
  <w:style w:type="character" w:styleId="Appeldenotedefin">
    <w:name w:val="endnote reference"/>
    <w:aliases w:val="1_G"/>
    <w:basedOn w:val="Appelnotedebasdep"/>
    <w:qFormat/>
    <w:rsid w:val="00DE2924"/>
    <w:rPr>
      <w:rFonts w:ascii="Times New Roman" w:hAnsi="Times New Roman"/>
      <w:sz w:val="18"/>
      <w:vertAlign w:val="superscript"/>
      <w:lang w:val="fr-CH"/>
    </w:rPr>
  </w:style>
  <w:style w:type="table" w:styleId="Grilledutableau">
    <w:name w:val="Table Grid"/>
    <w:basedOn w:val="TableauNormal"/>
    <w:rsid w:val="00DE292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E2924"/>
    <w:rPr>
      <w:color w:val="0000FF"/>
      <w:u w:val="none"/>
    </w:rPr>
  </w:style>
  <w:style w:type="character" w:styleId="Lienhypertextesuivivisit">
    <w:name w:val="FollowedHyperlink"/>
    <w:basedOn w:val="Policepardfaut"/>
    <w:unhideWhenUsed/>
    <w:rsid w:val="00DE2924"/>
    <w:rPr>
      <w:color w:val="0000FF"/>
      <w:u w:val="none"/>
    </w:rPr>
  </w:style>
  <w:style w:type="paragraph" w:styleId="Notedebasdepage">
    <w:name w:val="footnote text"/>
    <w:aliases w:val="5_G"/>
    <w:basedOn w:val="Normal"/>
    <w:link w:val="NotedebasdepageCar"/>
    <w:qFormat/>
    <w:rsid w:val="00DE292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E292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E2924"/>
  </w:style>
  <w:style w:type="character" w:customStyle="1" w:styleId="NotedefinCar">
    <w:name w:val="Note de fin Car"/>
    <w:aliases w:val="2_G Car"/>
    <w:basedOn w:val="Policepardfaut"/>
    <w:link w:val="Notedefin"/>
    <w:rsid w:val="00DE292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E2924"/>
    <w:rPr>
      <w:rFonts w:ascii="Times New Roman" w:hAnsi="Times New Roman"/>
      <w:b/>
      <w:sz w:val="18"/>
      <w:lang w:val="fr-CH"/>
    </w:rPr>
  </w:style>
  <w:style w:type="character" w:customStyle="1" w:styleId="Titre1Car">
    <w:name w:val="Titre 1 Car"/>
    <w:aliases w:val="Table_G Car"/>
    <w:basedOn w:val="Policepardfaut"/>
    <w:link w:val="Titre1"/>
    <w:rsid w:val="00714C7B"/>
    <w:rPr>
      <w:rFonts w:ascii="Times New Roman" w:eastAsiaTheme="minorHAnsi" w:hAnsi="Times New Roman" w:cs="Times New Roman"/>
      <w:sz w:val="20"/>
      <w:szCs w:val="20"/>
      <w:lang w:eastAsia="en-US"/>
    </w:rPr>
  </w:style>
  <w:style w:type="character" w:customStyle="1" w:styleId="Titre2Car">
    <w:name w:val="Titre 2 Car"/>
    <w:aliases w:val="h2 Car"/>
    <w:basedOn w:val="Policepardfaut"/>
    <w:link w:val="Titre2"/>
    <w:rsid w:val="00DE2924"/>
    <w:rPr>
      <w:rFonts w:ascii="Times New Roman" w:eastAsiaTheme="minorHAnsi" w:hAnsi="Times New Roman" w:cs="Times New Roman"/>
      <w:sz w:val="20"/>
      <w:szCs w:val="20"/>
      <w:lang w:eastAsia="en-US"/>
    </w:rPr>
  </w:style>
  <w:style w:type="character" w:customStyle="1" w:styleId="Titre3Car">
    <w:name w:val="Titre 3 Car"/>
    <w:aliases w:val="h3 Car"/>
    <w:basedOn w:val="Policepardfaut"/>
    <w:link w:val="Titre3"/>
    <w:rsid w:val="00DE2924"/>
    <w:rPr>
      <w:rFonts w:ascii="Times New Roman" w:eastAsiaTheme="minorHAnsi" w:hAnsi="Times New Roman" w:cs="Times New Roman"/>
      <w:sz w:val="20"/>
      <w:szCs w:val="20"/>
      <w:lang w:eastAsia="en-US"/>
    </w:rPr>
  </w:style>
  <w:style w:type="character" w:customStyle="1" w:styleId="Titre4Car">
    <w:name w:val="Titre 4 Car"/>
    <w:aliases w:val="h4 Car"/>
    <w:basedOn w:val="Policepardfaut"/>
    <w:link w:val="Titre4"/>
    <w:rsid w:val="00DE2924"/>
    <w:rPr>
      <w:rFonts w:ascii="Times New Roman" w:eastAsiaTheme="minorHAnsi" w:hAnsi="Times New Roman" w:cs="Times New Roman"/>
      <w:sz w:val="20"/>
      <w:szCs w:val="20"/>
      <w:lang w:eastAsia="en-US"/>
    </w:rPr>
  </w:style>
  <w:style w:type="character" w:customStyle="1" w:styleId="Titre5Car">
    <w:name w:val="Titre 5 Car"/>
    <w:aliases w:val="h5 Car"/>
    <w:basedOn w:val="Policepardfaut"/>
    <w:link w:val="Titre5"/>
    <w:rsid w:val="00DE2924"/>
    <w:rPr>
      <w:rFonts w:ascii="Times New Roman" w:eastAsiaTheme="minorHAnsi" w:hAnsi="Times New Roman" w:cs="Times New Roman"/>
      <w:sz w:val="20"/>
      <w:szCs w:val="20"/>
      <w:lang w:eastAsia="en-US"/>
    </w:rPr>
  </w:style>
  <w:style w:type="character" w:customStyle="1" w:styleId="Titre6Car">
    <w:name w:val="Titre 6 Car"/>
    <w:aliases w:val="h6 Car"/>
    <w:basedOn w:val="Policepardfaut"/>
    <w:link w:val="Titre6"/>
    <w:rsid w:val="00DE2924"/>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DE2924"/>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DE2924"/>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DE2924"/>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DE292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2924"/>
    <w:rPr>
      <w:rFonts w:ascii="Tahoma" w:eastAsiaTheme="minorHAnsi" w:hAnsi="Tahoma" w:cs="Tahoma"/>
      <w:sz w:val="16"/>
      <w:szCs w:val="16"/>
      <w:lang w:eastAsia="en-US"/>
    </w:rPr>
  </w:style>
  <w:style w:type="character" w:customStyle="1" w:styleId="SingleTxtGChar">
    <w:name w:val="_ Single Txt_G Char"/>
    <w:link w:val="SingleTxtG"/>
    <w:qFormat/>
    <w:rsid w:val="00A20ACD"/>
    <w:rPr>
      <w:rFonts w:ascii="Times New Roman" w:eastAsiaTheme="minorHAnsi" w:hAnsi="Times New Roman" w:cs="Times New Roman"/>
      <w:sz w:val="20"/>
      <w:szCs w:val="20"/>
      <w:lang w:eastAsia="en-US"/>
    </w:rPr>
  </w:style>
  <w:style w:type="paragraph" w:customStyle="1" w:styleId="Rvision1">
    <w:name w:val="Révision1"/>
    <w:hidden/>
    <w:uiPriority w:val="99"/>
    <w:semiHidden/>
    <w:rsid w:val="00A20ACD"/>
    <w:pPr>
      <w:spacing w:after="0" w:line="240" w:lineRule="auto"/>
    </w:pPr>
    <w:rPr>
      <w:rFonts w:ascii="Times New Roman" w:eastAsiaTheme="minorEastAsia" w:hAnsi="Times New Roman" w:cs="Times New Roman"/>
      <w:sz w:val="24"/>
      <w:szCs w:val="24"/>
      <w:lang w:val="en-GB" w:eastAsia="en-US"/>
    </w:rPr>
  </w:style>
  <w:style w:type="character" w:customStyle="1" w:styleId="HChGChar">
    <w:name w:val="_ H _Ch_G Char"/>
    <w:link w:val="HChG"/>
    <w:qFormat/>
    <w:rsid w:val="00A20ACD"/>
    <w:rPr>
      <w:rFonts w:ascii="Times New Roman" w:eastAsiaTheme="minorHAnsi" w:hAnsi="Times New Roman" w:cs="Times New Roman"/>
      <w:b/>
      <w:sz w:val="28"/>
      <w:szCs w:val="20"/>
      <w:lang w:eastAsia="en-US"/>
    </w:rPr>
  </w:style>
  <w:style w:type="paragraph" w:styleId="Paragraphedeliste">
    <w:name w:val="List Paragraph"/>
    <w:basedOn w:val="Normal"/>
    <w:uiPriority w:val="34"/>
    <w:qFormat/>
    <w:rsid w:val="00A20ACD"/>
    <w:pPr>
      <w:ind w:left="720"/>
      <w:contextualSpacing/>
    </w:pPr>
  </w:style>
  <w:style w:type="paragraph" w:styleId="Rvision">
    <w:name w:val="Revision"/>
    <w:hidden/>
    <w:uiPriority w:val="99"/>
    <w:semiHidden/>
    <w:rsid w:val="00A20ACD"/>
    <w:pPr>
      <w:spacing w:after="0" w:line="240" w:lineRule="auto"/>
    </w:pPr>
    <w:rPr>
      <w:rFonts w:ascii="Times New Roman" w:eastAsiaTheme="minorEastAsia" w:hAnsi="Times New Roman" w:cs="Times New Roman"/>
      <w:sz w:val="20"/>
      <w:szCs w:val="20"/>
      <w:lang w:val="en-GB" w:eastAsia="en-US"/>
    </w:rPr>
  </w:style>
  <w:style w:type="character" w:customStyle="1" w:styleId="H1GChar">
    <w:name w:val="_ H_1_G Char"/>
    <w:link w:val="H1G"/>
    <w:rsid w:val="00A20ACD"/>
    <w:rPr>
      <w:rFonts w:ascii="Times New Roman" w:eastAsiaTheme="minorHAnsi" w:hAnsi="Times New Roman" w:cs="Times New Roman"/>
      <w:b/>
      <w:sz w:val="24"/>
      <w:szCs w:val="20"/>
      <w:lang w:eastAsia="en-US"/>
    </w:rPr>
  </w:style>
  <w:style w:type="paragraph" w:customStyle="1" w:styleId="para">
    <w:name w:val="para"/>
    <w:basedOn w:val="SingleTxtG"/>
    <w:link w:val="paraChar"/>
    <w:qFormat/>
    <w:rsid w:val="00A20ACD"/>
    <w:pPr>
      <w:tabs>
        <w:tab w:val="left" w:pos="1701"/>
        <w:tab w:val="left" w:pos="2268"/>
        <w:tab w:val="left" w:pos="2835"/>
      </w:tabs>
      <w:ind w:left="2268" w:hanging="1134"/>
    </w:pPr>
    <w:rPr>
      <w:rFonts w:eastAsia="Yu Mincho"/>
      <w:lang w:val="x-none"/>
    </w:rPr>
  </w:style>
  <w:style w:type="character" w:customStyle="1" w:styleId="paraChar">
    <w:name w:val="para Char"/>
    <w:link w:val="para"/>
    <w:locked/>
    <w:rsid w:val="00A20ACD"/>
    <w:rPr>
      <w:rFonts w:ascii="Times New Roman" w:eastAsia="Yu Mincho" w:hAnsi="Times New Roman" w:cs="Times New Roman"/>
      <w:sz w:val="20"/>
      <w:szCs w:val="20"/>
      <w:lang w:val="x-none" w:eastAsia="en-US"/>
    </w:rPr>
  </w:style>
  <w:style w:type="character" w:customStyle="1" w:styleId="ui-provider">
    <w:name w:val="ui-provider"/>
    <w:basedOn w:val="Policepardfaut"/>
    <w:rsid w:val="00A20ACD"/>
  </w:style>
  <w:style w:type="character" w:styleId="Mentionnonrsolue">
    <w:name w:val="Unresolved Mention"/>
    <w:basedOn w:val="Policepardfaut"/>
    <w:uiPriority w:val="99"/>
    <w:semiHidden/>
    <w:unhideWhenUsed/>
    <w:rsid w:val="005A0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trans/main/wp29/datasharing.html" TargetMode="External"/><Relationship Id="rId2" Type="http://schemas.openxmlformats.org/officeDocument/2006/relationships/hyperlink" Target="http://www.unece.org/trans/main/wp29/wp29wgs/%20wp29gen/wp29resolutions.html" TargetMode="External"/><Relationship Id="rId1" Type="http://schemas.openxmlformats.org/officeDocument/2006/relationships/hyperlink" Target="http://www.unece.org/trans/main/wp29/wp29wgs/%20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D26E34-9CAC-420D-A257-7DB033FFF4B2}">
  <ds:schemaRefs>
    <ds:schemaRef ds:uri="http://schemas.openxmlformats.org/officeDocument/2006/bibliography"/>
  </ds:schemaRefs>
</ds:datastoreItem>
</file>

<file path=customXml/itemProps2.xml><?xml version="1.0" encoding="utf-8"?>
<ds:datastoreItem xmlns:ds="http://schemas.openxmlformats.org/officeDocument/2006/customXml" ds:itemID="{70323C68-C3AB-49E6-9B89-A2337CD7171D}"/>
</file>

<file path=customXml/itemProps3.xml><?xml version="1.0" encoding="utf-8"?>
<ds:datastoreItem xmlns:ds="http://schemas.openxmlformats.org/officeDocument/2006/customXml" ds:itemID="{EC2EEC07-2AA0-4A8A-AA7D-734B83D0209B}"/>
</file>

<file path=docProps/app.xml><?xml version="1.0" encoding="utf-8"?>
<Properties xmlns="http://schemas.openxmlformats.org/officeDocument/2006/extended-properties" xmlns:vt="http://schemas.openxmlformats.org/officeDocument/2006/docPropsVTypes">
  <Template>ECE_TRANS.dotm</Template>
  <TotalTime>0</TotalTime>
  <Pages>23</Pages>
  <Words>6761</Words>
  <Characters>47332</Characters>
  <Application>Microsoft Office Word</Application>
  <DocSecurity>0</DocSecurity>
  <Lines>3944</Lines>
  <Paragraphs>2163</Paragraphs>
  <ScaleCrop>false</ScaleCrop>
  <HeadingPairs>
    <vt:vector size="2" baseType="variant">
      <vt:variant>
        <vt:lpstr>Titre</vt:lpstr>
      </vt:variant>
      <vt:variant>
        <vt:i4>1</vt:i4>
      </vt:variant>
    </vt:vector>
  </HeadingPairs>
  <TitlesOfParts>
    <vt:vector size="1" baseType="lpstr">
      <vt:lpstr>ECE/TRANS/WP.29/GRVA/2024/24</vt:lpstr>
    </vt:vector>
  </TitlesOfParts>
  <Company>DCM</Company>
  <LinksUpToDate>false</LinksUpToDate>
  <CharactersWithSpaces>51930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ECE/TRANS/WP.29/GRVA/2024/24</dc:title>
  <dc:subject/>
  <dc:creator>Nicolas MORIN</dc:creator>
  <cp:keywords/>
  <cp:lastModifiedBy>Nicolas Morin</cp:lastModifiedBy>
  <cp:revision>2</cp:revision>
  <cp:lastPrinted>2014-05-14T10:59:00Z</cp:lastPrinted>
  <dcterms:created xsi:type="dcterms:W3CDTF">2024-05-09T10:51:00Z</dcterms:created>
  <dcterms:modified xsi:type="dcterms:W3CDTF">2024-05-09T10:51:00Z</dcterms:modified>
</cp:coreProperties>
</file>