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E438A57" w14:textId="77777777" w:rsidTr="00C97039">
        <w:trPr>
          <w:trHeight w:hRule="exact" w:val="851"/>
        </w:trPr>
        <w:tc>
          <w:tcPr>
            <w:tcW w:w="1276" w:type="dxa"/>
            <w:tcBorders>
              <w:bottom w:val="single" w:sz="4" w:space="0" w:color="auto"/>
            </w:tcBorders>
          </w:tcPr>
          <w:p w14:paraId="209C70A3" w14:textId="77777777" w:rsidR="00F35BAF" w:rsidRPr="00DB58B5" w:rsidRDefault="00F35BAF" w:rsidP="00355E0D"/>
        </w:tc>
        <w:tc>
          <w:tcPr>
            <w:tcW w:w="2268" w:type="dxa"/>
            <w:tcBorders>
              <w:bottom w:val="single" w:sz="4" w:space="0" w:color="auto"/>
            </w:tcBorders>
            <w:vAlign w:val="bottom"/>
          </w:tcPr>
          <w:p w14:paraId="2C99DC0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99F472" w14:textId="7D8BD567" w:rsidR="00F35BAF" w:rsidRPr="00DB58B5" w:rsidRDefault="00355E0D" w:rsidP="00355E0D">
            <w:pPr>
              <w:jc w:val="right"/>
            </w:pPr>
            <w:r w:rsidRPr="00355E0D">
              <w:rPr>
                <w:sz w:val="40"/>
              </w:rPr>
              <w:t>ECE</w:t>
            </w:r>
            <w:r>
              <w:t>/TRANS/WP.29/GRVA/2024/21</w:t>
            </w:r>
          </w:p>
        </w:tc>
      </w:tr>
      <w:tr w:rsidR="00F35BAF" w:rsidRPr="00DB58B5" w14:paraId="119A90DB" w14:textId="77777777" w:rsidTr="00C97039">
        <w:trPr>
          <w:trHeight w:hRule="exact" w:val="2835"/>
        </w:trPr>
        <w:tc>
          <w:tcPr>
            <w:tcW w:w="1276" w:type="dxa"/>
            <w:tcBorders>
              <w:top w:val="single" w:sz="4" w:space="0" w:color="auto"/>
              <w:bottom w:val="single" w:sz="12" w:space="0" w:color="auto"/>
            </w:tcBorders>
          </w:tcPr>
          <w:p w14:paraId="201EE5AD" w14:textId="77777777" w:rsidR="00F35BAF" w:rsidRPr="00DB58B5" w:rsidRDefault="00F35BAF" w:rsidP="00C97039">
            <w:pPr>
              <w:spacing w:before="120"/>
              <w:jc w:val="center"/>
            </w:pPr>
            <w:r>
              <w:rPr>
                <w:noProof/>
                <w:lang w:eastAsia="fr-CH"/>
              </w:rPr>
              <w:drawing>
                <wp:inline distT="0" distB="0" distL="0" distR="0" wp14:anchorId="3839261B" wp14:editId="03779A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5DEE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6348A0" w14:textId="77777777" w:rsidR="00F35BAF" w:rsidRDefault="00355E0D" w:rsidP="00C97039">
            <w:pPr>
              <w:spacing w:before="240"/>
            </w:pPr>
            <w:r>
              <w:t>Distr. générale</w:t>
            </w:r>
          </w:p>
          <w:p w14:paraId="61F13CE3" w14:textId="77777777" w:rsidR="00355E0D" w:rsidRDefault="00355E0D" w:rsidP="00355E0D">
            <w:pPr>
              <w:spacing w:line="240" w:lineRule="exact"/>
            </w:pPr>
            <w:r>
              <w:t>15 avril 2024</w:t>
            </w:r>
          </w:p>
          <w:p w14:paraId="2B5F5DA0" w14:textId="77777777" w:rsidR="00355E0D" w:rsidRDefault="00355E0D" w:rsidP="00355E0D">
            <w:pPr>
              <w:spacing w:line="240" w:lineRule="exact"/>
            </w:pPr>
            <w:r>
              <w:t>Français</w:t>
            </w:r>
          </w:p>
          <w:p w14:paraId="1AA39BBE" w14:textId="432092EF" w:rsidR="00355E0D" w:rsidRPr="00DB58B5" w:rsidRDefault="00355E0D" w:rsidP="00355E0D">
            <w:pPr>
              <w:spacing w:line="240" w:lineRule="exact"/>
            </w:pPr>
            <w:r>
              <w:t>Original : anglais</w:t>
            </w:r>
          </w:p>
        </w:tc>
      </w:tr>
    </w:tbl>
    <w:p w14:paraId="71B3EA50" w14:textId="77777777" w:rsidR="007F20FA" w:rsidRPr="000312C0" w:rsidRDefault="007F20FA" w:rsidP="007F20FA">
      <w:pPr>
        <w:spacing w:before="120"/>
        <w:rPr>
          <w:b/>
          <w:sz w:val="28"/>
          <w:szCs w:val="28"/>
        </w:rPr>
      </w:pPr>
      <w:r w:rsidRPr="000312C0">
        <w:rPr>
          <w:b/>
          <w:sz w:val="28"/>
          <w:szCs w:val="28"/>
        </w:rPr>
        <w:t>Commission économique pour l’Europe</w:t>
      </w:r>
    </w:p>
    <w:p w14:paraId="1E30E737" w14:textId="77777777" w:rsidR="007F20FA" w:rsidRDefault="007F20FA" w:rsidP="007F20FA">
      <w:pPr>
        <w:spacing w:before="120"/>
        <w:rPr>
          <w:sz w:val="28"/>
          <w:szCs w:val="28"/>
        </w:rPr>
      </w:pPr>
      <w:r w:rsidRPr="00685843">
        <w:rPr>
          <w:sz w:val="28"/>
          <w:szCs w:val="28"/>
        </w:rPr>
        <w:t>Comité des transports intérieurs</w:t>
      </w:r>
    </w:p>
    <w:p w14:paraId="00739554" w14:textId="77777777" w:rsidR="00355E0D" w:rsidRDefault="00355E0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2DC3DD4" w14:textId="77777777" w:rsidR="00355E0D" w:rsidRPr="00BB7E34" w:rsidRDefault="00355E0D" w:rsidP="00355E0D">
      <w:pPr>
        <w:spacing w:before="120"/>
        <w:rPr>
          <w:b/>
          <w:lang w:val="fr-FR"/>
        </w:rPr>
      </w:pPr>
      <w:bookmarkStart w:id="0" w:name="_Hlk518466992"/>
      <w:r>
        <w:rPr>
          <w:b/>
          <w:bCs/>
          <w:lang w:val="fr-FR"/>
        </w:rPr>
        <w:t>Groupe de travail des véhicules automatisés/autonomes et connectés</w:t>
      </w:r>
      <w:bookmarkEnd w:id="0"/>
    </w:p>
    <w:p w14:paraId="463CCAED" w14:textId="77777777" w:rsidR="00355E0D" w:rsidRPr="00BB7E34" w:rsidRDefault="00355E0D" w:rsidP="00355E0D">
      <w:pPr>
        <w:spacing w:before="120"/>
        <w:rPr>
          <w:b/>
          <w:lang w:val="fr-FR"/>
        </w:rPr>
      </w:pPr>
      <w:bookmarkStart w:id="1" w:name="OLE_LINK2"/>
      <w:r>
        <w:rPr>
          <w:b/>
          <w:bCs/>
          <w:lang w:val="fr-FR"/>
        </w:rPr>
        <w:t>Dix-neuvième session</w:t>
      </w:r>
    </w:p>
    <w:p w14:paraId="2541C8EE" w14:textId="47E2136F" w:rsidR="00355E0D" w:rsidRPr="00BB7E34" w:rsidRDefault="00355E0D" w:rsidP="00355E0D">
      <w:pPr>
        <w:rPr>
          <w:lang w:val="fr-FR"/>
        </w:rPr>
      </w:pPr>
      <w:r>
        <w:rPr>
          <w:lang w:val="fr-FR"/>
        </w:rPr>
        <w:t>Genève, 25</w:t>
      </w:r>
      <w:r w:rsidR="00E55C7A">
        <w:rPr>
          <w:lang w:val="fr-FR"/>
        </w:rPr>
        <w:t> </w:t>
      </w:r>
      <w:r>
        <w:rPr>
          <w:lang w:val="fr-FR"/>
        </w:rPr>
        <w:t>juin 2024</w:t>
      </w:r>
    </w:p>
    <w:p w14:paraId="67C61C57" w14:textId="5D3FD6D4" w:rsidR="00355E0D" w:rsidRPr="00BB7E34" w:rsidRDefault="00355E0D" w:rsidP="00355E0D">
      <w:pPr>
        <w:rPr>
          <w:lang w:val="fr-FR"/>
        </w:rPr>
      </w:pPr>
      <w:r>
        <w:rPr>
          <w:lang w:val="fr-FR"/>
        </w:rPr>
        <w:t>Point 9</w:t>
      </w:r>
      <w:r w:rsidR="00E55C7A">
        <w:rPr>
          <w:lang w:val="fr-FR"/>
        </w:rPr>
        <w:t> </w:t>
      </w:r>
      <w:r>
        <w:rPr>
          <w:lang w:val="fr-FR"/>
        </w:rPr>
        <w:t>b) de l’ordre du jour provisoire</w:t>
      </w:r>
    </w:p>
    <w:p w14:paraId="363A1331" w14:textId="20A8790C" w:rsidR="00355E0D" w:rsidRPr="00BB7E34" w:rsidRDefault="00355E0D" w:rsidP="00355E0D">
      <w:pPr>
        <w:rPr>
          <w:b/>
          <w:bCs/>
          <w:lang w:val="fr-FR"/>
        </w:rPr>
      </w:pPr>
      <w:r>
        <w:rPr>
          <w:b/>
          <w:bCs/>
          <w:lang w:val="fr-FR"/>
        </w:rPr>
        <w:t>Freinage des motocycles</w:t>
      </w:r>
      <w:r w:rsidR="00E55C7A">
        <w:rPr>
          <w:b/>
          <w:bCs/>
          <w:lang w:val="fr-FR"/>
        </w:rPr>
        <w:t> </w:t>
      </w:r>
      <w:r>
        <w:rPr>
          <w:b/>
          <w:bCs/>
          <w:lang w:val="fr-FR"/>
        </w:rPr>
        <w:t>:</w:t>
      </w:r>
    </w:p>
    <w:p w14:paraId="6CFF139E" w14:textId="77777777" w:rsidR="00355E0D" w:rsidRPr="00BB7E34" w:rsidRDefault="00355E0D" w:rsidP="00355E0D">
      <w:pPr>
        <w:rPr>
          <w:b/>
          <w:bCs/>
          <w:lang w:val="fr-FR"/>
        </w:rPr>
      </w:pPr>
      <w:r>
        <w:rPr>
          <w:b/>
          <w:bCs/>
          <w:lang w:val="fr-FR"/>
        </w:rPr>
        <w:t>Règlement ONU n</w:t>
      </w:r>
      <w:r>
        <w:rPr>
          <w:b/>
          <w:bCs/>
          <w:vertAlign w:val="superscript"/>
          <w:lang w:val="fr-FR"/>
        </w:rPr>
        <w:t>o</w:t>
      </w:r>
      <w:r>
        <w:rPr>
          <w:b/>
          <w:bCs/>
          <w:lang w:val="fr-FR"/>
        </w:rPr>
        <w:t> 78</w:t>
      </w:r>
    </w:p>
    <w:p w14:paraId="10A085EB" w14:textId="07F591C2" w:rsidR="00355E0D" w:rsidRPr="00BB7E34" w:rsidRDefault="00355E0D" w:rsidP="00355E0D">
      <w:pPr>
        <w:pStyle w:val="HChG"/>
        <w:rPr>
          <w:lang w:val="fr-FR"/>
        </w:rPr>
      </w:pPr>
      <w:r>
        <w:rPr>
          <w:lang w:val="fr-FR"/>
        </w:rPr>
        <w:tab/>
      </w:r>
      <w:r>
        <w:rPr>
          <w:lang w:val="fr-FR"/>
        </w:rPr>
        <w:tab/>
      </w:r>
      <w:r>
        <w:rPr>
          <w:bCs/>
          <w:lang w:val="fr-FR"/>
        </w:rPr>
        <w:t>Proposition de complément à la série</w:t>
      </w:r>
      <w:r w:rsidR="00E55C7A">
        <w:rPr>
          <w:bCs/>
          <w:lang w:val="fr-FR"/>
        </w:rPr>
        <w:t> </w:t>
      </w:r>
      <w:r>
        <w:rPr>
          <w:bCs/>
          <w:lang w:val="fr-FR"/>
        </w:rPr>
        <w:t>06 d’amendements au Règlement ONU n</w:t>
      </w:r>
      <w:r>
        <w:rPr>
          <w:bCs/>
          <w:vertAlign w:val="superscript"/>
          <w:lang w:val="fr-FR"/>
        </w:rPr>
        <w:t>o</w:t>
      </w:r>
      <w:r w:rsidR="00E55C7A">
        <w:rPr>
          <w:bCs/>
          <w:lang w:val="fr-FR"/>
        </w:rPr>
        <w:t> </w:t>
      </w:r>
      <w:r>
        <w:rPr>
          <w:bCs/>
          <w:lang w:val="fr-FR"/>
        </w:rPr>
        <w:t>78 (Freinage (véhicules de la catégorie L))</w:t>
      </w:r>
      <w:bookmarkEnd w:id="1"/>
    </w:p>
    <w:p w14:paraId="793E4309" w14:textId="77777777" w:rsidR="00355E0D" w:rsidRPr="00BB7E34" w:rsidRDefault="00355E0D" w:rsidP="00355E0D">
      <w:pPr>
        <w:pStyle w:val="H1G"/>
        <w:rPr>
          <w:szCs w:val="24"/>
          <w:lang w:val="fr-FR"/>
        </w:rPr>
      </w:pPr>
      <w:r>
        <w:rPr>
          <w:lang w:val="fr-FR"/>
        </w:rPr>
        <w:tab/>
      </w:r>
      <w:r>
        <w:rPr>
          <w:lang w:val="fr-FR"/>
        </w:rPr>
        <w:tab/>
      </w:r>
      <w:r>
        <w:rPr>
          <w:bCs/>
          <w:lang w:val="fr-FR"/>
        </w:rPr>
        <w:t xml:space="preserve">Communication de l’expert de la World Bicycle </w:t>
      </w:r>
      <w:proofErr w:type="spellStart"/>
      <w:r>
        <w:rPr>
          <w:bCs/>
          <w:lang w:val="fr-FR"/>
        </w:rPr>
        <w:t>Industry</w:t>
      </w:r>
      <w:proofErr w:type="spellEnd"/>
      <w:r>
        <w:rPr>
          <w:bCs/>
          <w:lang w:val="fr-FR"/>
        </w:rPr>
        <w:t xml:space="preserve"> Association (WBIA)</w:t>
      </w:r>
      <w:r w:rsidRPr="00E55C7A">
        <w:rPr>
          <w:rStyle w:val="Appelnotedebasdep"/>
          <w:b w:val="0"/>
          <w:bCs/>
          <w:sz w:val="20"/>
          <w:vertAlign w:val="baseline"/>
          <w:lang w:val="fr-FR"/>
        </w:rPr>
        <w:footnoteReference w:customMarkFollows="1" w:id="2"/>
        <w:t>*</w:t>
      </w:r>
    </w:p>
    <w:p w14:paraId="649EB916" w14:textId="64E2AA0E" w:rsidR="00355E0D" w:rsidRPr="00BB7E34" w:rsidRDefault="00355E0D" w:rsidP="00355E0D">
      <w:pPr>
        <w:pStyle w:val="SingleTxtG"/>
        <w:tabs>
          <w:tab w:val="left" w:pos="1701"/>
        </w:tabs>
        <w:rPr>
          <w:lang w:val="fr-FR"/>
        </w:rPr>
      </w:pPr>
      <w:r>
        <w:rPr>
          <w:lang w:val="fr-FR"/>
        </w:rPr>
        <w:tab/>
        <w:t xml:space="preserve">Le texte ci-après, établi par l’expert de la World Bicycle </w:t>
      </w:r>
      <w:proofErr w:type="spellStart"/>
      <w:r>
        <w:rPr>
          <w:lang w:val="fr-FR"/>
        </w:rPr>
        <w:t>Industry</w:t>
      </w:r>
      <w:proofErr w:type="spellEnd"/>
      <w:r>
        <w:rPr>
          <w:lang w:val="fr-FR"/>
        </w:rPr>
        <w:t xml:space="preserve"> Association (WBIA), est une proposition d’amendements visant à introduire dans le Règlement ONU n</w:t>
      </w:r>
      <w:r>
        <w:rPr>
          <w:vertAlign w:val="superscript"/>
          <w:lang w:val="fr-FR"/>
        </w:rPr>
        <w:t>o</w:t>
      </w:r>
      <w:r>
        <w:rPr>
          <w:lang w:val="fr-FR"/>
        </w:rPr>
        <w:t> 78 des prescriptions de décélération particulières pour les vélos à assistance électrique rapides appartenant à la catégorie L. Il est fondé sur le document informel</w:t>
      </w:r>
      <w:r w:rsidR="00E55C7A">
        <w:rPr>
          <w:lang w:val="fr-FR"/>
        </w:rPr>
        <w:t> </w:t>
      </w:r>
      <w:r>
        <w:rPr>
          <w:lang w:val="fr-FR"/>
        </w:rPr>
        <w:t>GRVA-18-38. Les modifications qu’il est proposé d’apporter au texte actuel du Règlement figurent en caractères gras pour les ajouts et biffés pour les suppressions.</w:t>
      </w:r>
    </w:p>
    <w:p w14:paraId="382F74E8" w14:textId="77777777" w:rsidR="00355E0D" w:rsidRPr="00BB7E34" w:rsidRDefault="00355E0D" w:rsidP="00355E0D">
      <w:pPr>
        <w:suppressAutoHyphens w:val="0"/>
        <w:spacing w:line="240" w:lineRule="auto"/>
        <w:rPr>
          <w:b/>
          <w:sz w:val="28"/>
          <w:lang w:val="fr-FR"/>
        </w:rPr>
      </w:pPr>
      <w:r w:rsidRPr="00BB7E34">
        <w:rPr>
          <w:lang w:val="fr-FR"/>
        </w:rPr>
        <w:br w:type="page"/>
      </w:r>
    </w:p>
    <w:p w14:paraId="0FA4C20C" w14:textId="77777777" w:rsidR="00355E0D" w:rsidRPr="00BB7E34" w:rsidRDefault="00355E0D" w:rsidP="00355E0D">
      <w:pPr>
        <w:pStyle w:val="HChG"/>
        <w:rPr>
          <w:lang w:val="fr-FR"/>
        </w:rPr>
      </w:pPr>
      <w:r>
        <w:rPr>
          <w:lang w:val="fr-FR"/>
        </w:rPr>
        <w:lastRenderedPageBreak/>
        <w:tab/>
        <w:t>I.</w:t>
      </w:r>
      <w:r>
        <w:rPr>
          <w:lang w:val="fr-FR"/>
        </w:rPr>
        <w:tab/>
        <w:t>Proposition</w:t>
      </w:r>
    </w:p>
    <w:p w14:paraId="3EB51110" w14:textId="0F030BBC" w:rsidR="00355E0D" w:rsidRPr="00BB7E34" w:rsidRDefault="00355E0D" w:rsidP="00355E0D">
      <w:pPr>
        <w:pStyle w:val="SingleTxtG"/>
        <w:rPr>
          <w:i/>
          <w:lang w:val="fr-FR"/>
        </w:rPr>
      </w:pPr>
      <w:r>
        <w:rPr>
          <w:i/>
          <w:iCs/>
          <w:lang w:val="fr-FR"/>
        </w:rPr>
        <w:t>Ajouter les nouveaux paragraphes</w:t>
      </w:r>
      <w:r w:rsidR="00E55C7A">
        <w:rPr>
          <w:i/>
          <w:iCs/>
          <w:lang w:val="fr-FR"/>
        </w:rPr>
        <w:t> </w:t>
      </w:r>
      <w:r>
        <w:rPr>
          <w:i/>
          <w:iCs/>
          <w:lang w:val="fr-FR"/>
        </w:rPr>
        <w:t>2.34 [et 2.35]</w:t>
      </w:r>
      <w:r>
        <w:rPr>
          <w:lang w:val="fr-FR"/>
        </w:rPr>
        <w:t xml:space="preserve">, libellés comme suit : </w:t>
      </w:r>
    </w:p>
    <w:p w14:paraId="435C7053" w14:textId="77777777" w:rsidR="00355E0D" w:rsidRPr="00BB7E34" w:rsidRDefault="00355E0D" w:rsidP="00355E0D">
      <w:pPr>
        <w:pStyle w:val="SingleTxtG"/>
        <w:ind w:left="2268" w:hanging="1134"/>
        <w:rPr>
          <w:lang w:val="fr-FR"/>
        </w:rPr>
      </w:pPr>
      <w:r>
        <w:rPr>
          <w:lang w:val="fr-FR"/>
        </w:rPr>
        <w:t>« 2.34</w:t>
      </w:r>
      <w:r>
        <w:rPr>
          <w:lang w:val="fr-FR"/>
        </w:rPr>
        <w:tab/>
      </w:r>
      <w:r>
        <w:rPr>
          <w:lang w:val="fr-FR"/>
        </w:rPr>
        <w:tab/>
        <w:t>Par “</w:t>
      </w:r>
      <w:r>
        <w:rPr>
          <w:i/>
          <w:iCs/>
          <w:lang w:val="fr-FR"/>
        </w:rPr>
        <w:t>véhicule à pédales</w:t>
      </w:r>
      <w:r>
        <w:rPr>
          <w:lang w:val="fr-FR"/>
        </w:rPr>
        <w:t>”, tout véhicule qui :</w:t>
      </w:r>
    </w:p>
    <w:p w14:paraId="4C4DEE01" w14:textId="77777777" w:rsidR="00355E0D" w:rsidRPr="00BB7E34" w:rsidRDefault="00355E0D" w:rsidP="00355E0D">
      <w:pPr>
        <w:pStyle w:val="SingleTxtG"/>
        <w:ind w:left="2835" w:hanging="567"/>
        <w:rPr>
          <w:lang w:val="fr-FR"/>
        </w:rPr>
      </w:pPr>
      <w:r>
        <w:rPr>
          <w:lang w:val="fr-FR"/>
        </w:rPr>
        <w:t>a)</w:t>
      </w:r>
      <w:r>
        <w:rPr>
          <w:lang w:val="fr-FR"/>
        </w:rPr>
        <w:tab/>
        <w:t>A deux roues au moins ;</w:t>
      </w:r>
    </w:p>
    <w:p w14:paraId="64B06BA3" w14:textId="77777777" w:rsidR="00355E0D" w:rsidRPr="00BB7E34" w:rsidRDefault="00355E0D" w:rsidP="00355E0D">
      <w:pPr>
        <w:pStyle w:val="SingleTxtG"/>
        <w:ind w:left="2835" w:hanging="567"/>
        <w:rPr>
          <w:lang w:val="fr-FR"/>
        </w:rPr>
      </w:pPr>
      <w:r>
        <w:rPr>
          <w:lang w:val="fr-FR"/>
        </w:rPr>
        <w:t>b)</w:t>
      </w:r>
      <w:r>
        <w:rPr>
          <w:lang w:val="fr-FR"/>
        </w:rPr>
        <w:tab/>
        <w:t>Est propulsé par l’énergie musculaire des personnes se trouvant sur ce véhicule, notamment à l’aide de pédales ou de manivelles ;</w:t>
      </w:r>
    </w:p>
    <w:p w14:paraId="5F1E2CCC" w14:textId="77777777" w:rsidR="00355E0D" w:rsidRPr="00BB7E34" w:rsidRDefault="00355E0D" w:rsidP="00355E0D">
      <w:pPr>
        <w:pStyle w:val="SingleTxtG"/>
        <w:ind w:left="2268"/>
        <w:rPr>
          <w:lang w:val="fr-FR"/>
        </w:rPr>
      </w:pPr>
      <w:r>
        <w:rPr>
          <w:lang w:val="fr-FR"/>
        </w:rPr>
        <w:t>c)</w:t>
      </w:r>
      <w:r>
        <w:rPr>
          <w:lang w:val="fr-FR"/>
        </w:rPr>
        <w:tab/>
        <w:t>Est équipé d’un moteur électrique auxiliaire qui :</w:t>
      </w:r>
    </w:p>
    <w:p w14:paraId="23A96D1F" w14:textId="77777777" w:rsidR="00355E0D" w:rsidRPr="00BB7E34" w:rsidRDefault="00355E0D" w:rsidP="00355E0D">
      <w:pPr>
        <w:pStyle w:val="SingleTxtG"/>
        <w:ind w:left="3402" w:hanging="567"/>
        <w:rPr>
          <w:lang w:val="fr-FR"/>
        </w:rPr>
      </w:pPr>
      <w:r>
        <w:rPr>
          <w:lang w:val="fr-FR"/>
        </w:rPr>
        <w:t>i)</w:t>
      </w:r>
      <w:r>
        <w:rPr>
          <w:lang w:val="fr-FR"/>
        </w:rPr>
        <w:tab/>
        <w:t xml:space="preserve">Fournit une assistance à la propulsion pendant le pédalage ; </w:t>
      </w:r>
    </w:p>
    <w:p w14:paraId="35CBFE07" w14:textId="462A746A" w:rsidR="00355E0D" w:rsidRPr="00BB7E34" w:rsidRDefault="00355E0D" w:rsidP="00355E0D">
      <w:pPr>
        <w:pStyle w:val="SingleTxtG"/>
        <w:ind w:left="3402" w:hanging="567"/>
        <w:rPr>
          <w:lang w:val="fr-FR"/>
        </w:rPr>
      </w:pPr>
      <w:r>
        <w:rPr>
          <w:lang w:val="fr-FR"/>
        </w:rPr>
        <w:t>ii)</w:t>
      </w:r>
      <w:r>
        <w:rPr>
          <w:lang w:val="fr-FR"/>
        </w:rPr>
        <w:tab/>
        <w:t>A une vitesse maximale de coupure de l’assistance électrique de 45</w:t>
      </w:r>
      <w:r w:rsidR="00E55C7A">
        <w:rPr>
          <w:lang w:val="fr-FR"/>
        </w:rPr>
        <w:t> </w:t>
      </w:r>
      <w:r>
        <w:rPr>
          <w:lang w:val="fr-FR"/>
        </w:rPr>
        <w:t xml:space="preserve">km/h. </w:t>
      </w:r>
    </w:p>
    <w:p w14:paraId="6DDD1C1F" w14:textId="77777777" w:rsidR="00355E0D" w:rsidRPr="00BB7E34" w:rsidRDefault="00355E0D" w:rsidP="00355E0D">
      <w:pPr>
        <w:pStyle w:val="SingleTxtG"/>
        <w:ind w:left="2268"/>
        <w:rPr>
          <w:lang w:val="fr-FR"/>
        </w:rPr>
      </w:pPr>
      <w:r>
        <w:rPr>
          <w:lang w:val="fr-FR"/>
        </w:rPr>
        <w:t xml:space="preserve">Le moteur électrique auxiliaire ne peut pas propulser seul le véhicule, sauf en mode d’assistance au démarrage. </w:t>
      </w:r>
    </w:p>
    <w:p w14:paraId="568CB956" w14:textId="77777777" w:rsidR="00355E0D" w:rsidRPr="00BB7E34" w:rsidRDefault="00355E0D" w:rsidP="00355E0D">
      <w:pPr>
        <w:pStyle w:val="SingleTxtG"/>
        <w:ind w:left="2268" w:hanging="1134"/>
        <w:rPr>
          <w:lang w:val="fr-FR"/>
        </w:rPr>
      </w:pPr>
      <w:r>
        <w:rPr>
          <w:lang w:val="fr-FR"/>
        </w:rPr>
        <w:t>[2.35</w:t>
      </w:r>
      <w:r>
        <w:rPr>
          <w:lang w:val="fr-FR"/>
        </w:rPr>
        <w:tab/>
        <w:t>Par “</w:t>
      </w:r>
      <w:r>
        <w:rPr>
          <w:i/>
          <w:iCs/>
          <w:lang w:val="fr-FR"/>
        </w:rPr>
        <w:t>mode d’assistance au démarrage</w:t>
      </w:r>
      <w:r>
        <w:rPr>
          <w:lang w:val="fr-FR"/>
        </w:rPr>
        <w:t>”, la fonction qui permet à l’utilisateur d’activer le moteur électrique auxiliaire pour propulser le véhicule jusqu’à une vitesse maximale de 6 km/h, sans pédaler.] ».</w:t>
      </w:r>
    </w:p>
    <w:p w14:paraId="6FAEFD9E" w14:textId="06DB9CE9" w:rsidR="00355E0D" w:rsidRPr="00BB7E34" w:rsidRDefault="00355E0D" w:rsidP="00355E0D">
      <w:pPr>
        <w:pStyle w:val="SingleTxtG"/>
        <w:rPr>
          <w:i/>
          <w:lang w:val="fr-FR"/>
        </w:rPr>
      </w:pPr>
      <w:r>
        <w:rPr>
          <w:i/>
          <w:iCs/>
          <w:lang w:val="fr-FR"/>
        </w:rPr>
        <w:t>Paragraphe</w:t>
      </w:r>
      <w:r w:rsidR="00E55C7A">
        <w:rPr>
          <w:i/>
          <w:iCs/>
          <w:lang w:val="fr-FR"/>
        </w:rPr>
        <w:t> </w:t>
      </w:r>
      <w:r>
        <w:rPr>
          <w:i/>
          <w:iCs/>
          <w:lang w:val="fr-FR"/>
        </w:rPr>
        <w:t>9.3.2</w:t>
      </w:r>
      <w:r>
        <w:rPr>
          <w:lang w:val="fr-FR"/>
        </w:rPr>
        <w:t>, lire</w:t>
      </w:r>
      <w:r w:rsidR="00E55C7A">
        <w:rPr>
          <w:lang w:val="fr-FR"/>
        </w:rPr>
        <w:t> </w:t>
      </w:r>
      <w:r>
        <w:rPr>
          <w:lang w:val="fr-FR"/>
        </w:rPr>
        <w:t>:</w:t>
      </w:r>
    </w:p>
    <w:p w14:paraId="27448D63" w14:textId="77777777" w:rsidR="00355E0D" w:rsidRPr="00563410" w:rsidRDefault="00355E0D" w:rsidP="00355E0D">
      <w:pPr>
        <w:pStyle w:val="SingleTxtG"/>
        <w:ind w:left="2268" w:hanging="1134"/>
      </w:pPr>
      <w:r>
        <w:rPr>
          <w:lang w:val="fr-FR"/>
        </w:rPr>
        <w:t>« 9.3.2</w:t>
      </w:r>
      <w:r>
        <w:rPr>
          <w:lang w:val="fr-FR"/>
        </w:rPr>
        <w:tab/>
        <w:t>Prescriptions d’efficacité</w:t>
      </w:r>
      <w:bookmarkStart w:id="2" w:name="_Hlk155691582"/>
    </w:p>
    <w:bookmarkEnd w:id="2"/>
    <w:p w14:paraId="0BF0D387" w14:textId="77777777" w:rsidR="00355E0D" w:rsidRPr="00BA1060" w:rsidRDefault="00355E0D" w:rsidP="00355E0D">
      <w:pPr>
        <w:pStyle w:val="SingleTxtG"/>
        <w:ind w:left="2268"/>
        <w:rPr>
          <w:sz w:val="16"/>
          <w:szCs w:val="16"/>
          <w:lang w:val="fr-FR"/>
        </w:rPr>
      </w:pPr>
      <w:r w:rsidRPr="00BA1060">
        <w:rPr>
          <w:lang w:val="fr-FR"/>
        </w:rPr>
        <w:t>Lors d’un essai effectué conformément à la procédure décrite au paragraphe</w:t>
      </w:r>
      <w:r>
        <w:rPr>
          <w:lang w:val="fr-FR"/>
        </w:rPr>
        <w:t> </w:t>
      </w:r>
      <w:r w:rsidRPr="00BA1060">
        <w:rPr>
          <w:lang w:val="fr-FR"/>
        </w:rPr>
        <w:t>9.3.1 :</w:t>
      </w:r>
    </w:p>
    <w:p w14:paraId="30EF9D3D" w14:textId="77777777" w:rsidR="00355E0D" w:rsidRPr="00BA1060" w:rsidRDefault="00355E0D" w:rsidP="00355E0D">
      <w:pPr>
        <w:pStyle w:val="SingleTxtG"/>
        <w:ind w:left="2835" w:hanging="567"/>
        <w:rPr>
          <w:sz w:val="16"/>
          <w:szCs w:val="16"/>
          <w:lang w:val="fr-FR"/>
        </w:rPr>
      </w:pPr>
      <w:r w:rsidRPr="00BA1060">
        <w:rPr>
          <w:lang w:val="fr-FR"/>
        </w:rPr>
        <w:t>a)</w:t>
      </w:r>
      <w:r w:rsidRPr="00BA1060">
        <w:rPr>
          <w:lang w:val="fr-FR"/>
        </w:rPr>
        <w:tab/>
        <w:t>La distance d’arrêt (S) doit être :</w:t>
      </w:r>
    </w:p>
    <w:p w14:paraId="736FF3AA" w14:textId="314E7FE3" w:rsidR="00355E0D" w:rsidRPr="00BA1060" w:rsidRDefault="00355E0D" w:rsidP="00355E0D">
      <w:pPr>
        <w:pStyle w:val="SingleTxtG"/>
        <w:ind w:left="3402" w:hanging="567"/>
        <w:rPr>
          <w:sz w:val="16"/>
          <w:szCs w:val="16"/>
          <w:lang w:val="fr-FR"/>
        </w:rPr>
      </w:pPr>
      <w:r w:rsidRPr="00BA1060">
        <w:rPr>
          <w:lang w:val="fr-FR"/>
        </w:rPr>
        <w:t>i)</w:t>
      </w:r>
      <w:r w:rsidRPr="00BA1060">
        <w:rPr>
          <w:lang w:val="fr-FR"/>
        </w:rPr>
        <w:tab/>
        <w:t>En général, S ≤ 0,0063</w:t>
      </w:r>
      <w:r w:rsidR="00E55C7A">
        <w:rPr>
          <w:lang w:val="fr-FR"/>
        </w:rPr>
        <w:t> </w:t>
      </w:r>
      <w:r w:rsidRPr="00BA1060">
        <w:rPr>
          <w:lang w:val="fr-FR"/>
        </w:rPr>
        <w:t>V</w:t>
      </w:r>
      <w:r w:rsidRPr="00BA1060">
        <w:rPr>
          <w:vertAlign w:val="superscript"/>
          <w:lang w:val="fr-FR"/>
        </w:rPr>
        <w:t>2</w:t>
      </w:r>
      <w:r w:rsidRPr="00BA1060">
        <w:rPr>
          <w:lang w:val="fr-FR"/>
        </w:rPr>
        <w:t xml:space="preserve"> (où V est la vitesse d’essai prescrite en km/h, et S la distance d’arrêt prescrite en mètres) ou la DMER doit être ≥ 6,17</w:t>
      </w:r>
      <w:r w:rsidR="00E55C7A">
        <w:rPr>
          <w:lang w:val="fr-FR"/>
        </w:rPr>
        <w:t> </w:t>
      </w:r>
      <w:r w:rsidRPr="00BA1060">
        <w:rPr>
          <w:lang w:val="fr-FR"/>
        </w:rPr>
        <w:t>m/s</w:t>
      </w:r>
      <w:r w:rsidRPr="00BA1060">
        <w:rPr>
          <w:vertAlign w:val="superscript"/>
          <w:lang w:val="fr-FR"/>
        </w:rPr>
        <w:t>2</w:t>
      </w:r>
      <w:r w:rsidR="00E55C7A">
        <w:rPr>
          <w:lang w:val="fr-FR"/>
        </w:rPr>
        <w:t> </w:t>
      </w:r>
      <w:r w:rsidRPr="00BA1060">
        <w:rPr>
          <w:lang w:val="fr-FR"/>
        </w:rPr>
        <w:t xml:space="preserve">; </w:t>
      </w:r>
    </w:p>
    <w:p w14:paraId="28E3BE0A" w14:textId="1E789410" w:rsidR="00355E0D" w:rsidRPr="00BA1060" w:rsidRDefault="00355E0D" w:rsidP="00355E0D">
      <w:pPr>
        <w:pStyle w:val="SingleTxtG"/>
        <w:ind w:left="3402" w:hanging="567"/>
        <w:rPr>
          <w:sz w:val="16"/>
          <w:szCs w:val="16"/>
          <w:lang w:val="fr-FR"/>
        </w:rPr>
      </w:pPr>
      <w:r w:rsidRPr="00BA1060">
        <w:rPr>
          <w:lang w:val="fr-FR"/>
        </w:rPr>
        <w:t>ii)</w:t>
      </w:r>
      <w:r w:rsidRPr="00BA1060">
        <w:rPr>
          <w:lang w:val="fr-FR"/>
        </w:rPr>
        <w:tab/>
        <w:t>Dans le cas des véhicules à pédales de la catégorie</w:t>
      </w:r>
      <w:r w:rsidR="00E55C7A">
        <w:rPr>
          <w:lang w:val="fr-FR"/>
        </w:rPr>
        <w:t> </w:t>
      </w:r>
      <w:r w:rsidRPr="00BA1060">
        <w:rPr>
          <w:lang w:val="fr-FR"/>
        </w:rPr>
        <w:t>L</w:t>
      </w:r>
      <w:r w:rsidRPr="00BA1060">
        <w:rPr>
          <w:vertAlign w:val="subscript"/>
          <w:lang w:val="fr-FR"/>
        </w:rPr>
        <w:t>1</w:t>
      </w:r>
      <w:r w:rsidRPr="00BA1060">
        <w:rPr>
          <w:lang w:val="fr-FR"/>
        </w:rPr>
        <w:t xml:space="preserve"> à propulsion électrique auxiliaire, S ≤ 0,0056V</w:t>
      </w:r>
      <w:r w:rsidRPr="00BA1060">
        <w:rPr>
          <w:vertAlign w:val="superscript"/>
          <w:lang w:val="fr-FR"/>
        </w:rPr>
        <w:t>2</w:t>
      </w:r>
      <w:r w:rsidRPr="00BA1060">
        <w:rPr>
          <w:lang w:val="fr-FR"/>
        </w:rPr>
        <w:t>/P (où V est la vitesse d’essai prescrite en km/h, P est le coefficient maximal de freinage, et S la distance d’arrêt prescrite en mètres) ou la DMER doit être ≥</w:t>
      </w:r>
      <w:r>
        <w:rPr>
          <w:lang w:val="fr-FR"/>
        </w:rPr>
        <w:t> </w:t>
      </w:r>
      <w:r w:rsidRPr="00BA1060">
        <w:rPr>
          <w:lang w:val="fr-FR"/>
        </w:rPr>
        <w:t>6,87</w:t>
      </w:r>
      <w:r>
        <w:rPr>
          <w:lang w:val="fr-FR"/>
        </w:rPr>
        <w:t> </w:t>
      </w:r>
      <w:r w:rsidRPr="00BA1060">
        <w:rPr>
          <w:lang w:val="fr-FR"/>
        </w:rPr>
        <w:t>x</w:t>
      </w:r>
      <w:r>
        <w:rPr>
          <w:lang w:val="fr-FR"/>
        </w:rPr>
        <w:t> </w:t>
      </w:r>
      <w:r w:rsidRPr="00BA1060">
        <w:rPr>
          <w:lang w:val="fr-FR"/>
        </w:rPr>
        <w:t>P, en m/s</w:t>
      </w:r>
      <w:r w:rsidRPr="00BA1060">
        <w:rPr>
          <w:vertAlign w:val="superscript"/>
          <w:lang w:val="fr-FR"/>
        </w:rPr>
        <w:t>2</w:t>
      </w:r>
      <w:r w:rsidR="00E55C7A">
        <w:rPr>
          <w:lang w:val="fr-FR"/>
        </w:rPr>
        <w:t> </w:t>
      </w:r>
      <w:r w:rsidRPr="00BA1060">
        <w:rPr>
          <w:lang w:val="fr-FR"/>
        </w:rPr>
        <w:t>; [et]</w:t>
      </w:r>
    </w:p>
    <w:p w14:paraId="43FE5415" w14:textId="77777777" w:rsidR="00355E0D" w:rsidRPr="00BA1060" w:rsidRDefault="00355E0D" w:rsidP="00355E0D">
      <w:pPr>
        <w:pStyle w:val="SingleTxtG"/>
        <w:ind w:left="2835" w:hanging="567"/>
        <w:rPr>
          <w:sz w:val="16"/>
          <w:szCs w:val="16"/>
          <w:lang w:val="fr-FR"/>
        </w:rPr>
      </w:pPr>
      <w:r w:rsidRPr="00BA1060">
        <w:rPr>
          <w:lang w:val="fr-FR"/>
        </w:rPr>
        <w:t>b)</w:t>
      </w:r>
      <w:r w:rsidRPr="00BA1060">
        <w:rPr>
          <w:lang w:val="fr-FR"/>
        </w:rPr>
        <w:tab/>
        <w:t>Il ne doit pas y avoir de blocage de roue et les roues ne doivent pas sortir des limites de la piste d’essai. ».</w:t>
      </w:r>
    </w:p>
    <w:p w14:paraId="0EEC8A4A" w14:textId="77777777" w:rsidR="00355E0D" w:rsidRPr="00BB7E34" w:rsidRDefault="00355E0D" w:rsidP="00355E0D">
      <w:pPr>
        <w:pStyle w:val="HChG"/>
        <w:rPr>
          <w:szCs w:val="28"/>
          <w:lang w:val="fr-FR"/>
        </w:rPr>
      </w:pPr>
      <w:r>
        <w:rPr>
          <w:lang w:val="fr-FR"/>
        </w:rPr>
        <w:tab/>
        <w:t>II.</w:t>
      </w:r>
      <w:r>
        <w:rPr>
          <w:lang w:val="fr-FR"/>
        </w:rPr>
        <w:tab/>
        <w:t>Justification</w:t>
      </w:r>
    </w:p>
    <w:p w14:paraId="2381F880" w14:textId="77777777" w:rsidR="00355E0D" w:rsidRPr="00BB7E34" w:rsidRDefault="00355E0D" w:rsidP="00355E0D">
      <w:pPr>
        <w:pStyle w:val="H1G"/>
        <w:rPr>
          <w:lang w:val="fr-FR"/>
        </w:rPr>
      </w:pPr>
      <w:r>
        <w:rPr>
          <w:lang w:val="fr-FR"/>
        </w:rPr>
        <w:tab/>
        <w:t>A.</w:t>
      </w:r>
      <w:r>
        <w:rPr>
          <w:lang w:val="fr-FR"/>
        </w:rPr>
        <w:tab/>
        <w:t>Contexte</w:t>
      </w:r>
    </w:p>
    <w:p w14:paraId="4C270224" w14:textId="77777777" w:rsidR="00355E0D" w:rsidRPr="00BB7E34" w:rsidRDefault="00355E0D" w:rsidP="00355E0D">
      <w:pPr>
        <w:pStyle w:val="SingleTxtG"/>
        <w:rPr>
          <w:bCs/>
          <w:szCs w:val="14"/>
          <w:lang w:val="fr-FR"/>
        </w:rPr>
      </w:pPr>
      <w:r>
        <w:rPr>
          <w:lang w:val="fr-FR"/>
        </w:rPr>
        <w:t>1.</w:t>
      </w:r>
      <w:r>
        <w:rPr>
          <w:lang w:val="fr-FR"/>
        </w:rPr>
        <w:tab/>
        <w:t>Dans certaines conditions, un système de frein antiblocage (ABS) peut contribuer à améliorer la sécurité des cyclistes, car il permet d’optimiser le compromis entre stabilité du vélo et décélération.</w:t>
      </w:r>
    </w:p>
    <w:p w14:paraId="0F8A0F66" w14:textId="77777777" w:rsidR="00355E0D" w:rsidRPr="00BB7E34" w:rsidRDefault="00355E0D" w:rsidP="00355E0D">
      <w:pPr>
        <w:tabs>
          <w:tab w:val="left" w:pos="1701"/>
        </w:tabs>
        <w:spacing w:after="120"/>
        <w:ind w:left="1134" w:right="1134"/>
        <w:jc w:val="both"/>
        <w:rPr>
          <w:bCs/>
          <w:szCs w:val="14"/>
          <w:lang w:val="fr-FR"/>
        </w:rPr>
      </w:pPr>
      <w:r>
        <w:rPr>
          <w:lang w:val="fr-FR"/>
        </w:rPr>
        <w:t>2.</w:t>
      </w:r>
      <w:r>
        <w:rPr>
          <w:lang w:val="fr-FR"/>
        </w:rPr>
        <w:tab/>
        <w:t>L’ABS ne peut fonctionner que dans les limites physiques du vélo (frottement des pneus et adhérence de la route, centre de gravité du cycliste et du vélo, etc.).</w:t>
      </w:r>
    </w:p>
    <w:p w14:paraId="3E7D7A3F" w14:textId="77777777" w:rsidR="00355E0D" w:rsidRPr="00BB7E34" w:rsidRDefault="00355E0D" w:rsidP="00355E0D">
      <w:pPr>
        <w:pStyle w:val="SingleTxtG"/>
        <w:rPr>
          <w:bCs/>
          <w:szCs w:val="14"/>
          <w:lang w:val="fr-FR"/>
        </w:rPr>
      </w:pPr>
      <w:r>
        <w:rPr>
          <w:lang w:val="fr-FR"/>
        </w:rPr>
        <w:t>3.</w:t>
      </w:r>
      <w:r>
        <w:rPr>
          <w:lang w:val="fr-FR"/>
        </w:rPr>
        <w:tab/>
        <w:t>Comme tous les systèmes techniques, l’ABS présente un certain degré d’efficacité par rapport aux meilleures performances d’un cycliste (à savoir un cycliste professionnel qui sait à quel moment et comment freiner).</w:t>
      </w:r>
    </w:p>
    <w:p w14:paraId="6EC79395" w14:textId="77777777" w:rsidR="00355E0D" w:rsidRPr="00BB7E34" w:rsidRDefault="00355E0D" w:rsidP="00355E0D">
      <w:pPr>
        <w:pStyle w:val="H1G"/>
        <w:rPr>
          <w:lang w:val="fr-FR"/>
        </w:rPr>
      </w:pPr>
      <w:r>
        <w:rPr>
          <w:lang w:val="fr-FR"/>
        </w:rPr>
        <w:lastRenderedPageBreak/>
        <w:tab/>
        <w:t>B.</w:t>
      </w:r>
      <w:r>
        <w:rPr>
          <w:lang w:val="fr-FR"/>
        </w:rPr>
        <w:tab/>
        <w:t>Normes applicables</w:t>
      </w:r>
    </w:p>
    <w:p w14:paraId="7975AD04" w14:textId="3B08DFC1" w:rsidR="00355E0D" w:rsidRPr="00BB7E34" w:rsidRDefault="00355E0D" w:rsidP="00355E0D">
      <w:pPr>
        <w:pStyle w:val="SingleTxtG"/>
        <w:rPr>
          <w:bCs/>
          <w:szCs w:val="14"/>
          <w:lang w:val="fr-FR"/>
        </w:rPr>
      </w:pPr>
      <w:r>
        <w:rPr>
          <w:lang w:val="fr-FR"/>
        </w:rPr>
        <w:t>4.</w:t>
      </w:r>
      <w:r>
        <w:rPr>
          <w:lang w:val="fr-FR"/>
        </w:rPr>
        <w:tab/>
        <w:t>L’ABS est disponible en option sur des vélos électriques ou à assistance électrique, qu’ils fassent l’objet d’une homologation de type ou non (comme les vélos à assistance électrique (VAE) rapides, qui sont des véhicules de la sous-catégorie</w:t>
      </w:r>
      <w:r w:rsidR="00E55C7A">
        <w:rPr>
          <w:lang w:val="fr-FR"/>
        </w:rPr>
        <w:t> </w:t>
      </w:r>
      <w:r>
        <w:rPr>
          <w:lang w:val="fr-FR"/>
        </w:rPr>
        <w:t>L1e-B conformément au Règlement (UE) n</w:t>
      </w:r>
      <w:r>
        <w:rPr>
          <w:vertAlign w:val="superscript"/>
          <w:lang w:val="fr-FR"/>
        </w:rPr>
        <w:t>o</w:t>
      </w:r>
      <w:r>
        <w:rPr>
          <w:lang w:val="fr-FR"/>
        </w:rPr>
        <w:t> 168-2013), donc le Règlement ONU n</w:t>
      </w:r>
      <w:r>
        <w:rPr>
          <w:vertAlign w:val="superscript"/>
          <w:lang w:val="fr-FR"/>
        </w:rPr>
        <w:t>o</w:t>
      </w:r>
      <w:r>
        <w:rPr>
          <w:lang w:val="fr-FR"/>
        </w:rPr>
        <w:t> 78 est applicable aux VAE rapides.</w:t>
      </w:r>
      <w:bookmarkStart w:id="3" w:name="_Hlk156835037"/>
      <w:bookmarkEnd w:id="3"/>
    </w:p>
    <w:p w14:paraId="327B7641" w14:textId="2409C4BB" w:rsidR="00355E0D" w:rsidRPr="00BB7E34" w:rsidRDefault="00355E0D" w:rsidP="00355E0D">
      <w:pPr>
        <w:pStyle w:val="SingleTxtG"/>
        <w:rPr>
          <w:bCs/>
          <w:szCs w:val="14"/>
          <w:lang w:val="fr-FR"/>
        </w:rPr>
      </w:pPr>
      <w:r>
        <w:rPr>
          <w:lang w:val="fr-FR"/>
        </w:rPr>
        <w:t>5.</w:t>
      </w:r>
      <w:r>
        <w:rPr>
          <w:lang w:val="fr-FR"/>
        </w:rPr>
        <w:tab/>
        <w:t>Dans la conception actuelle du Règlement ONU n</w:t>
      </w:r>
      <w:r>
        <w:rPr>
          <w:vertAlign w:val="superscript"/>
          <w:lang w:val="fr-FR"/>
        </w:rPr>
        <w:t>o</w:t>
      </w:r>
      <w:r>
        <w:rPr>
          <w:lang w:val="fr-FR"/>
        </w:rPr>
        <w:t> 78, la technologie ABS est principalement destinée aux deux-roues motorisés tels que les cyclomoteurs et les motocycles, qui ont des limites physiques différentes (voir la diapositive</w:t>
      </w:r>
      <w:r w:rsidR="00E55C7A">
        <w:rPr>
          <w:lang w:val="fr-FR"/>
        </w:rPr>
        <w:t> </w:t>
      </w:r>
      <w:r>
        <w:rPr>
          <w:lang w:val="fr-FR"/>
        </w:rPr>
        <w:t>2 du document informel</w:t>
      </w:r>
      <w:r w:rsidR="00E55C7A">
        <w:rPr>
          <w:lang w:val="fr-FR"/>
        </w:rPr>
        <w:t> </w:t>
      </w:r>
      <w:r>
        <w:rPr>
          <w:lang w:val="fr-FR"/>
        </w:rPr>
        <w:t>GRVA-18-39).</w:t>
      </w:r>
    </w:p>
    <w:p w14:paraId="45746292" w14:textId="77777777" w:rsidR="00355E0D" w:rsidRPr="00BB7E34" w:rsidRDefault="00355E0D" w:rsidP="00355E0D">
      <w:pPr>
        <w:pStyle w:val="H1G"/>
        <w:rPr>
          <w:lang w:val="fr-FR"/>
        </w:rPr>
      </w:pPr>
      <w:r>
        <w:rPr>
          <w:lang w:val="fr-FR"/>
        </w:rPr>
        <w:tab/>
        <w:t>C.</w:t>
      </w:r>
      <w:r>
        <w:rPr>
          <w:lang w:val="fr-FR"/>
        </w:rPr>
        <w:tab/>
        <w:t>Problème</w:t>
      </w:r>
    </w:p>
    <w:p w14:paraId="1CF65568" w14:textId="71842959" w:rsidR="00355E0D" w:rsidRPr="00BB7E34" w:rsidRDefault="00355E0D" w:rsidP="00355E0D">
      <w:pPr>
        <w:pStyle w:val="SingleTxtG"/>
        <w:rPr>
          <w:bCs/>
          <w:szCs w:val="14"/>
          <w:lang w:val="fr-FR"/>
        </w:rPr>
      </w:pPr>
      <w:r>
        <w:rPr>
          <w:lang w:val="fr-FR"/>
        </w:rPr>
        <w:t>6.</w:t>
      </w:r>
      <w:r>
        <w:rPr>
          <w:lang w:val="fr-FR"/>
        </w:rPr>
        <w:tab/>
        <w:t>Le centre de gravité des VAE rapides, combiné au degré d’efficacité de tout ABS, n’est pas compatible avec l’essai de freinage sur revêtement à forte adhérence (par</w:t>
      </w:r>
      <w:r w:rsidR="00E55C7A">
        <w:rPr>
          <w:lang w:val="fr-FR"/>
        </w:rPr>
        <w:t>.</w:t>
      </w:r>
      <w:r>
        <w:rPr>
          <w:lang w:val="fr-FR"/>
        </w:rPr>
        <w:t> 9.3), qui prévoit un seuil de décélération de 6,17 m/s</w:t>
      </w:r>
      <w:r>
        <w:rPr>
          <w:vertAlign w:val="superscript"/>
          <w:lang w:val="fr-FR"/>
        </w:rPr>
        <w:t>2</w:t>
      </w:r>
      <w:r>
        <w:rPr>
          <w:lang w:val="fr-FR"/>
        </w:rPr>
        <w:t>, indépendamment du véhicule (voir la diapositive 2 du document informel</w:t>
      </w:r>
      <w:r w:rsidR="00E55C7A">
        <w:rPr>
          <w:lang w:val="fr-FR"/>
        </w:rPr>
        <w:t> </w:t>
      </w:r>
      <w:r>
        <w:rPr>
          <w:lang w:val="fr-FR"/>
        </w:rPr>
        <w:t>GRVA-18-39).</w:t>
      </w:r>
    </w:p>
    <w:p w14:paraId="31372C82" w14:textId="77777777" w:rsidR="00355E0D" w:rsidRPr="00BB7E34" w:rsidRDefault="00355E0D" w:rsidP="00355E0D">
      <w:pPr>
        <w:pStyle w:val="H1G"/>
        <w:rPr>
          <w:lang w:val="fr-FR"/>
        </w:rPr>
      </w:pPr>
      <w:r>
        <w:rPr>
          <w:lang w:val="fr-FR"/>
        </w:rPr>
        <w:tab/>
        <w:t>D.</w:t>
      </w:r>
      <w:r>
        <w:rPr>
          <w:lang w:val="fr-FR"/>
        </w:rPr>
        <w:tab/>
        <w:t>Proposition</w:t>
      </w:r>
    </w:p>
    <w:p w14:paraId="2CB333C5" w14:textId="252C97C7" w:rsidR="00355E0D" w:rsidRPr="00BB7E34" w:rsidRDefault="00355E0D" w:rsidP="00355E0D">
      <w:pPr>
        <w:pStyle w:val="SingleTxtG"/>
        <w:rPr>
          <w:bCs/>
          <w:szCs w:val="14"/>
          <w:lang w:val="fr-FR"/>
        </w:rPr>
      </w:pPr>
      <w:r>
        <w:rPr>
          <w:lang w:val="fr-FR"/>
        </w:rPr>
        <w:t>7.</w:t>
      </w:r>
      <w:r>
        <w:rPr>
          <w:lang w:val="fr-FR"/>
        </w:rPr>
        <w:tab/>
        <w:t>Si l’on modifie la définition du seuil de décélération, pour passer d’un seuil défini indépendamment du véhicule à un seuil dépendant du type de véhicule, comme dans l’essai de freinage sur revêtement à faible adhérence (par</w:t>
      </w:r>
      <w:r w:rsidR="00E55C7A">
        <w:rPr>
          <w:lang w:val="fr-FR"/>
        </w:rPr>
        <w:t>. </w:t>
      </w:r>
      <w:r>
        <w:rPr>
          <w:lang w:val="fr-FR"/>
        </w:rPr>
        <w:t>9.4), le Règlement ONU n</w:t>
      </w:r>
      <w:r>
        <w:rPr>
          <w:vertAlign w:val="superscript"/>
          <w:lang w:val="fr-FR"/>
        </w:rPr>
        <w:t>o</w:t>
      </w:r>
      <w:r>
        <w:rPr>
          <w:lang w:val="fr-FR"/>
        </w:rPr>
        <w:t> 78 sera mieux adapté aux VAE rapides (voir la diapositive</w:t>
      </w:r>
      <w:r w:rsidR="00E55C7A">
        <w:rPr>
          <w:lang w:val="fr-FR"/>
        </w:rPr>
        <w:t> </w:t>
      </w:r>
      <w:r>
        <w:rPr>
          <w:lang w:val="fr-FR"/>
        </w:rPr>
        <w:t>3 du document informel</w:t>
      </w:r>
      <w:r w:rsidR="00E55C7A">
        <w:rPr>
          <w:lang w:val="fr-FR"/>
        </w:rPr>
        <w:t> </w:t>
      </w:r>
      <w:r>
        <w:rPr>
          <w:lang w:val="fr-FR"/>
        </w:rPr>
        <w:t>GRVA-18-39).</w:t>
      </w:r>
    </w:p>
    <w:p w14:paraId="71D5DD69" w14:textId="52FD1A7B" w:rsidR="00355E0D" w:rsidRPr="00BB7E34" w:rsidRDefault="00355E0D" w:rsidP="00355E0D">
      <w:pPr>
        <w:pStyle w:val="SingleTxtG"/>
        <w:rPr>
          <w:lang w:val="fr-FR"/>
        </w:rPr>
      </w:pPr>
      <w:r>
        <w:rPr>
          <w:lang w:val="fr-FR"/>
        </w:rPr>
        <w:t>8.</w:t>
      </w:r>
      <w:r>
        <w:rPr>
          <w:lang w:val="fr-FR"/>
        </w:rPr>
        <w:tab/>
        <w:t>La définition ajoutée à l’alinéa a) ii) du paragraphe</w:t>
      </w:r>
      <w:r w:rsidR="00E55C7A">
        <w:rPr>
          <w:lang w:val="fr-FR"/>
        </w:rPr>
        <w:t> </w:t>
      </w:r>
      <w:r>
        <w:rPr>
          <w:lang w:val="fr-FR"/>
        </w:rPr>
        <w:t>9.3.2 reprend celle figurant au paragraphe 1 du Règlement ONU n</w:t>
      </w:r>
      <w:r>
        <w:rPr>
          <w:vertAlign w:val="superscript"/>
          <w:lang w:val="fr-FR"/>
        </w:rPr>
        <w:t>o</w:t>
      </w:r>
      <w:r>
        <w:rPr>
          <w:lang w:val="fr-FR"/>
        </w:rPr>
        <w:t xml:space="preserve"> 63 (Émissions sonores des cyclomoteurs), libellée comme suit : </w:t>
      </w:r>
    </w:p>
    <w:p w14:paraId="349C04F9" w14:textId="0416C3FF" w:rsidR="00355E0D" w:rsidRPr="00BB7E34" w:rsidRDefault="00355E0D" w:rsidP="00355E0D">
      <w:pPr>
        <w:pStyle w:val="SingleTxtG"/>
        <w:ind w:left="2268" w:hanging="1134"/>
        <w:rPr>
          <w:i/>
          <w:iCs/>
          <w:lang w:val="fr-FR"/>
        </w:rPr>
      </w:pPr>
      <w:r>
        <w:rPr>
          <w:lang w:val="fr-FR"/>
        </w:rPr>
        <w:t>« </w:t>
      </w:r>
      <w:r>
        <w:rPr>
          <w:i/>
          <w:iCs/>
          <w:lang w:val="fr-FR"/>
        </w:rPr>
        <w:t>1.</w:t>
      </w:r>
      <w:r>
        <w:rPr>
          <w:lang w:val="fr-FR"/>
        </w:rPr>
        <w:tab/>
      </w:r>
      <w:r>
        <w:rPr>
          <w:i/>
          <w:iCs/>
          <w:lang w:val="fr-FR"/>
        </w:rPr>
        <w:t>Le présent Règlement s’applique aux émissions sonores des véhicules de la catégorie</w:t>
      </w:r>
      <w:r w:rsidR="00E55C7A">
        <w:rPr>
          <w:i/>
          <w:iCs/>
          <w:lang w:val="fr-FR"/>
        </w:rPr>
        <w:t> </w:t>
      </w:r>
      <w:r>
        <w:rPr>
          <w:i/>
          <w:iCs/>
          <w:lang w:val="fr-FR"/>
        </w:rPr>
        <w:t>L</w:t>
      </w:r>
      <w:r>
        <w:rPr>
          <w:i/>
          <w:iCs/>
          <w:vertAlign w:val="subscript"/>
          <w:lang w:val="fr-FR"/>
        </w:rPr>
        <w:t>1</w:t>
      </w:r>
      <w:r>
        <w:rPr>
          <w:i/>
          <w:iCs/>
          <w:vertAlign w:val="superscript"/>
          <w:lang w:val="fr-FR"/>
        </w:rPr>
        <w:t>1</w:t>
      </w:r>
      <w:r>
        <w:rPr>
          <w:i/>
          <w:iCs/>
          <w:lang w:val="fr-FR"/>
        </w:rPr>
        <w:t>.</w:t>
      </w:r>
      <w:r>
        <w:rPr>
          <w:lang w:val="fr-FR"/>
        </w:rPr>
        <w:t xml:space="preserve"> </w:t>
      </w:r>
      <w:r>
        <w:rPr>
          <w:i/>
          <w:iCs/>
          <w:lang w:val="fr-FR"/>
        </w:rPr>
        <w:t>Les véhicules électriques purs, y compris les véhicules à propulsion électrique auxiliaire, sont exclus du champ d’application du présent Règlement.</w:t>
      </w:r>
      <w:r>
        <w:rPr>
          <w:lang w:val="fr-FR"/>
        </w:rPr>
        <w:t xml:space="preserve"> ». </w:t>
      </w:r>
    </w:p>
    <w:p w14:paraId="607799CC" w14:textId="77777777" w:rsidR="00355E0D" w:rsidRPr="00BB7E34" w:rsidRDefault="00355E0D" w:rsidP="00355E0D">
      <w:pPr>
        <w:pStyle w:val="H1G"/>
        <w:rPr>
          <w:lang w:val="fr-FR"/>
        </w:rPr>
      </w:pPr>
      <w:r>
        <w:rPr>
          <w:lang w:val="fr-FR"/>
        </w:rPr>
        <w:tab/>
        <w:t>E.</w:t>
      </w:r>
      <w:r>
        <w:rPr>
          <w:lang w:val="fr-FR"/>
        </w:rPr>
        <w:tab/>
      </w:r>
      <w:r>
        <w:rPr>
          <w:lang w:val="fr-FR"/>
        </w:rPr>
        <w:tab/>
        <w:t>Proposition d’ajout de nouvelles définitions</w:t>
      </w:r>
    </w:p>
    <w:p w14:paraId="6754230A" w14:textId="0A285DF9" w:rsidR="00355E0D" w:rsidRPr="00BB7E34" w:rsidRDefault="00355E0D" w:rsidP="00355E0D">
      <w:pPr>
        <w:pStyle w:val="SingleTxtG"/>
        <w:rPr>
          <w:lang w:val="fr-FR"/>
        </w:rPr>
      </w:pPr>
      <w:r>
        <w:rPr>
          <w:lang w:val="fr-FR"/>
        </w:rPr>
        <w:t>9.</w:t>
      </w:r>
      <w:r>
        <w:rPr>
          <w:lang w:val="fr-FR"/>
        </w:rPr>
        <w:tab/>
        <w:t>Comme suite à la demande formulée par les experts de l’Italie à la session de janvier 2024 du GRVA, une proposition de définition précise des « véhicules à pédales » a été ajoutée au corps du document informel</w:t>
      </w:r>
      <w:r w:rsidR="00E55C7A">
        <w:rPr>
          <w:lang w:val="fr-FR"/>
        </w:rPr>
        <w:t> </w:t>
      </w:r>
      <w:r>
        <w:rPr>
          <w:lang w:val="fr-FR"/>
        </w:rPr>
        <w:t xml:space="preserve">GRVA-18-38 (janvier 2024). Cette proposition est fondée sur la dernière version (mars 2024) des définitions élaborées par le Groupe d’experts du module relatif aux infrastructures cyclables, relevant du Groupe de travail chargé d’examiner les tendances et l’économie des transports. </w:t>
      </w:r>
    </w:p>
    <w:p w14:paraId="32498E6A" w14:textId="230DF1AF" w:rsidR="00F9573C" w:rsidRPr="00355E0D" w:rsidRDefault="00355E0D" w:rsidP="00355E0D">
      <w:pPr>
        <w:spacing w:before="60"/>
        <w:jc w:val="center"/>
        <w:rPr>
          <w:lang w:val="fr-FR"/>
        </w:rPr>
      </w:pPr>
      <w:r w:rsidRPr="00BB7E34">
        <w:rPr>
          <w:u w:val="single"/>
          <w:lang w:val="fr-FR"/>
        </w:rPr>
        <w:tab/>
      </w:r>
      <w:r w:rsidRPr="00BB7E34">
        <w:rPr>
          <w:u w:val="single"/>
          <w:lang w:val="fr-FR"/>
        </w:rPr>
        <w:tab/>
      </w:r>
      <w:r w:rsidRPr="00BB7E34">
        <w:rPr>
          <w:u w:val="single"/>
          <w:lang w:val="fr-FR"/>
        </w:rPr>
        <w:tab/>
      </w:r>
    </w:p>
    <w:sectPr w:rsidR="00F9573C" w:rsidRPr="00355E0D" w:rsidSect="00355E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F198" w14:textId="77777777" w:rsidR="00CF579B" w:rsidRDefault="00CF579B" w:rsidP="00F95C08">
      <w:pPr>
        <w:spacing w:line="240" w:lineRule="auto"/>
      </w:pPr>
    </w:p>
  </w:endnote>
  <w:endnote w:type="continuationSeparator" w:id="0">
    <w:p w14:paraId="1AB9AD77" w14:textId="77777777" w:rsidR="00CF579B" w:rsidRPr="00AC3823" w:rsidRDefault="00CF579B" w:rsidP="00AC3823">
      <w:pPr>
        <w:pStyle w:val="Pieddepage"/>
      </w:pPr>
    </w:p>
  </w:endnote>
  <w:endnote w:type="continuationNotice" w:id="1">
    <w:p w14:paraId="22DCB850" w14:textId="77777777" w:rsidR="00CF579B" w:rsidRDefault="00CF57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F5DE" w14:textId="6ABD9676" w:rsidR="00355E0D" w:rsidRPr="00355E0D" w:rsidRDefault="00355E0D" w:rsidP="00355E0D">
    <w:pPr>
      <w:pStyle w:val="Pieddepage"/>
      <w:tabs>
        <w:tab w:val="right" w:pos="9638"/>
      </w:tabs>
    </w:pPr>
    <w:r w:rsidRPr="00355E0D">
      <w:rPr>
        <w:b/>
        <w:sz w:val="18"/>
      </w:rPr>
      <w:fldChar w:fldCharType="begin"/>
    </w:r>
    <w:r w:rsidRPr="00355E0D">
      <w:rPr>
        <w:b/>
        <w:sz w:val="18"/>
      </w:rPr>
      <w:instrText xml:space="preserve"> PAGE  \* MERGEFORMAT </w:instrText>
    </w:r>
    <w:r w:rsidRPr="00355E0D">
      <w:rPr>
        <w:b/>
        <w:sz w:val="18"/>
      </w:rPr>
      <w:fldChar w:fldCharType="separate"/>
    </w:r>
    <w:r w:rsidRPr="00355E0D">
      <w:rPr>
        <w:b/>
        <w:noProof/>
        <w:sz w:val="18"/>
      </w:rPr>
      <w:t>2</w:t>
    </w:r>
    <w:r w:rsidRPr="00355E0D">
      <w:rPr>
        <w:b/>
        <w:sz w:val="18"/>
      </w:rPr>
      <w:fldChar w:fldCharType="end"/>
    </w:r>
    <w:r>
      <w:rPr>
        <w:b/>
        <w:sz w:val="18"/>
      </w:rPr>
      <w:tab/>
    </w:r>
    <w:r>
      <w:t>GE.24-06733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307" w14:textId="69F93FD1" w:rsidR="00355E0D" w:rsidRPr="00355E0D" w:rsidRDefault="00355E0D" w:rsidP="00355E0D">
    <w:pPr>
      <w:pStyle w:val="Pieddepage"/>
      <w:tabs>
        <w:tab w:val="right" w:pos="9638"/>
      </w:tabs>
      <w:rPr>
        <w:b/>
        <w:sz w:val="18"/>
      </w:rPr>
    </w:pPr>
    <w:r>
      <w:t>GE.24-06733</w:t>
    </w:r>
    <w:r>
      <w:tab/>
    </w:r>
    <w:r w:rsidRPr="00355E0D">
      <w:rPr>
        <w:b/>
        <w:sz w:val="18"/>
      </w:rPr>
      <w:fldChar w:fldCharType="begin"/>
    </w:r>
    <w:r w:rsidRPr="00355E0D">
      <w:rPr>
        <w:b/>
        <w:sz w:val="18"/>
      </w:rPr>
      <w:instrText xml:space="preserve"> PAGE  \* MERGEFORMAT </w:instrText>
    </w:r>
    <w:r w:rsidRPr="00355E0D">
      <w:rPr>
        <w:b/>
        <w:sz w:val="18"/>
      </w:rPr>
      <w:fldChar w:fldCharType="separate"/>
    </w:r>
    <w:r w:rsidRPr="00355E0D">
      <w:rPr>
        <w:b/>
        <w:noProof/>
        <w:sz w:val="18"/>
      </w:rPr>
      <w:t>3</w:t>
    </w:r>
    <w:r w:rsidRPr="00355E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1ECF" w14:textId="24B6CE55" w:rsidR="007F20FA" w:rsidRPr="00355E0D" w:rsidRDefault="00355E0D" w:rsidP="00355E0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64FD56" wp14:editId="4F7CCD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24-06733  (F)</w:t>
    </w:r>
    <w:r>
      <w:rPr>
        <w:noProof/>
        <w:sz w:val="20"/>
      </w:rPr>
      <w:drawing>
        <wp:anchor distT="0" distB="0" distL="114300" distR="114300" simplePos="0" relativeHeight="251660288" behindDoc="0" locked="0" layoutInCell="1" allowOverlap="1" wp14:anchorId="02FDDD3B" wp14:editId="398EC2E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090524    100524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A42C" w14:textId="77777777" w:rsidR="00CF579B" w:rsidRPr="00AC3823" w:rsidRDefault="00CF579B" w:rsidP="00AC3823">
      <w:pPr>
        <w:pStyle w:val="Pieddepage"/>
        <w:tabs>
          <w:tab w:val="right" w:pos="2155"/>
        </w:tabs>
        <w:spacing w:after="80" w:line="240" w:lineRule="atLeast"/>
        <w:ind w:left="680"/>
        <w:rPr>
          <w:u w:val="single"/>
        </w:rPr>
      </w:pPr>
      <w:r>
        <w:rPr>
          <w:u w:val="single"/>
        </w:rPr>
        <w:tab/>
      </w:r>
    </w:p>
  </w:footnote>
  <w:footnote w:type="continuationSeparator" w:id="0">
    <w:p w14:paraId="781ECA1E" w14:textId="77777777" w:rsidR="00CF579B" w:rsidRPr="00AC3823" w:rsidRDefault="00CF579B" w:rsidP="00AC3823">
      <w:pPr>
        <w:pStyle w:val="Pieddepage"/>
        <w:tabs>
          <w:tab w:val="right" w:pos="2155"/>
        </w:tabs>
        <w:spacing w:after="80" w:line="240" w:lineRule="atLeast"/>
        <w:ind w:left="680"/>
        <w:rPr>
          <w:u w:val="single"/>
        </w:rPr>
      </w:pPr>
      <w:r>
        <w:rPr>
          <w:u w:val="single"/>
        </w:rPr>
        <w:tab/>
      </w:r>
    </w:p>
  </w:footnote>
  <w:footnote w:type="continuationNotice" w:id="1">
    <w:p w14:paraId="4683E302" w14:textId="77777777" w:rsidR="00CF579B" w:rsidRPr="00AC3823" w:rsidRDefault="00CF579B">
      <w:pPr>
        <w:spacing w:line="240" w:lineRule="auto"/>
        <w:rPr>
          <w:sz w:val="2"/>
          <w:szCs w:val="2"/>
        </w:rPr>
      </w:pPr>
    </w:p>
  </w:footnote>
  <w:footnote w:id="2">
    <w:p w14:paraId="6EEFE6EA" w14:textId="77777777" w:rsidR="00355E0D" w:rsidRPr="00BB7E34" w:rsidRDefault="00355E0D" w:rsidP="00355E0D">
      <w:pPr>
        <w:pStyle w:val="Notedebasdepage"/>
        <w:rPr>
          <w:lang w:val="fr-FR"/>
        </w:rPr>
      </w:pPr>
      <w:r>
        <w:rPr>
          <w:lang w:val="fr-FR"/>
        </w:rPr>
        <w:tab/>
      </w:r>
      <w:r w:rsidRPr="00E55C7A">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F039" w14:textId="51FF30CA" w:rsidR="00355E0D" w:rsidRPr="00355E0D" w:rsidRDefault="00355E0D">
    <w:pPr>
      <w:pStyle w:val="En-tte"/>
    </w:pPr>
    <w:fldSimple w:instr=" TITLE  \* MERGEFORMAT ">
      <w:r>
        <w:t>ECE/TRANS/WP.29/GRVA/2024/21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81FB" w14:textId="2757BD44" w:rsidR="00355E0D" w:rsidRPr="00355E0D" w:rsidRDefault="00355E0D" w:rsidP="00355E0D">
    <w:pPr>
      <w:pStyle w:val="En-tte"/>
      <w:jc w:val="right"/>
    </w:pPr>
    <w:fldSimple w:instr=" TITLE  \* MERGEFORMAT ">
      <w:r>
        <w:t>ECE/TRANS/WP.29/GRVA/2024/21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90670679">
    <w:abstractNumId w:val="12"/>
  </w:num>
  <w:num w:numId="2" w16cid:durableId="703136434">
    <w:abstractNumId w:val="11"/>
  </w:num>
  <w:num w:numId="3" w16cid:durableId="1723947592">
    <w:abstractNumId w:val="10"/>
  </w:num>
  <w:num w:numId="4" w16cid:durableId="464665458">
    <w:abstractNumId w:val="8"/>
  </w:num>
  <w:num w:numId="5" w16cid:durableId="1451820014">
    <w:abstractNumId w:val="3"/>
  </w:num>
  <w:num w:numId="6" w16cid:durableId="1313562769">
    <w:abstractNumId w:val="2"/>
  </w:num>
  <w:num w:numId="7" w16cid:durableId="655498384">
    <w:abstractNumId w:val="1"/>
  </w:num>
  <w:num w:numId="8" w16cid:durableId="281880805">
    <w:abstractNumId w:val="0"/>
  </w:num>
  <w:num w:numId="9" w16cid:durableId="500199952">
    <w:abstractNumId w:val="9"/>
  </w:num>
  <w:num w:numId="10" w16cid:durableId="882061081">
    <w:abstractNumId w:val="7"/>
  </w:num>
  <w:num w:numId="11" w16cid:durableId="768695351">
    <w:abstractNumId w:val="6"/>
  </w:num>
  <w:num w:numId="12" w16cid:durableId="2052993690">
    <w:abstractNumId w:val="5"/>
  </w:num>
  <w:num w:numId="13" w16cid:durableId="1315833400">
    <w:abstractNumId w:val="4"/>
  </w:num>
  <w:num w:numId="14" w16cid:durableId="393243217">
    <w:abstractNumId w:val="12"/>
  </w:num>
  <w:num w:numId="15" w16cid:durableId="516693595">
    <w:abstractNumId w:val="11"/>
  </w:num>
  <w:num w:numId="16" w16cid:durableId="1681466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9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B556A"/>
    <w:rsid w:val="002D7C93"/>
    <w:rsid w:val="00305801"/>
    <w:rsid w:val="00355E0D"/>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1633A"/>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F579B"/>
    <w:rsid w:val="00D3439C"/>
    <w:rsid w:val="00D7622E"/>
    <w:rsid w:val="00DB1831"/>
    <w:rsid w:val="00DD3BFD"/>
    <w:rsid w:val="00DF6678"/>
    <w:rsid w:val="00E0299A"/>
    <w:rsid w:val="00E55C7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175A"/>
  <w15:docId w15:val="{7BE48E71-C410-4F6F-8FB4-DA2352F9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55E0D"/>
    <w:rPr>
      <w:rFonts w:ascii="Times New Roman" w:eastAsiaTheme="minorHAnsi" w:hAnsi="Times New Roman" w:cs="Times New Roman"/>
      <w:sz w:val="20"/>
      <w:szCs w:val="20"/>
      <w:lang w:eastAsia="en-US"/>
    </w:rPr>
  </w:style>
  <w:style w:type="character" w:customStyle="1" w:styleId="HChGChar">
    <w:name w:val="_ H _Ch_G Char"/>
    <w:link w:val="HChG"/>
    <w:qFormat/>
    <w:rsid w:val="00355E0D"/>
    <w:rPr>
      <w:rFonts w:ascii="Times New Roman" w:eastAsiaTheme="minorHAnsi" w:hAnsi="Times New Roman" w:cs="Times New Roman"/>
      <w:b/>
      <w:sz w:val="28"/>
      <w:szCs w:val="20"/>
      <w:lang w:eastAsia="en-US"/>
    </w:rPr>
  </w:style>
  <w:style w:type="character" w:customStyle="1" w:styleId="H1GChar">
    <w:name w:val="_ H_1_G Char"/>
    <w:link w:val="H1G"/>
    <w:rsid w:val="00355E0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BF130-268F-471F-8978-4ED07789ED47}"/>
</file>

<file path=customXml/itemProps2.xml><?xml version="1.0" encoding="utf-8"?>
<ds:datastoreItem xmlns:ds="http://schemas.openxmlformats.org/officeDocument/2006/customXml" ds:itemID="{3B9FA993-55C8-4E01-9513-BE4220C8B88B}"/>
</file>

<file path=docProps/app.xml><?xml version="1.0" encoding="utf-8"?>
<Properties xmlns="http://schemas.openxmlformats.org/officeDocument/2006/extended-properties" xmlns:vt="http://schemas.openxmlformats.org/officeDocument/2006/docPropsVTypes">
  <Template>ECE_TRANS.dotm</Template>
  <TotalTime>0</TotalTime>
  <Pages>3</Pages>
  <Words>896</Words>
  <Characters>4755</Characters>
  <Application>Microsoft Office Word</Application>
  <DocSecurity>0</DocSecurity>
  <Lines>105</Lines>
  <Paragraphs>52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ECE/TRANS/WP.29/GRVA/2024/21</dc:title>
  <dc:subject/>
  <dc:creator>Sandrine CLERE</dc:creator>
  <cp:keywords/>
  <cp:lastModifiedBy>Sandrine Clere</cp:lastModifiedBy>
  <cp:revision>2</cp:revision>
  <cp:lastPrinted>2014-05-14T10:59:00Z</cp:lastPrinted>
  <dcterms:created xsi:type="dcterms:W3CDTF">2024-05-10T07:14:00Z</dcterms:created>
  <dcterms:modified xsi:type="dcterms:W3CDTF">2024-05-10T07:14:00Z</dcterms:modified>
</cp:coreProperties>
</file>