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9FBFA7" w14:textId="77777777" w:rsidTr="00387CD4">
        <w:trPr>
          <w:trHeight w:hRule="exact" w:val="851"/>
        </w:trPr>
        <w:tc>
          <w:tcPr>
            <w:tcW w:w="142" w:type="dxa"/>
            <w:tcBorders>
              <w:bottom w:val="single" w:sz="4" w:space="0" w:color="auto"/>
            </w:tcBorders>
          </w:tcPr>
          <w:p w14:paraId="1B25573B" w14:textId="77777777" w:rsidR="002D5AAC" w:rsidRDefault="002D5AAC" w:rsidP="00BA3DD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290367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8670BC" w14:textId="526692DF" w:rsidR="002D5AAC" w:rsidRDefault="00BA3DD6" w:rsidP="00BA3DD6">
            <w:pPr>
              <w:jc w:val="right"/>
            </w:pPr>
            <w:r w:rsidRPr="00BA3DD6">
              <w:rPr>
                <w:sz w:val="40"/>
              </w:rPr>
              <w:t>ECE</w:t>
            </w:r>
            <w:r>
              <w:t>/TRANS/WP.29/GRVA/2024/20</w:t>
            </w:r>
          </w:p>
        </w:tc>
      </w:tr>
      <w:tr w:rsidR="002D5AAC" w:rsidRPr="00987A15" w14:paraId="217B6CAA" w14:textId="77777777" w:rsidTr="00387CD4">
        <w:trPr>
          <w:trHeight w:hRule="exact" w:val="2835"/>
        </w:trPr>
        <w:tc>
          <w:tcPr>
            <w:tcW w:w="1280" w:type="dxa"/>
            <w:gridSpan w:val="2"/>
            <w:tcBorders>
              <w:top w:val="single" w:sz="4" w:space="0" w:color="auto"/>
              <w:bottom w:val="single" w:sz="12" w:space="0" w:color="auto"/>
            </w:tcBorders>
          </w:tcPr>
          <w:p w14:paraId="0488550B" w14:textId="77777777" w:rsidR="002D5AAC" w:rsidRDefault="002E5067" w:rsidP="00387CD4">
            <w:pPr>
              <w:spacing w:before="120"/>
              <w:jc w:val="center"/>
            </w:pPr>
            <w:r>
              <w:rPr>
                <w:noProof/>
                <w:lang w:val="fr-CH" w:eastAsia="fr-CH"/>
              </w:rPr>
              <w:drawing>
                <wp:inline distT="0" distB="0" distL="0" distR="0" wp14:anchorId="02C9344A" wp14:editId="7BE7BC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3345A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C7E0F5E" w14:textId="77777777" w:rsidR="002D5AAC" w:rsidRDefault="00BA3DD6" w:rsidP="00387CD4">
            <w:pPr>
              <w:spacing w:before="240"/>
              <w:rPr>
                <w:lang w:val="en-US"/>
              </w:rPr>
            </w:pPr>
            <w:r>
              <w:rPr>
                <w:lang w:val="en-US"/>
              </w:rPr>
              <w:t>Distr.: General</w:t>
            </w:r>
          </w:p>
          <w:p w14:paraId="6F6AD6BD" w14:textId="77777777" w:rsidR="00BA3DD6" w:rsidRDefault="00BA3DD6" w:rsidP="00BA3DD6">
            <w:pPr>
              <w:spacing w:line="240" w:lineRule="exact"/>
              <w:rPr>
                <w:lang w:val="en-US"/>
              </w:rPr>
            </w:pPr>
            <w:r>
              <w:rPr>
                <w:lang w:val="en-US"/>
              </w:rPr>
              <w:t>11 April 2024</w:t>
            </w:r>
          </w:p>
          <w:p w14:paraId="73421621" w14:textId="77777777" w:rsidR="00BA3DD6" w:rsidRDefault="00BA3DD6" w:rsidP="00BA3DD6">
            <w:pPr>
              <w:spacing w:line="240" w:lineRule="exact"/>
              <w:rPr>
                <w:lang w:val="en-US"/>
              </w:rPr>
            </w:pPr>
            <w:r>
              <w:rPr>
                <w:lang w:val="en-US"/>
              </w:rPr>
              <w:t>Russian</w:t>
            </w:r>
          </w:p>
          <w:p w14:paraId="3303525C" w14:textId="49312CF7" w:rsidR="00BA3DD6" w:rsidRPr="008D53B6" w:rsidRDefault="00BA3DD6" w:rsidP="00BA3DD6">
            <w:pPr>
              <w:spacing w:line="240" w:lineRule="exact"/>
              <w:rPr>
                <w:lang w:val="en-US"/>
              </w:rPr>
            </w:pPr>
            <w:r>
              <w:rPr>
                <w:lang w:val="en-US"/>
              </w:rPr>
              <w:t>Original: English</w:t>
            </w:r>
          </w:p>
        </w:tc>
      </w:tr>
    </w:tbl>
    <w:p w14:paraId="1704760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5B68E78" w14:textId="77777777" w:rsidR="00BA3DD6" w:rsidRPr="001A61DE" w:rsidRDefault="00BA3DD6" w:rsidP="00BA3DD6">
      <w:pPr>
        <w:spacing w:before="120"/>
        <w:rPr>
          <w:sz w:val="28"/>
          <w:szCs w:val="28"/>
        </w:rPr>
      </w:pPr>
      <w:r w:rsidRPr="001A61DE">
        <w:rPr>
          <w:sz w:val="28"/>
          <w:szCs w:val="28"/>
        </w:rPr>
        <w:t>Комитет по внутреннему транспорту</w:t>
      </w:r>
    </w:p>
    <w:p w14:paraId="57846A15" w14:textId="00A3CE6D" w:rsidR="00BA3DD6" w:rsidRPr="001A61DE" w:rsidRDefault="00BA3DD6" w:rsidP="00BA3DD6">
      <w:pPr>
        <w:spacing w:before="120"/>
        <w:rPr>
          <w:b/>
          <w:sz w:val="24"/>
          <w:szCs w:val="24"/>
        </w:rPr>
      </w:pPr>
      <w:r w:rsidRPr="001A61DE">
        <w:rPr>
          <w:b/>
          <w:bCs/>
          <w:sz w:val="24"/>
          <w:szCs w:val="24"/>
        </w:rPr>
        <w:t xml:space="preserve">Всемирный форум для согласования правил </w:t>
      </w:r>
      <w:r w:rsidR="001A61DE" w:rsidRPr="001A61DE">
        <w:rPr>
          <w:b/>
          <w:bCs/>
          <w:sz w:val="24"/>
          <w:szCs w:val="24"/>
        </w:rPr>
        <w:br/>
      </w:r>
      <w:r w:rsidRPr="001A61DE">
        <w:rPr>
          <w:b/>
          <w:bCs/>
          <w:sz w:val="24"/>
          <w:szCs w:val="24"/>
        </w:rPr>
        <w:t>в области транспортных средств</w:t>
      </w:r>
    </w:p>
    <w:p w14:paraId="0DE69554" w14:textId="7E474062" w:rsidR="00BA3DD6" w:rsidRPr="00EA5777" w:rsidRDefault="00BA3DD6" w:rsidP="00BA3DD6">
      <w:pPr>
        <w:spacing w:before="120"/>
        <w:rPr>
          <w:b/>
        </w:rPr>
      </w:pPr>
      <w:bookmarkStart w:id="0" w:name="_Hlk518466992"/>
      <w:r>
        <w:rPr>
          <w:b/>
          <w:bCs/>
        </w:rPr>
        <w:t xml:space="preserve">Рабочая группа по автоматизированным/автономным </w:t>
      </w:r>
      <w:r w:rsidR="001A61DE">
        <w:rPr>
          <w:b/>
          <w:bCs/>
        </w:rPr>
        <w:br/>
      </w:r>
      <w:r>
        <w:rPr>
          <w:b/>
          <w:bCs/>
        </w:rPr>
        <w:t>и подключенным транспортным средствам</w:t>
      </w:r>
      <w:bookmarkEnd w:id="0"/>
    </w:p>
    <w:p w14:paraId="61FB67FE" w14:textId="77777777" w:rsidR="00BA3DD6" w:rsidRPr="00EA5777" w:rsidRDefault="00BA3DD6" w:rsidP="00BA3DD6">
      <w:pPr>
        <w:spacing w:before="120"/>
        <w:rPr>
          <w:b/>
        </w:rPr>
      </w:pPr>
      <w:bookmarkStart w:id="1" w:name="OLE_LINK2"/>
      <w:r>
        <w:rPr>
          <w:b/>
          <w:bCs/>
        </w:rPr>
        <w:t>Девятнадцатая сессия</w:t>
      </w:r>
    </w:p>
    <w:p w14:paraId="04D1691F" w14:textId="77777777" w:rsidR="00BA3DD6" w:rsidRPr="00EA5777" w:rsidRDefault="00BA3DD6" w:rsidP="00BA3DD6">
      <w:r>
        <w:t>Женева, 25 июня 2024 года</w:t>
      </w:r>
    </w:p>
    <w:p w14:paraId="70BA88AD" w14:textId="77777777" w:rsidR="00BA3DD6" w:rsidRPr="00EA5777" w:rsidRDefault="00BA3DD6" w:rsidP="00BA3DD6">
      <w:r>
        <w:t>Пункт 5 a) предварительной повестки дня</w:t>
      </w:r>
    </w:p>
    <w:p w14:paraId="3F1A3A73" w14:textId="77777777" w:rsidR="00BA3DD6" w:rsidRPr="00EA5777" w:rsidRDefault="00BA3DD6" w:rsidP="00BA3DD6">
      <w:pPr>
        <w:rPr>
          <w:b/>
          <w:bCs/>
        </w:rPr>
      </w:pPr>
      <w:r>
        <w:rPr>
          <w:b/>
          <w:bCs/>
        </w:rPr>
        <w:t>Подключенные транспортные средства:</w:t>
      </w:r>
    </w:p>
    <w:p w14:paraId="6C41334E" w14:textId="0E297D3F" w:rsidR="00BA3DD6" w:rsidRPr="00EA5777" w:rsidRDefault="00BA3DD6" w:rsidP="00BA3DD6">
      <w:pPr>
        <w:rPr>
          <w:b/>
          <w:bCs/>
        </w:rPr>
      </w:pPr>
      <w:r>
        <w:rPr>
          <w:b/>
          <w:bCs/>
        </w:rPr>
        <w:t xml:space="preserve">Вопросы, касающиеся кибербезопасности, </w:t>
      </w:r>
      <w:r w:rsidR="001A61DE">
        <w:rPr>
          <w:b/>
          <w:bCs/>
        </w:rPr>
        <w:br/>
      </w:r>
      <w:r>
        <w:rPr>
          <w:b/>
          <w:bCs/>
        </w:rPr>
        <w:t xml:space="preserve">обновлений программного обеспечения </w:t>
      </w:r>
      <w:r w:rsidR="001A61DE">
        <w:rPr>
          <w:b/>
          <w:bCs/>
        </w:rPr>
        <w:br/>
      </w:r>
      <w:r>
        <w:rPr>
          <w:b/>
          <w:bCs/>
        </w:rPr>
        <w:t>и беспроводной связи</w:t>
      </w:r>
    </w:p>
    <w:p w14:paraId="1C5A15E6" w14:textId="77777777" w:rsidR="00BA3DD6" w:rsidRPr="00EA5777" w:rsidRDefault="00BA3DD6" w:rsidP="001A61DE">
      <w:pPr>
        <w:pStyle w:val="HChG"/>
      </w:pPr>
      <w:r>
        <w:tab/>
      </w:r>
      <w:r>
        <w:tab/>
        <w:t>Предложение по поправкам к приложению 7 к Сводной резолюции о конструкции транспортных средств (СР.3)</w:t>
      </w:r>
      <w:bookmarkEnd w:id="1"/>
    </w:p>
    <w:p w14:paraId="4706D506" w14:textId="77777777" w:rsidR="00BA3DD6" w:rsidRPr="00EA5777" w:rsidRDefault="00BA3DD6" w:rsidP="00BA3DD6">
      <w:pPr>
        <w:pStyle w:val="H1G"/>
        <w:rPr>
          <w:szCs w:val="24"/>
        </w:rPr>
      </w:pPr>
      <w:r>
        <w:tab/>
      </w:r>
      <w:r>
        <w:tab/>
      </w:r>
      <w:r>
        <w:rPr>
          <w:bCs/>
        </w:rPr>
        <w:t>Представлено экспертом от Соединенного Королевства Великобритании и Северной Ирландии</w:t>
      </w:r>
      <w:r w:rsidRPr="001A61DE">
        <w:rPr>
          <w:rStyle w:val="aa"/>
          <w:b w:val="0"/>
          <w:bCs/>
          <w:sz w:val="20"/>
          <w:vertAlign w:val="baseline"/>
        </w:rPr>
        <w:footnoteReference w:customMarkFollows="1" w:id="1"/>
        <w:t>*</w:t>
      </w:r>
    </w:p>
    <w:p w14:paraId="6C27110E" w14:textId="1692CA12" w:rsidR="00BA3DD6" w:rsidRPr="00EA5777" w:rsidRDefault="00BA3DD6" w:rsidP="001A61DE">
      <w:pPr>
        <w:pStyle w:val="SingleTxtG"/>
      </w:pPr>
      <w:r>
        <w:tab/>
        <w:t xml:space="preserve">Воспроизведенный ниже текст был подготовлен экспертом от Соединенного Королевства Великобритании и Северной Ирландии с целью разъяснения положений приложения 7 к Сводной резолюции о конструкции транспортных средств (СР.3). </w:t>
      </w:r>
      <w:r w:rsidR="001A61DE">
        <w:br/>
      </w:r>
      <w:r>
        <w:t>В его основу положен неофициальный документ GRVA-17-27. Изменения к существующему тексту Правил выделены жирным шрифтом в случае новых положений или зачеркиванием в случае исключенных элементов.</w:t>
      </w:r>
    </w:p>
    <w:p w14:paraId="31C64A09" w14:textId="77777777" w:rsidR="00BA3DD6" w:rsidRPr="00EA5777" w:rsidRDefault="00BA3DD6" w:rsidP="00BA3DD6">
      <w:pPr>
        <w:suppressAutoHyphens w:val="0"/>
        <w:spacing w:line="240" w:lineRule="auto"/>
        <w:rPr>
          <w:b/>
          <w:sz w:val="28"/>
        </w:rPr>
      </w:pPr>
      <w:r w:rsidRPr="00EA5777">
        <w:br w:type="page"/>
      </w:r>
    </w:p>
    <w:p w14:paraId="1F13102A" w14:textId="77777777" w:rsidR="00BA3DD6" w:rsidRPr="00EA5777" w:rsidRDefault="00BA3DD6" w:rsidP="00BA3DD6">
      <w:pPr>
        <w:pStyle w:val="HChG"/>
        <w:ind w:right="522"/>
      </w:pPr>
      <w:r>
        <w:rPr>
          <w:bCs/>
        </w:rPr>
        <w:lastRenderedPageBreak/>
        <w:tab/>
        <w:t>I.</w:t>
      </w:r>
      <w:r>
        <w:tab/>
      </w:r>
      <w:r>
        <w:rPr>
          <w:bCs/>
        </w:rPr>
        <w:t>Предложение</w:t>
      </w:r>
    </w:p>
    <w:p w14:paraId="395FED61" w14:textId="77777777" w:rsidR="00BA3DD6" w:rsidRPr="00EA5777" w:rsidRDefault="00BA3DD6" w:rsidP="00BA3DD6">
      <w:pPr>
        <w:pStyle w:val="SingleTxtG"/>
      </w:pPr>
      <w:r>
        <w:rPr>
          <w:i/>
          <w:iCs/>
        </w:rPr>
        <w:t xml:space="preserve">Приложение 7 </w:t>
      </w:r>
      <w:r>
        <w:t>изменить следующим образом:</w:t>
      </w:r>
    </w:p>
    <w:p w14:paraId="30227F13" w14:textId="77777777" w:rsidR="00BA3DD6" w:rsidRPr="00EA5777" w:rsidRDefault="00BA3DD6" w:rsidP="00BA3DD6">
      <w:pPr>
        <w:pStyle w:val="HChG"/>
      </w:pPr>
      <w:r w:rsidRPr="001A61DE">
        <w:rPr>
          <w:b w:val="0"/>
          <w:sz w:val="20"/>
        </w:rPr>
        <w:t>«</w:t>
      </w:r>
      <w:r>
        <w:rPr>
          <w:bCs/>
        </w:rPr>
        <w:t>Приложение 7</w:t>
      </w:r>
    </w:p>
    <w:p w14:paraId="3671D7C4" w14:textId="77777777" w:rsidR="00BA3DD6" w:rsidRPr="00EA5777" w:rsidRDefault="00BA3DD6" w:rsidP="00BA3DD6">
      <w:pPr>
        <w:pStyle w:val="HChG"/>
        <w:rPr>
          <w:color w:val="000000" w:themeColor="text1"/>
        </w:rPr>
      </w:pPr>
      <w:r>
        <w:tab/>
      </w:r>
      <w:r>
        <w:tab/>
      </w:r>
      <w:r>
        <w:rPr>
          <w:bCs/>
        </w:rPr>
        <w:t>Положения, касающиеся идентификационных номеров программного обеспечения</w:t>
      </w:r>
    </w:p>
    <w:p w14:paraId="486F4834" w14:textId="77777777" w:rsidR="00BA3DD6" w:rsidRPr="00EA5777" w:rsidRDefault="00BA3DD6" w:rsidP="00BA3DD6">
      <w:pPr>
        <w:pStyle w:val="HChG"/>
        <w:ind w:left="2268"/>
        <w:rPr>
          <w:color w:val="000000" w:themeColor="text1"/>
        </w:rPr>
      </w:pPr>
      <w:r>
        <w:rPr>
          <w:bCs/>
          <w:strike/>
        </w:rPr>
        <w:t>I</w:t>
      </w:r>
      <w:r>
        <w:rPr>
          <w:bCs/>
        </w:rPr>
        <w:t>1.</w:t>
      </w:r>
      <w:r>
        <w:tab/>
      </w:r>
      <w:r>
        <w:tab/>
      </w:r>
      <w:r>
        <w:rPr>
          <w:bCs/>
        </w:rPr>
        <w:t>Введение</w:t>
      </w:r>
    </w:p>
    <w:p w14:paraId="7031D019" w14:textId="75E252A1" w:rsidR="00BA3DD6" w:rsidRPr="00EA5777" w:rsidRDefault="00BA3DD6" w:rsidP="00BA3DD6">
      <w:pPr>
        <w:pStyle w:val="SingleTxtG"/>
        <w:ind w:left="2268"/>
        <w:rPr>
          <w:color w:val="000000" w:themeColor="text1"/>
        </w:rPr>
      </w:pPr>
      <w:r>
        <w:t xml:space="preserve">В Правилах № </w:t>
      </w:r>
      <w:r>
        <w:rPr>
          <w:b/>
          <w:bCs/>
        </w:rPr>
        <w:t>156</w:t>
      </w:r>
      <w:r>
        <w:t xml:space="preserve"> </w:t>
      </w:r>
      <w:r>
        <w:rPr>
          <w:strike/>
        </w:rPr>
        <w:t>[15.]</w:t>
      </w:r>
      <w:r>
        <w:t xml:space="preserve"> ООН о единообразных предписаниях, касающихся официального утверждения транспортных средств в отношении обновления программного обеспечения и системы управления обновлением программного обеспечения, </w:t>
      </w:r>
      <w:r w:rsidR="008F0F09" w:rsidRPr="008F0F09">
        <w:rPr>
          <w:i/>
          <w:iCs/>
        </w:rPr>
        <w:t>“</w:t>
      </w:r>
      <w:r>
        <w:rPr>
          <w:i/>
          <w:iCs/>
        </w:rPr>
        <w:t xml:space="preserve">идентификационный номер </w:t>
      </w:r>
      <w:proofErr w:type="spellStart"/>
      <w:r>
        <w:rPr>
          <w:i/>
          <w:iCs/>
        </w:rPr>
        <w:t>Пx</w:t>
      </w:r>
      <w:proofErr w:type="spellEnd"/>
      <w:r>
        <w:rPr>
          <w:i/>
          <w:iCs/>
        </w:rPr>
        <w:t>-пакета программного обеспечения (ИНПО ПX)</w:t>
      </w:r>
      <w:r w:rsidR="008F0F09" w:rsidRPr="008F0F09">
        <w:rPr>
          <w:i/>
          <w:iCs/>
        </w:rPr>
        <w:t>”</w:t>
      </w:r>
      <w:r>
        <w:t xml:space="preserve"> определяется как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X ООН.</w:t>
      </w:r>
    </w:p>
    <w:p w14:paraId="42094DC9" w14:textId="28A73855" w:rsidR="00BA3DD6" w:rsidRPr="00EA5777" w:rsidRDefault="00BA3DD6" w:rsidP="00BA3DD6">
      <w:pPr>
        <w:pStyle w:val="SingleTxtG"/>
        <w:ind w:left="2268"/>
        <w:rPr>
          <w:strike/>
          <w:color w:val="000000" w:themeColor="text1"/>
        </w:rPr>
      </w:pPr>
      <w:r>
        <w:t xml:space="preserve">В целях реализации концепции ИНПО ПX в </w:t>
      </w:r>
      <w:proofErr w:type="spellStart"/>
      <w:r>
        <w:t>соответствующи</w:t>
      </w:r>
      <w:r>
        <w:rPr>
          <w:b/>
          <w:bCs/>
        </w:rPr>
        <w:t>х</w:t>
      </w:r>
      <w:r>
        <w:rPr>
          <w:strike/>
        </w:rPr>
        <w:t>е</w:t>
      </w:r>
      <w:proofErr w:type="spellEnd"/>
      <w:r>
        <w:t xml:space="preserve"> правила</w:t>
      </w:r>
      <w:r>
        <w:rPr>
          <w:b/>
          <w:bCs/>
        </w:rPr>
        <w:t>х</w:t>
      </w:r>
      <w:r w:rsidR="001A61DE">
        <w:rPr>
          <w:lang w:val="en-US"/>
        </w:rPr>
        <w:t> </w:t>
      </w:r>
      <w:r>
        <w:t xml:space="preserve">ООН </w:t>
      </w:r>
      <w:r>
        <w:rPr>
          <w:strike/>
        </w:rPr>
        <w:t xml:space="preserve">могут </w:t>
      </w:r>
      <w:r>
        <w:rPr>
          <w:b/>
          <w:bCs/>
        </w:rPr>
        <w:t xml:space="preserve">должны содержаться </w:t>
      </w:r>
      <w:r>
        <w:rPr>
          <w:strike/>
        </w:rPr>
        <w:t>быть включены</w:t>
      </w:r>
      <w:r>
        <w:t xml:space="preserve"> ссылки на настоящее приложение</w:t>
      </w:r>
      <w:r>
        <w:rPr>
          <w:strike/>
        </w:rPr>
        <w:t xml:space="preserve"> – путем включения его полного текста –</w:t>
      </w:r>
      <w:r>
        <w:t xml:space="preserve"> для введения нижеследующих связанных с этой концепцией определений и положений. </w:t>
      </w:r>
      <w:r>
        <w:rPr>
          <w:strike/>
        </w:rPr>
        <w:t>следующим образом:</w:t>
      </w:r>
    </w:p>
    <w:p w14:paraId="79F9F7D9" w14:textId="77777777" w:rsidR="00BA3DD6" w:rsidRPr="00EA5777" w:rsidRDefault="00BA3DD6" w:rsidP="00BA3DD6">
      <w:pPr>
        <w:pStyle w:val="HChG"/>
        <w:rPr>
          <w:color w:val="000000" w:themeColor="text1"/>
        </w:rPr>
      </w:pPr>
      <w:r>
        <w:tab/>
      </w:r>
      <w:r>
        <w:tab/>
      </w:r>
      <w:r>
        <w:rPr>
          <w:bCs/>
          <w:strike/>
        </w:rPr>
        <w:t>II</w:t>
      </w:r>
      <w:r>
        <w:rPr>
          <w:bCs/>
        </w:rPr>
        <w:t>2.</w:t>
      </w:r>
      <w:r>
        <w:tab/>
      </w:r>
      <w:r>
        <w:tab/>
      </w:r>
      <w:r>
        <w:rPr>
          <w:bCs/>
        </w:rPr>
        <w:t>Определения</w:t>
      </w:r>
    </w:p>
    <w:p w14:paraId="05A64C40" w14:textId="77777777" w:rsidR="00BA3DD6" w:rsidRPr="00EA5777" w:rsidRDefault="00BA3DD6" w:rsidP="00BA3DD6">
      <w:pPr>
        <w:pStyle w:val="SingleTxtG"/>
        <w:ind w:left="2268"/>
        <w:rPr>
          <w:color w:val="000000" w:themeColor="text1"/>
        </w:rPr>
      </w:pPr>
      <w:r>
        <w:t>Для целей настоящей Сводной резолюции и правил ООН, содержащих ссылку на настоящее приложение:</w:t>
      </w:r>
    </w:p>
    <w:p w14:paraId="57C7F603" w14:textId="76223827" w:rsidR="00BA3DD6" w:rsidRPr="00EA5777" w:rsidRDefault="00BA3DD6" w:rsidP="00BA3DD6">
      <w:pPr>
        <w:pStyle w:val="SingleTxtG"/>
        <w:ind w:left="2268" w:hanging="1134"/>
        <w:rPr>
          <w:b/>
          <w:bCs/>
          <w:color w:val="000000" w:themeColor="text1"/>
        </w:rPr>
      </w:pPr>
      <w:r>
        <w:t>2.1</w:t>
      </w:r>
      <w:r>
        <w:tab/>
      </w:r>
      <w:r w:rsidR="001A61DE">
        <w:tab/>
      </w:r>
      <w:r w:rsidR="008F0F09" w:rsidRPr="008F0F09">
        <w:t>“</w:t>
      </w:r>
      <w:r>
        <w:rPr>
          <w:i/>
          <w:iCs/>
        </w:rPr>
        <w:t xml:space="preserve">идентификационный номер </w:t>
      </w:r>
      <w:proofErr w:type="spellStart"/>
      <w:r>
        <w:rPr>
          <w:i/>
          <w:iCs/>
        </w:rPr>
        <w:t>П</w:t>
      </w:r>
      <w:r>
        <w:rPr>
          <w:i/>
          <w:iCs/>
          <w:strike/>
        </w:rPr>
        <w:t>х</w:t>
      </w:r>
      <w:proofErr w:type="spellEnd"/>
      <w:r>
        <w:rPr>
          <w:b/>
          <w:bCs/>
          <w:i/>
          <w:iCs/>
        </w:rPr>
        <w:t>[X]</w:t>
      </w:r>
      <w:r w:rsidRPr="00F20F34">
        <w:t xml:space="preserve"> </w:t>
      </w:r>
      <w:r>
        <w:rPr>
          <w:i/>
          <w:iCs/>
        </w:rPr>
        <w:t>пакета программного обеспечения (ИНПО П[X])</w:t>
      </w:r>
      <w:r w:rsidR="008F0F09" w:rsidRPr="008F0F09">
        <w:rPr>
          <w:i/>
          <w:iCs/>
        </w:rPr>
        <w:t>”</w:t>
      </w:r>
      <w:r>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w:t>
      </w:r>
      <w:r>
        <w:rPr>
          <w:b/>
          <w:bCs/>
        </w:rPr>
        <w:t xml:space="preserve"> [</w:t>
      </w:r>
      <w:r>
        <w:t>X</w:t>
      </w:r>
      <w:r>
        <w:rPr>
          <w:b/>
          <w:bCs/>
        </w:rPr>
        <w:t>]</w:t>
      </w:r>
      <w:r>
        <w:t xml:space="preserve"> ООН</w:t>
      </w:r>
      <w:r>
        <w:rPr>
          <w:strike/>
        </w:rPr>
        <w:t>;</w:t>
      </w:r>
      <w:r>
        <w:rPr>
          <w:b/>
          <w:bCs/>
        </w:rPr>
        <w:t>, где</w:t>
      </w:r>
      <w:r>
        <w:t xml:space="preserve"> </w:t>
      </w:r>
      <w:r>
        <w:rPr>
          <w:b/>
          <w:bCs/>
        </w:rPr>
        <w:t xml:space="preserve">[X] </w:t>
      </w:r>
      <w:r w:rsidR="00F20F34" w:rsidRPr="00F20F34">
        <w:rPr>
          <w:b/>
          <w:bCs/>
        </w:rPr>
        <w:t>—</w:t>
      </w:r>
      <w:r>
        <w:rPr>
          <w:b/>
          <w:bCs/>
        </w:rPr>
        <w:t xml:space="preserve"> номер Правил ООН, на которые делаются ссылки в положениях настоящего приложения;</w:t>
      </w:r>
    </w:p>
    <w:p w14:paraId="2D35A4DC" w14:textId="3EE3395B" w:rsidR="00BA3DD6" w:rsidRPr="00912BB9" w:rsidRDefault="00BA3DD6" w:rsidP="00BA3DD6">
      <w:pPr>
        <w:pStyle w:val="SingleTxtG"/>
        <w:ind w:left="2268" w:hanging="1134"/>
        <w:rPr>
          <w:color w:val="000000" w:themeColor="text1"/>
        </w:rPr>
      </w:pPr>
      <w:r>
        <w:t>2.2</w:t>
      </w:r>
      <w:r w:rsidR="001A61DE">
        <w:tab/>
      </w:r>
      <w:r>
        <w:tab/>
      </w:r>
      <w:r w:rsidR="008F0F09" w:rsidRPr="008F0F09">
        <w:t>“</w:t>
      </w:r>
      <w:r>
        <w:rPr>
          <w:i/>
          <w:iCs/>
        </w:rPr>
        <w:t>электронная система управления</w:t>
      </w:r>
      <w:r w:rsidR="008F0F09" w:rsidRPr="008F0F09">
        <w:rPr>
          <w:i/>
          <w:iCs/>
        </w:rPr>
        <w:t>”</w:t>
      </w:r>
      <w:r>
        <w:t xml:space="preserve"> означает сочетание блоков, предназначенных для взаимосвязанного обеспечения указанной функции управления транспортным средством на основе электронной обработки данных. Подобные системы, управляемые зачастую при помощи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связи. Они могут содержать механические, электропневматические или электрогидравлические элементы. Официальное утверждение типа, которое подразумевается в данной связи, требуется именно для этой </w:t>
      </w:r>
      <w:r w:rsidR="008F0F09" w:rsidRPr="008F0F09">
        <w:t>“</w:t>
      </w:r>
      <w:r>
        <w:t>системы</w:t>
      </w:r>
      <w:r w:rsidR="008F0F09" w:rsidRPr="008F0F09">
        <w:t>”</w:t>
      </w:r>
      <w:r>
        <w:t>;</w:t>
      </w:r>
    </w:p>
    <w:p w14:paraId="7E02689B" w14:textId="50D9D8B6" w:rsidR="00BA3DD6" w:rsidRPr="00EA5777" w:rsidRDefault="00BA3DD6" w:rsidP="00BA3DD6">
      <w:pPr>
        <w:pStyle w:val="SingleTxtG"/>
        <w:ind w:left="2268" w:hanging="1134"/>
        <w:rPr>
          <w:color w:val="000000" w:themeColor="text1"/>
        </w:rPr>
      </w:pPr>
      <w:r>
        <w:t>2.3</w:t>
      </w:r>
      <w:r>
        <w:tab/>
      </w:r>
      <w:r w:rsidR="001A61DE">
        <w:tab/>
      </w:r>
      <w:r w:rsidR="008F0F09" w:rsidRPr="008F0F09">
        <w:t>“</w:t>
      </w:r>
      <w:r>
        <w:rPr>
          <w:i/>
          <w:iCs/>
        </w:rPr>
        <w:t>программное обеспечение</w:t>
      </w:r>
      <w:r w:rsidR="008F0F09" w:rsidRPr="008F0F09">
        <w:rPr>
          <w:i/>
          <w:iCs/>
        </w:rPr>
        <w:t>”</w:t>
      </w:r>
      <w:r>
        <w:rPr>
          <w:i/>
          <w:iCs/>
        </w:rPr>
        <w:t xml:space="preserve"> </w:t>
      </w:r>
      <w:r>
        <w:t>означает компонент электронной системы управления в виде цифровой информации и соответствующих инструкций;</w:t>
      </w:r>
    </w:p>
    <w:p w14:paraId="3D73F699" w14:textId="4311668A" w:rsidR="00BA3DD6" w:rsidRPr="00EA5777" w:rsidRDefault="00BA3DD6" w:rsidP="00BA3DD6">
      <w:pPr>
        <w:pStyle w:val="SingleTxtG"/>
        <w:ind w:left="2268" w:hanging="1134"/>
        <w:rPr>
          <w:b/>
          <w:bCs/>
          <w:i/>
          <w:iCs/>
          <w:color w:val="000000" w:themeColor="text1"/>
        </w:rPr>
      </w:pPr>
      <w:r>
        <w:rPr>
          <w:b/>
          <w:bCs/>
        </w:rPr>
        <w:lastRenderedPageBreak/>
        <w:t>2.4</w:t>
      </w:r>
      <w:r w:rsidR="001A61DE">
        <w:rPr>
          <w:b/>
          <w:bCs/>
        </w:rPr>
        <w:tab/>
      </w:r>
      <w:r>
        <w:tab/>
      </w:r>
      <w:r w:rsidR="008F0F09" w:rsidRPr="00987A15">
        <w:rPr>
          <w:b/>
          <w:bCs/>
        </w:rPr>
        <w:t>“</w:t>
      </w:r>
      <w:r>
        <w:rPr>
          <w:b/>
          <w:bCs/>
          <w:i/>
          <w:iCs/>
        </w:rPr>
        <w:t>система управления обновлениями программного обеспечения</w:t>
      </w:r>
      <w:r w:rsidR="008F0F09" w:rsidRPr="008F0F09">
        <w:rPr>
          <w:b/>
          <w:bCs/>
          <w:i/>
          <w:iCs/>
        </w:rPr>
        <w:t>”</w:t>
      </w:r>
      <w:r>
        <w:rPr>
          <w:b/>
          <w:bCs/>
        </w:rPr>
        <w:t xml:space="preserve"> означает систематический подход, определяющий организационные процессы и процедуры для соблюдения требований к доставке обновлений программного обеспечения.</w:t>
      </w:r>
    </w:p>
    <w:p w14:paraId="24C821D4" w14:textId="4369CA5D" w:rsidR="00BA3DD6" w:rsidRPr="00EA5777" w:rsidRDefault="001A61DE" w:rsidP="001A61DE">
      <w:pPr>
        <w:pStyle w:val="HChG"/>
        <w:tabs>
          <w:tab w:val="clear" w:pos="851"/>
          <w:tab w:val="left" w:pos="1134"/>
        </w:tabs>
        <w:ind w:left="2268" w:hanging="2268"/>
        <w:rPr>
          <w:color w:val="000000" w:themeColor="text1"/>
        </w:rPr>
      </w:pPr>
      <w:r w:rsidRPr="001A61DE">
        <w:rPr>
          <w:bCs/>
        </w:rPr>
        <w:tab/>
      </w:r>
      <w:r w:rsidR="00BA3DD6">
        <w:rPr>
          <w:bCs/>
          <w:strike/>
        </w:rPr>
        <w:t>III</w:t>
      </w:r>
      <w:r w:rsidR="00BA3DD6">
        <w:rPr>
          <w:bCs/>
        </w:rPr>
        <w:t>3.</w:t>
      </w:r>
      <w:r w:rsidR="00BA3DD6">
        <w:tab/>
      </w:r>
      <w:r w:rsidR="00BA3DD6">
        <w:tab/>
      </w:r>
      <w:r w:rsidR="00BA3DD6">
        <w:rPr>
          <w:bCs/>
        </w:rPr>
        <w:t>Требования в отношении идентификационного номера программного обеспечения</w:t>
      </w:r>
    </w:p>
    <w:p w14:paraId="2CC6781E" w14:textId="77777777" w:rsidR="00BA3DD6" w:rsidRPr="00EA5777" w:rsidRDefault="00BA3DD6" w:rsidP="00BA3DD6">
      <w:pPr>
        <w:pStyle w:val="SingleTxtG"/>
        <w:ind w:left="2268"/>
        <w:rPr>
          <w:color w:val="000000" w:themeColor="text1"/>
        </w:rPr>
      </w:pPr>
      <w:r>
        <w:t xml:space="preserve">Для целей настоящей Сводной резолюции и правил ООН, содержащих ссылку на настоящее приложение: </w:t>
      </w:r>
    </w:p>
    <w:p w14:paraId="54FACFEB" w14:textId="4C8519B7" w:rsidR="00BA3DD6" w:rsidRPr="00EA5777" w:rsidRDefault="00BA3DD6" w:rsidP="00BA3DD6">
      <w:pPr>
        <w:pStyle w:val="SingleTxtG"/>
        <w:ind w:left="2268" w:hanging="1134"/>
        <w:rPr>
          <w:strike/>
          <w:color w:val="000000" w:themeColor="text1"/>
        </w:rPr>
      </w:pPr>
      <w:r>
        <w:rPr>
          <w:strike/>
        </w:rPr>
        <w:t>3.1</w:t>
      </w:r>
      <w:r w:rsidR="001A61DE">
        <w:rPr>
          <w:strike/>
        </w:rPr>
        <w:tab/>
      </w:r>
      <w:r w:rsidRPr="00F20F34">
        <w:rPr>
          <w:strike/>
        </w:rPr>
        <w:tab/>
      </w:r>
      <w:r>
        <w:rPr>
          <w:strike/>
        </w:rPr>
        <w:t>В целях обеспечения возможности идентификации установленного в системе программного обеспечения изготовитель транспортного средства может ввести соответствующий ИНПО ПX.</w:t>
      </w:r>
    </w:p>
    <w:p w14:paraId="35074CFA" w14:textId="293869B5" w:rsidR="00BA3DD6" w:rsidRPr="00EA5777" w:rsidRDefault="00BA3DD6" w:rsidP="00BA3DD6">
      <w:pPr>
        <w:pStyle w:val="SingleTxtG"/>
        <w:ind w:left="2268" w:hanging="1134"/>
        <w:rPr>
          <w:color w:val="000000" w:themeColor="text1"/>
        </w:rPr>
      </w:pPr>
      <w:r>
        <w:rPr>
          <w:strike/>
        </w:rPr>
        <w:t>3.2</w:t>
      </w:r>
      <w:r w:rsidRPr="00F20F34">
        <w:rPr>
          <w:strike/>
        </w:rPr>
        <w:tab/>
      </w:r>
      <w:r w:rsidR="001A61DE" w:rsidRPr="00F20F34">
        <w:rPr>
          <w:strike/>
        </w:rPr>
        <w:tab/>
      </w:r>
      <w:r>
        <w:rPr>
          <w:strike/>
        </w:rPr>
        <w:t>Если изготовитель транспортного средства вводит соответствующий ИНПО ПX, то применяют нижеследующие положения.</w:t>
      </w:r>
    </w:p>
    <w:p w14:paraId="7420EE28" w14:textId="743C11A1" w:rsidR="00BA3DD6" w:rsidRPr="00EA5777" w:rsidRDefault="00BA3DD6" w:rsidP="00BA3DD6">
      <w:pPr>
        <w:pStyle w:val="SingleTxtG"/>
        <w:ind w:left="2268" w:hanging="1134"/>
        <w:rPr>
          <w:strike/>
          <w:color w:val="000000" w:themeColor="text1"/>
        </w:rPr>
      </w:pPr>
      <w:r>
        <w:rPr>
          <w:strike/>
        </w:rPr>
        <w:t>3.2.1</w:t>
      </w:r>
      <w:r w:rsidRPr="00F20F34">
        <w:rPr>
          <w:strike/>
        </w:rPr>
        <w:tab/>
      </w:r>
      <w:r w:rsidR="001A61DE" w:rsidRPr="00F20F34">
        <w:rPr>
          <w:strike/>
        </w:rPr>
        <w:tab/>
      </w:r>
      <w:r>
        <w:rPr>
          <w:strike/>
        </w:rPr>
        <w:t>Изготовитель транспортного средства должен располагать действующим официальным утверждением на основании Правил № XXX ООН [правила, касающиеся порядка обновления программного обеспечения].</w:t>
      </w:r>
      <w:r>
        <w:t xml:space="preserve"> </w:t>
      </w:r>
    </w:p>
    <w:p w14:paraId="2E5D5E7B" w14:textId="77777777" w:rsidR="00BA3DD6" w:rsidRPr="00EA5777" w:rsidRDefault="00BA3DD6" w:rsidP="00BA3DD6">
      <w:pPr>
        <w:pStyle w:val="SingleTxtG"/>
        <w:ind w:left="2268" w:hanging="1134"/>
        <w:rPr>
          <w:i/>
          <w:iCs/>
          <w:color w:val="000000" w:themeColor="text1"/>
        </w:rPr>
      </w:pPr>
      <w:r>
        <w:rPr>
          <w:i/>
          <w:iCs/>
        </w:rPr>
        <w:t>Примечание: в качестве альтернативы вышеприведенному пункту:</w:t>
      </w:r>
    </w:p>
    <w:p w14:paraId="4EFE6887" w14:textId="3FE3D4CA" w:rsidR="00BA3DD6" w:rsidRPr="00EA5777" w:rsidRDefault="00BA3DD6" w:rsidP="00BA3DD6">
      <w:pPr>
        <w:pStyle w:val="SingleTxtG"/>
        <w:ind w:left="2268" w:hanging="1134"/>
        <w:rPr>
          <w:b/>
          <w:bCs/>
          <w:color w:val="000000" w:themeColor="text1"/>
        </w:rPr>
      </w:pPr>
      <w:r>
        <w:rPr>
          <w:b/>
          <w:bCs/>
        </w:rPr>
        <w:t>3.1</w:t>
      </w:r>
      <w:r>
        <w:tab/>
      </w:r>
      <w:r w:rsidR="001A61DE">
        <w:tab/>
      </w:r>
      <w:r>
        <w:rPr>
          <w:b/>
          <w:bCs/>
        </w:rPr>
        <w:t>Изготовитель транспортного средства должен располагать системой управления обновлениями программного обеспечения</w:t>
      </w:r>
      <w:r w:rsidR="00F20F34">
        <w:rPr>
          <w:b/>
          <w:bCs/>
        </w:rPr>
        <w:t xml:space="preserve"> </w:t>
      </w:r>
      <w:r>
        <w:rPr>
          <w:b/>
          <w:bCs/>
        </w:rPr>
        <w:t xml:space="preserve">(СУОПО), которая вместе с типом транспортного средства </w:t>
      </w:r>
      <w:r w:rsidR="00E367A4">
        <w:rPr>
          <w:b/>
          <w:bCs/>
        </w:rPr>
        <w:br/>
      </w:r>
      <w:r>
        <w:rPr>
          <w:b/>
          <w:bCs/>
        </w:rPr>
        <w:t>должна соответствовать техническим требованиям поправок первоначальной или более поздних серий к Правилам № 156 ООН.</w:t>
      </w:r>
      <w:r>
        <w:t xml:space="preserve"> </w:t>
      </w:r>
    </w:p>
    <w:p w14:paraId="10FCE6B3" w14:textId="01D26035" w:rsidR="00BA3DD6" w:rsidRPr="00EA5777" w:rsidRDefault="00BA3DD6" w:rsidP="00BA3DD6">
      <w:pPr>
        <w:pStyle w:val="SingleTxtG"/>
        <w:ind w:left="2268" w:hanging="1134"/>
        <w:rPr>
          <w:b/>
          <w:bCs/>
          <w:color w:val="000000" w:themeColor="text1"/>
        </w:rPr>
      </w:pPr>
      <w:r>
        <w:rPr>
          <w:b/>
          <w:bCs/>
        </w:rPr>
        <w:t>3.1.1</w:t>
      </w:r>
      <w:r w:rsidR="001A61DE">
        <w:rPr>
          <w:b/>
          <w:bCs/>
        </w:rPr>
        <w:tab/>
      </w:r>
      <w:r>
        <w:tab/>
      </w:r>
      <w:r>
        <w:rPr>
          <w:b/>
          <w:bCs/>
        </w:rPr>
        <w:t>В целях обеспечения возможности идентификации установленного в системе программного обеспечения используется ИНПО П[X].</w:t>
      </w:r>
      <w:r>
        <w:t xml:space="preserve"> </w:t>
      </w:r>
      <w:r>
        <w:rPr>
          <w:b/>
          <w:bCs/>
        </w:rPr>
        <w:t>ИНПО П[X] может находиться в транспортном средстве либо, если ИНПО П[X] не хранится в транспортном средстве, изготовитель указывает для органа по официальному утверждению версию(и) программного обеспечения транспортного средства или отдельные</w:t>
      </w:r>
      <w:r w:rsidR="008F0F09">
        <w:rPr>
          <w:b/>
          <w:bCs/>
        </w:rPr>
        <w:t> </w:t>
      </w:r>
      <w:r>
        <w:rPr>
          <w:b/>
          <w:bCs/>
        </w:rPr>
        <w:t>ЭБУ, относящиеся к соответствующим официальным утверждениям типа.</w:t>
      </w:r>
    </w:p>
    <w:p w14:paraId="512B2AD5" w14:textId="2FF9415D" w:rsidR="00BA3DD6" w:rsidRPr="00EA5777" w:rsidRDefault="00BA3DD6" w:rsidP="00BA3DD6">
      <w:pPr>
        <w:pStyle w:val="SingleTxtG"/>
        <w:ind w:left="2268" w:hanging="1134"/>
        <w:rPr>
          <w:color w:val="000000" w:themeColor="text1"/>
        </w:rPr>
      </w:pPr>
      <w:r>
        <w:t>3.</w:t>
      </w:r>
      <w:r>
        <w:rPr>
          <w:strike/>
        </w:rPr>
        <w:t>2.</w:t>
      </w:r>
      <w:r>
        <w:t>2</w:t>
      </w:r>
      <w:r>
        <w:tab/>
      </w:r>
      <w:r w:rsidR="001A61DE">
        <w:tab/>
      </w:r>
      <w:r>
        <w:t xml:space="preserve">Изготовитель транспортного средства указывает </w:t>
      </w:r>
      <w:r>
        <w:rPr>
          <w:b/>
          <w:bCs/>
        </w:rPr>
        <w:t xml:space="preserve">органу по официальному утверждению </w:t>
      </w:r>
      <w:r>
        <w:rPr>
          <w:strike/>
        </w:rPr>
        <w:t xml:space="preserve">в карточке сообщения, предусмотренной в данных Правилах (содержащих ссылку на настоящее приложение), </w:t>
      </w:r>
      <w:r>
        <w:t>следующую информацию:</w:t>
      </w:r>
    </w:p>
    <w:p w14:paraId="00170400" w14:textId="2B7E677C" w:rsidR="00BA3DD6" w:rsidRPr="00912BB9" w:rsidRDefault="00BA3DD6" w:rsidP="00BA3DD6">
      <w:pPr>
        <w:pStyle w:val="SingleTxtG"/>
        <w:ind w:left="2835" w:hanging="567"/>
        <w:rPr>
          <w:color w:val="000000" w:themeColor="text1"/>
        </w:rPr>
      </w:pPr>
      <w:r>
        <w:t>a)</w:t>
      </w:r>
      <w:r>
        <w:tab/>
        <w:t xml:space="preserve">ИНПО П[X] </w:t>
      </w:r>
      <w:r>
        <w:rPr>
          <w:b/>
          <w:bCs/>
        </w:rPr>
        <w:t>и в том случае, если ИНПО П[X] отсутствует в транспортном средстве, версию(и) соответствующего программного обеспечения;</w:t>
      </w:r>
    </w:p>
    <w:p w14:paraId="0E012694" w14:textId="77777777" w:rsidR="00BA3DD6" w:rsidRPr="00912BB9" w:rsidRDefault="00BA3DD6" w:rsidP="00BA3DD6">
      <w:pPr>
        <w:pStyle w:val="SingleTxtG"/>
        <w:ind w:left="2835" w:hanging="567"/>
        <w:rPr>
          <w:b/>
          <w:bCs/>
          <w:color w:val="000000" w:themeColor="text1"/>
        </w:rPr>
      </w:pPr>
      <w:r>
        <w:t>b)</w:t>
      </w:r>
      <w:r>
        <w:tab/>
        <w:t>способ считывания ИНПО П[X] или версии(й) программного обеспечения в том случае, если в бортовой системе транспортного средства ИНПО П[X] не хранится.</w:t>
      </w:r>
    </w:p>
    <w:p w14:paraId="5D31C68B" w14:textId="77777777" w:rsidR="00BA3DD6" w:rsidRPr="00EA5777" w:rsidRDefault="00BA3DD6" w:rsidP="00BA3DD6">
      <w:pPr>
        <w:pStyle w:val="SingleTxtG"/>
        <w:ind w:left="2835" w:hanging="567"/>
        <w:rPr>
          <w:b/>
          <w:bCs/>
          <w:color w:val="000000" w:themeColor="text1"/>
        </w:rPr>
      </w:pPr>
      <w:r>
        <w:rPr>
          <w:b/>
          <w:bCs/>
        </w:rPr>
        <w:t>c)</w:t>
      </w:r>
      <w:r>
        <w:tab/>
      </w:r>
      <w:r>
        <w:rPr>
          <w:b/>
          <w:bCs/>
        </w:rPr>
        <w:t>подробные сведения о том, как получить доступ к информации из контролируемого реестра по всем версиям программного обеспечения, относящимся к ИНПО П[X].</w:t>
      </w:r>
    </w:p>
    <w:p w14:paraId="599AB4A1" w14:textId="084D4FDA" w:rsidR="00BA3DD6" w:rsidRPr="00912BB9" w:rsidRDefault="00BA3DD6" w:rsidP="00BA3DD6">
      <w:pPr>
        <w:pStyle w:val="SingleTxtG"/>
        <w:ind w:left="2268" w:hanging="1134"/>
        <w:rPr>
          <w:color w:val="000000" w:themeColor="text1"/>
        </w:rPr>
      </w:pPr>
      <w:r>
        <w:t>3.2.3</w:t>
      </w:r>
      <w:r w:rsidR="001A61DE">
        <w:tab/>
      </w:r>
      <w:r>
        <w:tab/>
      </w:r>
      <w:r>
        <w:rPr>
          <w:strike/>
        </w:rPr>
        <w:t>Изготовитель транспортного средства</w:t>
      </w:r>
      <w:r>
        <w:t xml:space="preserve"> </w:t>
      </w:r>
      <w:r>
        <w:rPr>
          <w:b/>
          <w:bCs/>
        </w:rPr>
        <w:t>Орган по официальному утверждению</w:t>
      </w:r>
      <w:r>
        <w:t xml:space="preserve"> </w:t>
      </w:r>
      <w:r>
        <w:rPr>
          <w:b/>
          <w:bCs/>
        </w:rPr>
        <w:t>должен</w:t>
      </w:r>
      <w:r>
        <w:t xml:space="preserve"> </w:t>
      </w:r>
      <w:r>
        <w:rPr>
          <w:strike/>
        </w:rPr>
        <w:t>может</w:t>
      </w:r>
      <w:r>
        <w:t xml:space="preserve"> указать в карточке сообщения, предусмотренной в </w:t>
      </w:r>
      <w:r>
        <w:rPr>
          <w:strike/>
        </w:rPr>
        <w:t>данных</w:t>
      </w:r>
      <w:r>
        <w:t xml:space="preserve"> Правилах </w:t>
      </w:r>
      <w:r>
        <w:rPr>
          <w:b/>
          <w:bCs/>
        </w:rPr>
        <w:t>ООН, в которых сделаны ссылки на настоящее приложение</w:t>
      </w:r>
      <w:r>
        <w:t xml:space="preserve">, перечень соответствующих параметров, которые позволят идентифицировать те транспортные средства, обновление программного обеспечения которых может быть произведено на базе версии с присвоенным ИНПО П[X]. Предоставляемая информация заявляется изготовителем транспортного </w:t>
      </w:r>
      <w:r>
        <w:lastRenderedPageBreak/>
        <w:t xml:space="preserve">средства </w:t>
      </w:r>
      <w:r>
        <w:rPr>
          <w:strike/>
        </w:rPr>
        <w:t>и может не проверяться органом по официальному утверждению</w:t>
      </w:r>
      <w:r>
        <w:t>.</w:t>
      </w:r>
    </w:p>
    <w:p w14:paraId="1F106EF7" w14:textId="77777777" w:rsidR="00BA3DD6" w:rsidRPr="00912BB9" w:rsidRDefault="00BA3DD6" w:rsidP="00BA3DD6">
      <w:pPr>
        <w:ind w:left="2268" w:right="1134" w:hanging="1134"/>
        <w:jc w:val="both"/>
        <w:rPr>
          <w:iCs/>
          <w:color w:val="000000" w:themeColor="text1"/>
        </w:rPr>
      </w:pPr>
      <w:r>
        <w:t>3.2.4</w:t>
      </w:r>
      <w:r>
        <w:tab/>
        <w:t xml:space="preserve">Изготовитель транспортного средства может получить новое официальное утверждение транспортного средства в целях проведения различия между версиями программного обеспечения, предназначенного для использования на транспортных средствах, уже зарегистрированных на рынке, и версиями программного обеспечения, которые используются на новых транспортных средствах. Это может охватывать ситуации, когда обновляются правила официального утверждения типа или вносятся аппаратные изменения в серийно выпускаемые транспортные средства. </w:t>
      </w:r>
      <w:r>
        <w:rPr>
          <w:strike/>
        </w:rPr>
        <w:t>По согласованию с органом, проводящим испытание, следует по возможности избегать дублирования испытаний.</w:t>
      </w:r>
    </w:p>
    <w:p w14:paraId="547DB17A" w14:textId="40B88A4C" w:rsidR="00BA3DD6" w:rsidRPr="001A61DE" w:rsidRDefault="001A61DE" w:rsidP="001A61DE">
      <w:pPr>
        <w:pStyle w:val="HChG"/>
        <w:tabs>
          <w:tab w:val="clear" w:pos="851"/>
          <w:tab w:val="left" w:pos="1134"/>
        </w:tabs>
        <w:ind w:left="2268" w:hanging="2268"/>
        <w:rPr>
          <w:bCs/>
          <w:strike/>
        </w:rPr>
      </w:pPr>
      <w:r>
        <w:rPr>
          <w:bCs/>
        </w:rPr>
        <w:tab/>
      </w:r>
      <w:r w:rsidR="00BA3DD6" w:rsidRPr="001A61DE">
        <w:rPr>
          <w:bCs/>
          <w:strike/>
        </w:rPr>
        <w:t>IV.</w:t>
      </w:r>
      <w:r w:rsidR="00BA3DD6" w:rsidRPr="001A61DE">
        <w:rPr>
          <w:bCs/>
          <w:strike/>
        </w:rPr>
        <w:tab/>
      </w:r>
      <w:r w:rsidRPr="001A61DE">
        <w:rPr>
          <w:bCs/>
          <w:strike/>
        </w:rPr>
        <w:tab/>
      </w:r>
      <w:r w:rsidR="00BA3DD6" w:rsidRPr="001A61DE">
        <w:rPr>
          <w:bCs/>
          <w:strike/>
        </w:rPr>
        <w:t xml:space="preserve">Окончательное прекращение производства </w:t>
      </w:r>
      <w:r>
        <w:rPr>
          <w:bCs/>
          <w:strike/>
        </w:rPr>
        <w:br/>
      </w:r>
      <w:r w:rsidR="00BA3DD6" w:rsidRPr="001A61DE">
        <w:rPr>
          <w:bCs/>
          <w:strike/>
        </w:rPr>
        <w:t>и информация по ИНПО ПX</w:t>
      </w:r>
    </w:p>
    <w:p w14:paraId="750E748D" w14:textId="4ED87FF5" w:rsidR="00BA3DD6" w:rsidRPr="00EA5777" w:rsidRDefault="00BA3DD6" w:rsidP="00BA3DD6">
      <w:pPr>
        <w:pStyle w:val="SingleTxtG"/>
        <w:ind w:left="2268" w:hanging="1134"/>
        <w:rPr>
          <w:strike/>
          <w:color w:val="000000" w:themeColor="text1"/>
        </w:rPr>
      </w:pPr>
      <w:r>
        <w:rPr>
          <w:strike/>
        </w:rPr>
        <w:t>4.1</w:t>
      </w:r>
      <w:r w:rsidR="00987A15">
        <w:rPr>
          <w:strike/>
        </w:rPr>
        <w:tab/>
      </w:r>
      <w:r w:rsidRPr="00987A15">
        <w:rPr>
          <w:strike/>
        </w:rPr>
        <w:tab/>
      </w:r>
      <w:r>
        <w:rPr>
          <w:strike/>
        </w:rPr>
        <w:t>Если держатель официального утверждения полностью прекращает производство типа транспортного средства, официально утвержденного на основании данных Правил (содержащих ссылку на настоящее приложение), он информирует об этом компетентный орган, предоставивший официальное утверждение.</w:t>
      </w:r>
      <w:r>
        <w:t xml:space="preserve"> </w:t>
      </w:r>
      <w:r>
        <w:rPr>
          <w:strike/>
        </w:rPr>
        <w:t>По получении соответствующего сообщения этот компетентный орган информирует о нем другие Договаривающиеся стороны Соглашения 1958 года, применяющие данные Правила (содержащие ссылку на настоящее приложение), посредством карточки сообщения, соответствующей образцу, приведенному в приложении [Карточка сообщения] к данным Правилам.</w:t>
      </w:r>
      <w:r>
        <w:t xml:space="preserve"> </w:t>
      </w:r>
    </w:p>
    <w:p w14:paraId="469A4041" w14:textId="566739E5" w:rsidR="00BA3DD6" w:rsidRPr="00EA5777" w:rsidRDefault="00BA3DD6" w:rsidP="00BA3DD6">
      <w:pPr>
        <w:pStyle w:val="SingleTxtG"/>
        <w:ind w:left="2268" w:hanging="1134"/>
        <w:rPr>
          <w:strike/>
          <w:color w:val="000000" w:themeColor="text1"/>
        </w:rPr>
      </w:pPr>
      <w:r>
        <w:rPr>
          <w:strike/>
        </w:rPr>
        <w:t>4.2</w:t>
      </w:r>
      <w:r w:rsidR="00987A15">
        <w:rPr>
          <w:strike/>
        </w:rPr>
        <w:tab/>
      </w:r>
      <w:r w:rsidR="00987A15">
        <w:rPr>
          <w:strike/>
        </w:rPr>
        <w:tab/>
      </w:r>
      <w:r>
        <w:rPr>
          <w:strike/>
        </w:rPr>
        <w:t>Производство не считается окончательно прекращенным, если изготовитель транспортного средства намерен добиваться получения официальных утверждений в отношении обновленных версий программного обеспечения, установленных на уже зарегистрированных на рынке транспортных средствах.</w:t>
      </w:r>
    </w:p>
    <w:p w14:paraId="269FE158" w14:textId="029E502B" w:rsidR="00BA3DD6" w:rsidRPr="00EA5777" w:rsidRDefault="00BA3DD6" w:rsidP="00BA3DD6">
      <w:pPr>
        <w:pStyle w:val="HChG"/>
        <w:ind w:left="2268"/>
        <w:rPr>
          <w:strike/>
          <w:color w:val="000000" w:themeColor="text1"/>
        </w:rPr>
      </w:pPr>
      <w:r>
        <w:rPr>
          <w:bCs/>
          <w:strike/>
        </w:rPr>
        <w:t>V.</w:t>
      </w:r>
      <w:r w:rsidRPr="001A61DE">
        <w:rPr>
          <w:strike/>
        </w:rPr>
        <w:tab/>
      </w:r>
      <w:r>
        <w:rPr>
          <w:bCs/>
          <w:strike/>
        </w:rPr>
        <w:t xml:space="preserve">Необходимая вставка в карточку сообщения </w:t>
      </w:r>
      <w:r w:rsidR="001A61DE">
        <w:rPr>
          <w:bCs/>
          <w:strike/>
        </w:rPr>
        <w:br/>
      </w:r>
      <w:r>
        <w:rPr>
          <w:bCs/>
          <w:strike/>
        </w:rPr>
        <w:t>в связи с ИНПО ПX</w:t>
      </w:r>
    </w:p>
    <w:p w14:paraId="5E94BDBD" w14:textId="77777777" w:rsidR="00BA3DD6" w:rsidRPr="00EA5777" w:rsidRDefault="00BA3DD6" w:rsidP="00BA3DD6">
      <w:pPr>
        <w:pStyle w:val="SingleTxtG"/>
        <w:ind w:left="2268"/>
        <w:rPr>
          <w:color w:val="000000" w:themeColor="text1"/>
        </w:rPr>
      </w:pPr>
      <w:r w:rsidRPr="008A6922">
        <w:rPr>
          <w:i/>
          <w:iCs/>
          <w:strike/>
        </w:rPr>
        <w:t>Примечание</w:t>
      </w:r>
      <w:r>
        <w:rPr>
          <w:strike/>
        </w:rPr>
        <w:t>: карточка сообщения по соответствующим правилам, содержащим ссылку на настоящее приложение, должна предусматривать упоминание возможности окончательного прекращения производства в соответствующем случае и включать нижеследующую дополнительную информацию, касающуюся ИНПО ПX (и выделенную жирным шрифтом).</w:t>
      </w:r>
      <w:r>
        <w:t xml:space="preserve"> </w:t>
      </w:r>
    </w:p>
    <w:p w14:paraId="0B3FF486" w14:textId="77777777" w:rsidR="00BA3DD6" w:rsidRPr="00EA5777" w:rsidRDefault="00BA3DD6" w:rsidP="00BA3DD6">
      <w:pPr>
        <w:pStyle w:val="HChG"/>
        <w:ind w:left="2268"/>
        <w:rPr>
          <w:color w:val="000000" w:themeColor="text1"/>
        </w:rPr>
      </w:pPr>
      <w:r>
        <w:rPr>
          <w:bCs/>
        </w:rPr>
        <w:t>4.</w:t>
      </w:r>
      <w:r>
        <w:tab/>
      </w:r>
      <w:r>
        <w:tab/>
      </w:r>
      <w:r>
        <w:rPr>
          <w:bCs/>
        </w:rPr>
        <w:t>Поправки к соответствующим Правилам ООН</w:t>
      </w:r>
    </w:p>
    <w:p w14:paraId="2F946BA2" w14:textId="77777777" w:rsidR="00BA3DD6" w:rsidRPr="00EA5777" w:rsidRDefault="00BA3DD6" w:rsidP="00BA3DD6">
      <w:pPr>
        <w:pStyle w:val="SingleTxtG"/>
        <w:ind w:left="2268"/>
        <w:rPr>
          <w:b/>
          <w:color w:val="000000" w:themeColor="text1"/>
        </w:rPr>
      </w:pPr>
      <w:r>
        <w:rPr>
          <w:b/>
          <w:bCs/>
        </w:rPr>
        <w:t>Примечание: Нижеследующие пункты вводятся или включаются в качестве поправок в соответствующие Правила, содержащие ссылку на настоящее приложение.</w:t>
      </w:r>
    </w:p>
    <w:p w14:paraId="6BF1ED1B" w14:textId="4EAF4E24" w:rsidR="00BA3DD6" w:rsidRPr="008A6922" w:rsidRDefault="00BA3DD6" w:rsidP="008A6922">
      <w:pPr>
        <w:pStyle w:val="SingleTxtG"/>
        <w:rPr>
          <w:b/>
          <w:bCs/>
          <w:i/>
          <w:iCs/>
        </w:rPr>
      </w:pPr>
      <w:r>
        <w:rPr>
          <w:b/>
          <w:bCs/>
          <w:i/>
          <w:iCs/>
        </w:rPr>
        <w:t xml:space="preserve">В пункт, озаглавленный </w:t>
      </w:r>
      <w:r w:rsidR="008F0F09" w:rsidRPr="008F0F09">
        <w:rPr>
          <w:b/>
          <w:bCs/>
          <w:i/>
          <w:iCs/>
        </w:rPr>
        <w:t>“</w:t>
      </w:r>
      <w:r>
        <w:rPr>
          <w:b/>
          <w:bCs/>
          <w:i/>
          <w:iCs/>
        </w:rPr>
        <w:t>Определения</w:t>
      </w:r>
      <w:r w:rsidR="008F0F09" w:rsidRPr="008F0F09">
        <w:rPr>
          <w:b/>
          <w:bCs/>
          <w:i/>
          <w:iCs/>
        </w:rPr>
        <w:t>”</w:t>
      </w:r>
      <w:r>
        <w:rPr>
          <w:b/>
          <w:bCs/>
          <w:i/>
          <w:iCs/>
        </w:rPr>
        <w:t>, включается подпункт следующего содержания:</w:t>
      </w:r>
    </w:p>
    <w:p w14:paraId="3B221B0C" w14:textId="5912F2BA" w:rsidR="00BA3DD6" w:rsidRPr="00EA5777" w:rsidRDefault="008F0F09" w:rsidP="00BA3DD6">
      <w:pPr>
        <w:pStyle w:val="SingleTxtG"/>
        <w:ind w:left="2268" w:hanging="1134"/>
        <w:rPr>
          <w:b/>
          <w:color w:val="000000" w:themeColor="text1"/>
        </w:rPr>
      </w:pPr>
      <w:r w:rsidRPr="008F0F09">
        <w:rPr>
          <w:b/>
          <w:bCs/>
        </w:rPr>
        <w:t>“</w:t>
      </w:r>
      <w:proofErr w:type="spellStart"/>
      <w:r w:rsidR="00BA3DD6">
        <w:rPr>
          <w:b/>
          <w:bCs/>
        </w:rPr>
        <w:t>x.x</w:t>
      </w:r>
      <w:proofErr w:type="spellEnd"/>
      <w:r w:rsidR="00BA3DD6">
        <w:tab/>
      </w:r>
      <w:r w:rsidR="00BA3DD6">
        <w:tab/>
      </w:r>
      <w:r w:rsidR="00BA3DD6">
        <w:rPr>
          <w:b/>
          <w:bCs/>
        </w:rPr>
        <w:t>Определения идентификационного номера программного обеспечения см. в пункте 2 приложения 7 к Сводной резолюции о конструкции транспортных средств (СР.3)</w:t>
      </w:r>
      <w:r w:rsidRPr="008F0F09">
        <w:rPr>
          <w:b/>
          <w:bCs/>
        </w:rPr>
        <w:t>”</w:t>
      </w:r>
      <w:r w:rsidR="00BA3DD6">
        <w:rPr>
          <w:b/>
          <w:bCs/>
        </w:rPr>
        <w:t>.</w:t>
      </w:r>
    </w:p>
    <w:p w14:paraId="2674671D" w14:textId="55712F78" w:rsidR="00BA3DD6" w:rsidRPr="008A6922" w:rsidRDefault="00BA3DD6" w:rsidP="008A6922">
      <w:pPr>
        <w:pStyle w:val="SingleTxtG"/>
        <w:rPr>
          <w:b/>
          <w:bCs/>
          <w:i/>
          <w:iCs/>
        </w:rPr>
      </w:pPr>
      <w:r>
        <w:rPr>
          <w:b/>
          <w:bCs/>
          <w:i/>
          <w:iCs/>
        </w:rPr>
        <w:lastRenderedPageBreak/>
        <w:t xml:space="preserve">В пункт, озаглавленный </w:t>
      </w:r>
      <w:r w:rsidR="00E367A4" w:rsidRPr="00E367A4">
        <w:rPr>
          <w:b/>
          <w:bCs/>
          <w:i/>
          <w:iCs/>
        </w:rPr>
        <w:t>“</w:t>
      </w:r>
      <w:r>
        <w:rPr>
          <w:b/>
          <w:bCs/>
          <w:i/>
          <w:iCs/>
        </w:rPr>
        <w:t>Требования</w:t>
      </w:r>
      <w:r w:rsidR="00E367A4" w:rsidRPr="00E367A4">
        <w:rPr>
          <w:b/>
          <w:bCs/>
          <w:i/>
          <w:iCs/>
        </w:rPr>
        <w:t>”</w:t>
      </w:r>
      <w:r>
        <w:rPr>
          <w:b/>
          <w:bCs/>
          <w:i/>
          <w:iCs/>
        </w:rPr>
        <w:t>, включается подпункт следующего содержания:</w:t>
      </w:r>
    </w:p>
    <w:p w14:paraId="5AA48F83" w14:textId="0F2CD851" w:rsidR="00BA3DD6" w:rsidRPr="00EA5777" w:rsidRDefault="008F0F09" w:rsidP="00BA3DD6">
      <w:pPr>
        <w:pStyle w:val="SingleTxtG"/>
        <w:ind w:left="2268" w:hanging="1134"/>
        <w:rPr>
          <w:b/>
          <w:color w:val="000000" w:themeColor="text1"/>
        </w:rPr>
      </w:pPr>
      <w:r w:rsidRPr="008F0F09">
        <w:rPr>
          <w:b/>
          <w:bCs/>
        </w:rPr>
        <w:t>“</w:t>
      </w:r>
      <w:proofErr w:type="spellStart"/>
      <w:r w:rsidR="00BA3DD6">
        <w:rPr>
          <w:b/>
          <w:bCs/>
        </w:rPr>
        <w:t>x.</w:t>
      </w:r>
      <w:proofErr w:type="gramStart"/>
      <w:r w:rsidR="00BA3DD6">
        <w:rPr>
          <w:b/>
          <w:bCs/>
        </w:rPr>
        <w:t>x</w:t>
      </w:r>
      <w:proofErr w:type="spellEnd"/>
      <w:r w:rsidR="00BA3DD6">
        <w:tab/>
      </w:r>
      <w:r w:rsidR="00BA3DD6">
        <w:tab/>
      </w:r>
      <w:r w:rsidR="00BA3DD6">
        <w:rPr>
          <w:b/>
          <w:bCs/>
        </w:rPr>
        <w:t>Что</w:t>
      </w:r>
      <w:proofErr w:type="gramEnd"/>
      <w:r w:rsidR="00BA3DD6">
        <w:rPr>
          <w:b/>
          <w:bCs/>
        </w:rPr>
        <w:t xml:space="preserve"> касается идентификационных номеров программного обеспечения, то применяется пункт 3 приложения 7 к Сводной резолюции о конструкции транспортных средств (СР.3)</w:t>
      </w:r>
      <w:r w:rsidRPr="008F0F09">
        <w:rPr>
          <w:b/>
          <w:bCs/>
        </w:rPr>
        <w:t>”</w:t>
      </w:r>
      <w:r w:rsidR="00BA3DD6">
        <w:rPr>
          <w:b/>
          <w:bCs/>
        </w:rPr>
        <w:t>.</w:t>
      </w:r>
    </w:p>
    <w:p w14:paraId="76227578" w14:textId="661A4B0B" w:rsidR="00BA3DD6" w:rsidRPr="00EA5777" w:rsidRDefault="00BA3DD6" w:rsidP="00BA3DD6">
      <w:pPr>
        <w:pStyle w:val="SingleTxtG"/>
        <w:rPr>
          <w:b/>
          <w:i/>
          <w:iCs/>
          <w:color w:val="000000" w:themeColor="text1"/>
        </w:rPr>
      </w:pPr>
      <w:r>
        <w:rPr>
          <w:b/>
          <w:bCs/>
          <w:i/>
          <w:iCs/>
        </w:rPr>
        <w:t xml:space="preserve">В пункт, озаглавленный </w:t>
      </w:r>
      <w:r w:rsidR="008F0F09" w:rsidRPr="008F0F09">
        <w:rPr>
          <w:b/>
          <w:bCs/>
          <w:i/>
          <w:iCs/>
        </w:rPr>
        <w:t>“</w:t>
      </w:r>
      <w:r>
        <w:rPr>
          <w:b/>
          <w:bCs/>
          <w:i/>
          <w:iCs/>
        </w:rPr>
        <w:t>Окончательное прекращение производства</w:t>
      </w:r>
      <w:r w:rsidR="008F0F09" w:rsidRPr="008F0F09">
        <w:rPr>
          <w:b/>
          <w:bCs/>
          <w:i/>
          <w:iCs/>
        </w:rPr>
        <w:t>”</w:t>
      </w:r>
      <w:r>
        <w:rPr>
          <w:b/>
          <w:bCs/>
          <w:i/>
          <w:iCs/>
        </w:rPr>
        <w:t>, включается подпункт следующего содержания:</w:t>
      </w:r>
    </w:p>
    <w:p w14:paraId="2301777A" w14:textId="53318A20" w:rsidR="00BA3DD6" w:rsidRDefault="008F0F09" w:rsidP="00BA3DD6">
      <w:pPr>
        <w:pStyle w:val="SingleTxtG"/>
        <w:ind w:left="2268" w:hanging="1134"/>
        <w:rPr>
          <w:b/>
          <w:bCs/>
        </w:rPr>
      </w:pPr>
      <w:r w:rsidRPr="008F0F09">
        <w:rPr>
          <w:b/>
          <w:bCs/>
        </w:rPr>
        <w:t>“</w:t>
      </w:r>
      <w:proofErr w:type="spellStart"/>
      <w:r w:rsidR="00BA3DD6">
        <w:rPr>
          <w:b/>
          <w:bCs/>
        </w:rPr>
        <w:t>x.x</w:t>
      </w:r>
      <w:proofErr w:type="spellEnd"/>
      <w:r w:rsidR="00BA3DD6">
        <w:tab/>
      </w:r>
      <w:r w:rsidR="001A61DE">
        <w:tab/>
      </w:r>
      <w:r w:rsidR="00BA3DD6">
        <w:rPr>
          <w:b/>
          <w:bCs/>
        </w:rPr>
        <w:t>Производство не считается окончательно прекращенным, если изготовитель транспортного средства намерен добиваться получения официальных утверждений в отношении уже зарегистрированных на рынке обновлений программного обеспечения для транспортных средств</w:t>
      </w:r>
      <w:r w:rsidRPr="008F0F09">
        <w:rPr>
          <w:b/>
          <w:bCs/>
        </w:rPr>
        <w:t>”</w:t>
      </w:r>
      <w:r w:rsidR="00BA3DD6">
        <w:rPr>
          <w:b/>
          <w:bCs/>
        </w:rPr>
        <w:t>.</w:t>
      </w:r>
    </w:p>
    <w:p w14:paraId="7FB2F04A" w14:textId="781930C2" w:rsidR="00E367A4" w:rsidRPr="00E367A4" w:rsidRDefault="00E367A4" w:rsidP="00E367A4">
      <w:pPr>
        <w:pStyle w:val="SingleTxtG"/>
        <w:ind w:left="2268" w:hanging="1134"/>
        <w:jc w:val="right"/>
        <w:rPr>
          <w:color w:val="000000" w:themeColor="text1"/>
        </w:rPr>
      </w:pPr>
      <w:r w:rsidRPr="00E367A4">
        <w:t>»</w:t>
      </w:r>
    </w:p>
    <w:p w14:paraId="0A5158F8" w14:textId="7070B4D0" w:rsidR="00BA3DD6" w:rsidRDefault="00BA3DD6" w:rsidP="00987A15">
      <w:pPr>
        <w:pStyle w:val="SingleTxtG"/>
        <w:ind w:left="2268" w:hanging="1134"/>
        <w:rPr>
          <w:b/>
          <w:bCs/>
        </w:rPr>
      </w:pPr>
      <w:r>
        <w:rPr>
          <w:b/>
          <w:bCs/>
        </w:rPr>
        <w:t xml:space="preserve">Приложение, озаглавленное </w:t>
      </w:r>
      <w:r w:rsidR="00E367A4" w:rsidRPr="00E367A4">
        <w:rPr>
          <w:b/>
          <w:bCs/>
        </w:rPr>
        <w:t>«</w:t>
      </w:r>
      <w:r>
        <w:rPr>
          <w:b/>
          <w:bCs/>
        </w:rPr>
        <w:t>Сообщение</w:t>
      </w:r>
      <w:r w:rsidR="00E367A4" w:rsidRPr="00E367A4">
        <w:rPr>
          <w:b/>
          <w:bCs/>
        </w:rPr>
        <w:t>»</w:t>
      </w:r>
      <w:r>
        <w:rPr>
          <w:b/>
          <w:bCs/>
        </w:rPr>
        <w:t>, изменено следующим образом:</w:t>
      </w:r>
    </w:p>
    <w:p w14:paraId="3E1B4C08" w14:textId="70DA37F7" w:rsidR="00E367A4" w:rsidRPr="00987A15" w:rsidRDefault="00E367A4" w:rsidP="00E367A4">
      <w:pPr>
        <w:pStyle w:val="SingleTxtG"/>
        <w:ind w:left="2268" w:hanging="1134"/>
        <w:rPr>
          <w:b/>
          <w:color w:val="000000" w:themeColor="text1"/>
        </w:rPr>
      </w:pPr>
      <w:r w:rsidRPr="00987A15">
        <w:rPr>
          <w:b/>
          <w:color w:val="000000" w:themeColor="text1"/>
        </w:rPr>
        <w:t>«</w:t>
      </w:r>
    </w:p>
    <w:p w14:paraId="30ADCD30" w14:textId="4B200B22" w:rsidR="00BA3DD6" w:rsidRPr="00C45D6E" w:rsidRDefault="00BA3DD6" w:rsidP="00BA3DD6">
      <w:pPr>
        <w:pStyle w:val="HChG"/>
        <w:rPr>
          <w:rFonts w:eastAsia="MS Mincho"/>
          <w:color w:val="000000" w:themeColor="text1"/>
        </w:rPr>
      </w:pPr>
      <w:r>
        <w:tab/>
      </w:r>
      <w:r w:rsidR="00987A15">
        <w:tab/>
      </w:r>
      <w:r>
        <w:rPr>
          <w:bCs/>
        </w:rPr>
        <w:t>Сообщение</w:t>
      </w:r>
    </w:p>
    <w:p w14:paraId="16A58A20" w14:textId="77777777" w:rsidR="00BA3DD6" w:rsidRPr="00C45D6E" w:rsidRDefault="00BA3DD6" w:rsidP="00BA3DD6">
      <w:pPr>
        <w:pStyle w:val="SingleTxtG"/>
        <w:ind w:left="2268" w:hanging="1134"/>
        <w:rPr>
          <w:b/>
          <w:color w:val="000000" w:themeColor="text1"/>
        </w:rPr>
      </w:pPr>
      <w:r>
        <w:rPr>
          <w:b/>
          <w:bCs/>
        </w:rPr>
        <w:t>...</w:t>
      </w:r>
    </w:p>
    <w:p w14:paraId="67B09F60" w14:textId="77777777" w:rsidR="00BA3DD6" w:rsidRPr="00912BB9" w:rsidRDefault="00BA3DD6" w:rsidP="00BA3DD6">
      <w:pPr>
        <w:pStyle w:val="SingleTxtG"/>
        <w:rPr>
          <w:b/>
          <w:color w:val="000000" w:themeColor="text1"/>
        </w:rPr>
      </w:pPr>
      <w:r>
        <w:rPr>
          <w:b/>
          <w:bCs/>
        </w:rPr>
        <w:t>Дополнительная информация относительно ИНПО П[номер настоящих Правил]:</w:t>
      </w:r>
    </w:p>
    <w:p w14:paraId="7DDF1717" w14:textId="77777777" w:rsidR="00BA3DD6" w:rsidRPr="00912BB9" w:rsidRDefault="00BA3DD6" w:rsidP="00BA3DD6">
      <w:pPr>
        <w:pStyle w:val="SingleTxtG"/>
        <w:tabs>
          <w:tab w:val="left" w:leader="dot" w:pos="8483"/>
        </w:tabs>
        <w:rPr>
          <w:b/>
          <w:color w:val="000000" w:themeColor="text1"/>
        </w:rPr>
      </w:pPr>
      <w:r>
        <w:rPr>
          <w:b/>
          <w:bCs/>
        </w:rPr>
        <w:t>ИНПО П[номер настоящих Правил]:</w:t>
      </w:r>
      <w:r>
        <w:t xml:space="preserve"> </w:t>
      </w:r>
      <w:r w:rsidRPr="008A6922">
        <w:rPr>
          <w:b/>
          <w:bCs/>
        </w:rPr>
        <w:tab/>
      </w:r>
    </w:p>
    <w:p w14:paraId="7285B8CD" w14:textId="77777777" w:rsidR="00BA3DD6" w:rsidRPr="00912BB9" w:rsidRDefault="00BA3DD6" w:rsidP="00BA3DD6">
      <w:pPr>
        <w:pStyle w:val="SingleTxtG"/>
        <w:tabs>
          <w:tab w:val="left" w:leader="dot" w:pos="8483"/>
        </w:tabs>
        <w:rPr>
          <w:b/>
          <w:color w:val="000000" w:themeColor="text1"/>
        </w:rPr>
      </w:pPr>
      <w:r>
        <w:rPr>
          <w:b/>
          <w:bCs/>
        </w:rPr>
        <w:t>Находится ли ИНПО П[номер настоящих Правил] на транспортном средстве</w:t>
      </w:r>
      <w:proofErr w:type="gramStart"/>
      <w:r>
        <w:rPr>
          <w:b/>
          <w:bCs/>
        </w:rPr>
        <w:t>: Да</w:t>
      </w:r>
      <w:proofErr w:type="gramEnd"/>
      <w:r>
        <w:rPr>
          <w:b/>
          <w:bCs/>
        </w:rPr>
        <w:t>/Нет</w:t>
      </w:r>
    </w:p>
    <w:p w14:paraId="0F0F7C99" w14:textId="768193CE" w:rsidR="00BA3DD6" w:rsidRPr="00912BB9" w:rsidRDefault="00BA3DD6" w:rsidP="008A6922">
      <w:pPr>
        <w:pStyle w:val="SingleTxtG"/>
        <w:tabs>
          <w:tab w:val="clear" w:pos="2268"/>
          <w:tab w:val="clear" w:pos="2835"/>
          <w:tab w:val="left" w:leader="dot" w:pos="8483"/>
        </w:tabs>
        <w:rPr>
          <w:b/>
          <w:color w:val="000000" w:themeColor="text1"/>
        </w:rPr>
      </w:pPr>
      <w:r>
        <w:rPr>
          <w:b/>
          <w:bCs/>
        </w:rPr>
        <w:t xml:space="preserve">Информация о способе считывания ИНПО П[номер настоящих Правил] или </w:t>
      </w:r>
      <w:proofErr w:type="spellStart"/>
      <w:r>
        <w:rPr>
          <w:b/>
          <w:bCs/>
        </w:rPr>
        <w:t>соответсвующей</w:t>
      </w:r>
      <w:proofErr w:type="spellEnd"/>
      <w:r>
        <w:rPr>
          <w:b/>
          <w:bCs/>
        </w:rPr>
        <w:t>(их) версии(й) программного обеспечения в том случае, если в бортовой системе транспортного средства ИНПО П[номер настоящих Правил] не хранится:</w:t>
      </w:r>
      <w:r w:rsidR="008A6922">
        <w:rPr>
          <w:b/>
          <w:bCs/>
        </w:rPr>
        <w:tab/>
      </w:r>
    </w:p>
    <w:p w14:paraId="602BB141" w14:textId="53A109E5" w:rsidR="00BA3DD6" w:rsidRPr="00912BB9" w:rsidRDefault="00BA3DD6" w:rsidP="008A6922">
      <w:pPr>
        <w:pStyle w:val="SingleTxtG"/>
        <w:tabs>
          <w:tab w:val="clear" w:pos="2268"/>
          <w:tab w:val="clear" w:pos="2835"/>
          <w:tab w:val="left" w:leader="dot" w:pos="8483"/>
        </w:tabs>
        <w:rPr>
          <w:b/>
          <w:color w:val="000000" w:themeColor="text1"/>
        </w:rPr>
      </w:pPr>
      <w:r>
        <w:rPr>
          <w:b/>
          <w:bCs/>
        </w:rPr>
        <w:t>Описание способа получения доступа к информации из контролируемого реестра по всем версиям программного обеспечения, относящимся к П[номер настоящих Правил]</w:t>
      </w:r>
      <w:r w:rsidRPr="008A6922">
        <w:rPr>
          <w:b/>
          <w:bCs/>
        </w:rPr>
        <w:t xml:space="preserve"> </w:t>
      </w:r>
      <w:r w:rsidR="008A6922">
        <w:rPr>
          <w:b/>
          <w:bCs/>
        </w:rPr>
        <w:tab/>
      </w:r>
    </w:p>
    <w:p w14:paraId="073BE2E2" w14:textId="77777777" w:rsidR="00BA3DD6" w:rsidRDefault="00BA3DD6" w:rsidP="00BA3DD6">
      <w:pPr>
        <w:pStyle w:val="SingleTxtG"/>
        <w:tabs>
          <w:tab w:val="left" w:leader="dot" w:pos="8483"/>
        </w:tabs>
        <w:rPr>
          <w:b/>
          <w:bCs/>
        </w:rPr>
      </w:pPr>
      <w:r>
        <w:rPr>
          <w:b/>
          <w:bCs/>
        </w:rPr>
        <w:t>Если это применимо, то перечислите соответствующие параметры, которые позволят идентифицировать те транспортные средства, обновление программного обеспечения которых может быть произведено на базе версии с указанным выше ИНПО П[номер настоящих Правил]:</w:t>
      </w:r>
      <w:r>
        <w:t xml:space="preserve"> </w:t>
      </w:r>
      <w:r w:rsidRPr="008A6922">
        <w:rPr>
          <w:b/>
          <w:bCs/>
        </w:rPr>
        <w:tab/>
      </w:r>
    </w:p>
    <w:p w14:paraId="5C445434" w14:textId="5E3798AE" w:rsidR="00157992" w:rsidRPr="00987A15" w:rsidRDefault="00157992" w:rsidP="00157992">
      <w:pPr>
        <w:pStyle w:val="SingleTxtG"/>
        <w:tabs>
          <w:tab w:val="left" w:leader="dot" w:pos="8483"/>
        </w:tabs>
        <w:jc w:val="right"/>
        <w:rPr>
          <w:b/>
          <w:color w:val="000000" w:themeColor="text1"/>
        </w:rPr>
      </w:pPr>
      <w:r w:rsidRPr="00987A15">
        <w:rPr>
          <w:b/>
          <w:bCs/>
        </w:rPr>
        <w:t>»</w:t>
      </w:r>
    </w:p>
    <w:p w14:paraId="6649E03F" w14:textId="77777777" w:rsidR="00BA3DD6" w:rsidRPr="00EA5777" w:rsidRDefault="00BA3DD6" w:rsidP="00BA3DD6">
      <w:pPr>
        <w:pStyle w:val="HChG"/>
        <w:rPr>
          <w:rFonts w:eastAsia="MS Mincho"/>
          <w:strike/>
          <w:color w:val="000000" w:themeColor="text1"/>
        </w:rPr>
      </w:pPr>
      <w:bookmarkStart w:id="2" w:name="_Hlk155288644"/>
      <w:r>
        <w:tab/>
      </w:r>
      <w:r>
        <w:rPr>
          <w:bCs/>
          <w:strike/>
        </w:rPr>
        <w:t>Сообщение</w:t>
      </w:r>
      <w:bookmarkEnd w:id="2"/>
    </w:p>
    <w:p w14:paraId="3B2CBD9C" w14:textId="77777777" w:rsidR="00BA3DD6" w:rsidRPr="00EA5777" w:rsidRDefault="00BA3DD6" w:rsidP="00BA3DD6">
      <w:pPr>
        <w:spacing w:after="120"/>
        <w:ind w:left="1134" w:right="1134"/>
        <w:rPr>
          <w:rFonts w:eastAsia="MS Mincho"/>
          <w:strike/>
          <w:color w:val="000000" w:themeColor="text1"/>
        </w:rPr>
      </w:pPr>
      <w:r>
        <w:rPr>
          <w:strike/>
        </w:rPr>
        <w:t>(максимальный формат: А4 (210 х 297 мм))</w:t>
      </w:r>
    </w:p>
    <w:p w14:paraId="3E72D2A7" w14:textId="77777777" w:rsidR="00BA3DD6" w:rsidRPr="00EA5777" w:rsidRDefault="00BA3DD6" w:rsidP="00BA3DD6">
      <w:pPr>
        <w:spacing w:after="120"/>
        <w:ind w:left="1134" w:right="1134"/>
        <w:jc w:val="both"/>
        <w:rPr>
          <w:rFonts w:eastAsia="MS Mincho"/>
          <w:strike/>
          <w:color w:val="000000" w:themeColor="text1"/>
        </w:rPr>
      </w:pPr>
      <w:r w:rsidRPr="0094257A">
        <w:rPr>
          <w:rFonts w:eastAsia="Times New Roman"/>
          <w:noProof/>
          <w:color w:val="000000" w:themeColor="text1"/>
        </w:rPr>
        <mc:AlternateContent>
          <mc:Choice Requires="wps">
            <w:drawing>
              <wp:anchor distT="0" distB="0" distL="114300" distR="114300" simplePos="0" relativeHeight="251659264" behindDoc="0" locked="0" layoutInCell="1" allowOverlap="1" wp14:anchorId="6FDDE27B" wp14:editId="09A6CE91">
                <wp:simplePos x="0" y="0"/>
                <wp:positionH relativeFrom="column">
                  <wp:posOffset>2447200</wp:posOffset>
                </wp:positionH>
                <wp:positionV relativeFrom="paragraph">
                  <wp:posOffset>18596</wp:posOffset>
                </wp:positionV>
                <wp:extent cx="3811270" cy="662305"/>
                <wp:effectExtent l="0" t="0" r="1778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0A46A" w14:textId="5F4F37A3" w:rsidR="00BA3DD6" w:rsidRPr="00EA5777" w:rsidRDefault="00BA3DD6" w:rsidP="001A61D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1843" w:hanging="1134"/>
                            </w:pPr>
                            <w:r>
                              <w:t>выдано (кем):</w:t>
                            </w:r>
                            <w:r>
                              <w:tab/>
                              <w:t>Наименование административного органа</w:t>
                            </w:r>
                          </w:p>
                          <w:p w14:paraId="54805FDB" w14:textId="77777777" w:rsidR="00BA3DD6" w:rsidRPr="00EA5777" w:rsidRDefault="00BA3DD6" w:rsidP="00BA3DD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pPr>
                            <w:r>
                              <w:t>......................................</w:t>
                            </w:r>
                          </w:p>
                          <w:p w14:paraId="5BEA3D62" w14:textId="77777777" w:rsidR="00BA3DD6" w:rsidRDefault="00BA3DD6" w:rsidP="00BA3DD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Pr>
                                <w:lang w:val="fr-FR"/>
                              </w:rPr>
                              <w:t>......................................</w:t>
                            </w:r>
                          </w:p>
                          <w:p w14:paraId="4441B6DD" w14:textId="77777777" w:rsidR="00BA3DD6" w:rsidRDefault="00BA3DD6" w:rsidP="00BA3DD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DE27B" id="_x0000_t202" coordsize="21600,21600" o:spt="202" path="m,l,21600r21600,l21600,xe">
                <v:stroke joinstyle="miter"/>
                <v:path gradientshapeok="t" o:connecttype="rect"/>
              </v:shapetype>
              <v:shape id="Text Box 7" o:spid="_x0000_s1026" type="#_x0000_t202" style="position:absolute;left:0;text-align:left;margin-left:192.7pt;margin-top:1.45pt;width:300.1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" filled="f" stroked="f">
                <v:textbox inset="0,0,0,0">
                  <w:txbxContent>
                    <w:p w14:paraId="7710A46A" w14:textId="5F4F37A3" w:rsidR="00BA3DD6" w:rsidRPr="00EA5777" w:rsidRDefault="00BA3DD6" w:rsidP="001A61D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1843" w:hanging="1134"/>
                      </w:pPr>
                      <w:r>
                        <w:t>выдано (кем):</w:t>
                      </w:r>
                      <w:r>
                        <w:tab/>
                        <w:t>Наименование административного органа</w:t>
                      </w:r>
                    </w:p>
                    <w:p w14:paraId="54805FDB" w14:textId="77777777" w:rsidR="00BA3DD6" w:rsidRPr="00EA5777" w:rsidRDefault="00BA3DD6" w:rsidP="00BA3DD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pPr>
                      <w:r>
                        <w:t>......................................</w:t>
                      </w:r>
                    </w:p>
                    <w:p w14:paraId="5BEA3D62" w14:textId="77777777" w:rsidR="00BA3DD6" w:rsidRDefault="00BA3DD6" w:rsidP="00BA3DD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Pr>
                          <w:lang w:val="fr-FR"/>
                        </w:rPr>
                        <w:t>......................................</w:t>
                      </w:r>
                    </w:p>
                    <w:p w14:paraId="4441B6DD" w14:textId="77777777" w:rsidR="00BA3DD6" w:rsidRDefault="00BA3DD6" w:rsidP="00BA3DD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Pr>
                          <w:lang w:val="fr-FR"/>
                        </w:rPr>
                        <w:t>......................................</w:t>
                      </w:r>
                    </w:p>
                  </w:txbxContent>
                </v:textbox>
              </v:shape>
            </w:pict>
          </mc:Fallback>
        </mc:AlternateContent>
      </w:r>
    </w:p>
    <w:p w14:paraId="5608275C" w14:textId="77777777" w:rsidR="00BA3DD6" w:rsidRPr="00EA5777" w:rsidRDefault="00BA3DD6" w:rsidP="00BA3DD6">
      <w:pPr>
        <w:pStyle w:val="SingleTxtG"/>
        <w:tabs>
          <w:tab w:val="left" w:pos="5100"/>
        </w:tabs>
        <w:rPr>
          <w:rFonts w:eastAsia="MS Mincho"/>
          <w:strike/>
          <w:color w:val="000000" w:themeColor="text1"/>
        </w:rPr>
      </w:pPr>
    </w:p>
    <w:p w14:paraId="11DAD455" w14:textId="77777777" w:rsidR="00BA3DD6" w:rsidRPr="00EA5777" w:rsidRDefault="00BA3DD6" w:rsidP="00BA3DD6">
      <w:pPr>
        <w:pStyle w:val="SingleTxtG"/>
        <w:tabs>
          <w:tab w:val="left" w:pos="5100"/>
        </w:tabs>
        <w:rPr>
          <w:rFonts w:eastAsia="MS Mincho"/>
          <w:strike/>
          <w:color w:val="000000" w:themeColor="text1"/>
        </w:rPr>
      </w:pPr>
      <w:r w:rsidRPr="0094257A">
        <w:rPr>
          <w:noProof/>
          <w:color w:val="000000" w:themeColor="text1"/>
        </w:rPr>
        <mc:AlternateContent>
          <mc:Choice Requires="wps">
            <w:drawing>
              <wp:anchor distT="0" distB="0" distL="114300" distR="114300" simplePos="0" relativeHeight="251660288" behindDoc="0" locked="0" layoutInCell="1" allowOverlap="1" wp14:anchorId="5E4414BB" wp14:editId="74DC39E0">
                <wp:simplePos x="0" y="0"/>
                <wp:positionH relativeFrom="column">
                  <wp:posOffset>1260295</wp:posOffset>
                </wp:positionH>
                <wp:positionV relativeFrom="paragraph">
                  <wp:posOffset>277206</wp:posOffset>
                </wp:positionV>
                <wp:extent cx="107576" cy="88017"/>
                <wp:effectExtent l="0" t="0" r="698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7576" cy="88017"/>
                        </a:xfrm>
                        <a:prstGeom prst="rect">
                          <a:avLst/>
                        </a:prstGeom>
                        <a:solidFill>
                          <a:srgbClr val="FFFFFF"/>
                        </a:solidFill>
                        <a:ln>
                          <a:noFill/>
                        </a:ln>
                      </wps:spPr>
                      <wps:txbx>
                        <w:txbxContent>
                          <w:p w14:paraId="2FB07C26" w14:textId="77777777" w:rsidR="00BA3DD6" w:rsidRDefault="00BA3DD6" w:rsidP="00BA3DD6">
                            <w:pPr>
                              <w:jc w:val="center"/>
                              <w:rPr>
                                <w:rFonts w:eastAsia="Arial Unicode MS"/>
                                <w:sz w:val="16"/>
                                <w:szCs w:val="16"/>
                              </w:rPr>
                            </w:pPr>
                            <w:r>
                              <w:rPr>
                                <w:noProof/>
                                <w:lang w:val="fr-CH" w:eastAsia="zh-CN"/>
                              </w:rPr>
                              <w:drawing>
                                <wp:inline distT="0" distB="0" distL="0" distR="0" wp14:anchorId="6E7416B8" wp14:editId="76988F18">
                                  <wp:extent cx="128508" cy="145527"/>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45" cy="15202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14BB" id="Text Box 6" o:spid="_x0000_s1027" type="#_x0000_t202" style="position:absolute;left:0;text-align:left;margin-left:99.25pt;margin-top:21.85pt;width:8.45pt;height:6.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" stroked="f">
                <v:textbox inset="0,0,0,0">
                  <w:txbxContent>
                    <w:p w14:paraId="2FB07C26" w14:textId="77777777" w:rsidR="00BA3DD6" w:rsidRDefault="00BA3DD6" w:rsidP="00BA3DD6">
                      <w:pPr>
                        <w:jc w:val="center"/>
                        <w:rPr>
                          <w:rFonts w:eastAsia="Arial Unicode MS"/>
                          <w:sz w:val="16"/>
                          <w:szCs w:val="16"/>
                        </w:rPr>
                      </w:pPr>
                      <w:r>
                        <w:rPr>
                          <w:noProof/>
                          <w:lang w:val="fr-CH" w:eastAsia="zh-CN"/>
                        </w:rPr>
                        <w:drawing>
                          <wp:inline distT="0" distB="0" distL="0" distR="0" wp14:anchorId="6E7416B8" wp14:editId="76988F18">
                            <wp:extent cx="128508" cy="145527"/>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45" cy="152023"/>
                                    </a:xfrm>
                                    <a:prstGeom prst="rect">
                                      <a:avLst/>
                                    </a:prstGeom>
                                    <a:noFill/>
                                    <a:ln>
                                      <a:noFill/>
                                    </a:ln>
                                  </pic:spPr>
                                </pic:pic>
                              </a:graphicData>
                            </a:graphic>
                          </wp:inline>
                        </w:drawing>
                      </w:r>
                    </w:p>
                  </w:txbxContent>
                </v:textbox>
              </v:shape>
            </w:pict>
          </mc:Fallback>
        </mc:AlternateContent>
      </w:r>
    </w:p>
    <w:p w14:paraId="1310878A" w14:textId="77777777" w:rsidR="00BA3DD6" w:rsidRPr="0094257A" w:rsidRDefault="00BA3DD6" w:rsidP="00BA3DD6">
      <w:pPr>
        <w:pStyle w:val="SingleTxtG"/>
        <w:tabs>
          <w:tab w:val="left" w:pos="5100"/>
        </w:tabs>
        <w:rPr>
          <w:rFonts w:eastAsia="MS Mincho"/>
          <w:strike/>
          <w:color w:val="000000" w:themeColor="text1"/>
        </w:rPr>
      </w:pPr>
      <w:r w:rsidRPr="0094257A">
        <w:rPr>
          <w:rFonts w:eastAsia="MS Mincho"/>
          <w:strike/>
          <w:noProof/>
          <w:color w:val="000000" w:themeColor="text1"/>
          <w:lang w:val="en-US" w:eastAsia="zh-CN"/>
        </w:rPr>
        <w:lastRenderedPageBreak/>
        <w:drawing>
          <wp:inline distT="0" distB="0" distL="0" distR="0" wp14:anchorId="3FA52E73" wp14:editId="3EF3D728">
            <wp:extent cx="1074420" cy="10058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5840"/>
                    </a:xfrm>
                    <a:prstGeom prst="rect">
                      <a:avLst/>
                    </a:prstGeom>
                    <a:noFill/>
                    <a:ln>
                      <a:noFill/>
                    </a:ln>
                  </pic:spPr>
                </pic:pic>
              </a:graphicData>
            </a:graphic>
          </wp:inline>
        </w:drawing>
      </w:r>
      <w:r w:rsidRPr="0094257A">
        <w:rPr>
          <w:rStyle w:val="aa"/>
          <w:rFonts w:eastAsia="MS Mincho"/>
          <w:strike/>
          <w:color w:val="000000" w:themeColor="text1"/>
        </w:rPr>
        <w:footnoteReference w:id="2"/>
      </w:r>
    </w:p>
    <w:p w14:paraId="7C2C779F" w14:textId="53A4F843" w:rsidR="00BA3DD6" w:rsidRPr="00C45D6E" w:rsidRDefault="00BA3DD6" w:rsidP="00BA3DD6">
      <w:pPr>
        <w:pStyle w:val="SingleTxtG"/>
        <w:spacing w:after="0"/>
        <w:rPr>
          <w:strike/>
          <w:color w:val="000000" w:themeColor="text1"/>
        </w:rPr>
      </w:pPr>
      <w:r>
        <w:rPr>
          <w:strike/>
        </w:rPr>
        <w:t>касающееся</w:t>
      </w:r>
      <w:r w:rsidRPr="0094257A">
        <w:rPr>
          <w:rStyle w:val="aa"/>
          <w:strike/>
          <w:color w:val="000000" w:themeColor="text1"/>
        </w:rPr>
        <w:footnoteReference w:id="3"/>
      </w:r>
      <w:r>
        <w:rPr>
          <w:strike/>
        </w:rPr>
        <w:t>:</w:t>
      </w:r>
      <w:r>
        <w:tab/>
      </w:r>
      <w:r>
        <w:rPr>
          <w:strike/>
        </w:rPr>
        <w:t>предоставления официального утверждения</w:t>
      </w:r>
      <w:r>
        <w:t xml:space="preserve"> </w:t>
      </w:r>
    </w:p>
    <w:p w14:paraId="50F5FB55" w14:textId="77777777" w:rsidR="00BA3DD6" w:rsidRPr="00912BB9" w:rsidRDefault="00BA3DD6" w:rsidP="00BA3DD6">
      <w:pPr>
        <w:pStyle w:val="SingleTxtG"/>
        <w:spacing w:after="0"/>
        <w:rPr>
          <w:strike/>
          <w:color w:val="000000" w:themeColor="text1"/>
        </w:rPr>
      </w:pPr>
      <w:r>
        <w:tab/>
      </w:r>
      <w:r>
        <w:tab/>
      </w:r>
      <w:r>
        <w:tab/>
      </w:r>
      <w:r>
        <w:tab/>
      </w:r>
      <w:r>
        <w:rPr>
          <w:strike/>
        </w:rPr>
        <w:t>предоставления официального утверждения</w:t>
      </w:r>
      <w:r>
        <w:t xml:space="preserve"> </w:t>
      </w:r>
    </w:p>
    <w:p w14:paraId="07B7CD5D" w14:textId="77777777" w:rsidR="00BA3DD6" w:rsidRPr="00912BB9" w:rsidRDefault="00BA3DD6" w:rsidP="00BA3DD6">
      <w:pPr>
        <w:pStyle w:val="SingleTxtG"/>
        <w:spacing w:after="0"/>
        <w:rPr>
          <w:strike/>
          <w:color w:val="000000" w:themeColor="text1"/>
        </w:rPr>
      </w:pPr>
      <w:r>
        <w:tab/>
      </w:r>
      <w:r>
        <w:tab/>
      </w:r>
      <w:r>
        <w:tab/>
      </w:r>
      <w:r>
        <w:rPr>
          <w:strike/>
        </w:rPr>
        <w:t xml:space="preserve">отмены официального утверждения начиная с </w:t>
      </w:r>
      <w:proofErr w:type="spellStart"/>
      <w:r>
        <w:rPr>
          <w:strike/>
        </w:rPr>
        <w:t>дд</w:t>
      </w:r>
      <w:proofErr w:type="spellEnd"/>
      <w:r>
        <w:rPr>
          <w:strike/>
        </w:rPr>
        <w:t>/мм/</w:t>
      </w:r>
      <w:proofErr w:type="spellStart"/>
      <w:r>
        <w:rPr>
          <w:strike/>
        </w:rPr>
        <w:t>гггг</w:t>
      </w:r>
      <w:proofErr w:type="spellEnd"/>
    </w:p>
    <w:p w14:paraId="314E2853" w14:textId="77777777" w:rsidR="00BA3DD6" w:rsidRPr="00912BB9" w:rsidRDefault="00BA3DD6" w:rsidP="00BA3DD6">
      <w:pPr>
        <w:pStyle w:val="SingleTxtG"/>
        <w:spacing w:after="0"/>
        <w:rPr>
          <w:strike/>
          <w:color w:val="000000" w:themeColor="text1"/>
        </w:rPr>
      </w:pPr>
      <w:r>
        <w:tab/>
      </w:r>
      <w:r>
        <w:tab/>
      </w:r>
      <w:r>
        <w:tab/>
      </w:r>
      <w:r>
        <w:rPr>
          <w:strike/>
        </w:rPr>
        <w:t>отказа в официальном утверждении</w:t>
      </w:r>
      <w:r>
        <w:t xml:space="preserve"> </w:t>
      </w:r>
    </w:p>
    <w:p w14:paraId="1E6DD331" w14:textId="77777777" w:rsidR="00BA3DD6" w:rsidRPr="00912BB9" w:rsidRDefault="00BA3DD6" w:rsidP="00BA3DD6">
      <w:pPr>
        <w:pStyle w:val="SingleTxtG"/>
        <w:rPr>
          <w:strike/>
          <w:color w:val="000000" w:themeColor="text1"/>
        </w:rPr>
      </w:pPr>
      <w:r>
        <w:tab/>
      </w:r>
      <w:r>
        <w:tab/>
      </w:r>
      <w:r>
        <w:tab/>
      </w:r>
      <w:r>
        <w:rPr>
          <w:strike/>
        </w:rPr>
        <w:t>окончательного прекращения производства</w:t>
      </w:r>
      <w:r>
        <w:t xml:space="preserve"> </w:t>
      </w:r>
    </w:p>
    <w:p w14:paraId="764BCCE0" w14:textId="77777777" w:rsidR="00BA3DD6" w:rsidRPr="00EA5777" w:rsidRDefault="00BA3DD6" w:rsidP="00BA3DD6">
      <w:pPr>
        <w:spacing w:after="120"/>
        <w:ind w:left="1134" w:right="1327"/>
        <w:rPr>
          <w:strike/>
          <w:color w:val="000000" w:themeColor="text1"/>
        </w:rPr>
      </w:pPr>
      <w:r>
        <w:rPr>
          <w:strike/>
        </w:rPr>
        <w:t>типа транспортного средства на основании Правил № [</w:t>
      </w:r>
      <w:r>
        <w:rPr>
          <w:i/>
          <w:iCs/>
          <w:strike/>
        </w:rPr>
        <w:t>настоящих Правил</w:t>
      </w:r>
      <w:r>
        <w:rPr>
          <w:strike/>
        </w:rPr>
        <w:t>] ООН</w:t>
      </w:r>
    </w:p>
    <w:p w14:paraId="54FF918E" w14:textId="77777777" w:rsidR="00BA3DD6" w:rsidRPr="00EA5777" w:rsidRDefault="00BA3DD6" w:rsidP="00BA3DD6">
      <w:pPr>
        <w:pStyle w:val="SingleTxtG"/>
        <w:tabs>
          <w:tab w:val="left" w:leader="dot" w:pos="8505"/>
        </w:tabs>
        <w:ind w:left="2257" w:hanging="1123"/>
        <w:rPr>
          <w:strike/>
          <w:color w:val="000000" w:themeColor="text1"/>
        </w:rPr>
      </w:pPr>
      <w:r>
        <w:rPr>
          <w:strike/>
        </w:rPr>
        <w:t>Официальное утверждение №</w:t>
      </w:r>
      <w:r>
        <w:t xml:space="preserve"> </w:t>
      </w:r>
      <w:r>
        <w:tab/>
      </w:r>
    </w:p>
    <w:p w14:paraId="6B7FC8E1" w14:textId="77777777" w:rsidR="00BA3DD6" w:rsidRPr="00EA5777" w:rsidRDefault="00BA3DD6" w:rsidP="00BA3DD6">
      <w:pPr>
        <w:pStyle w:val="SingleTxtG"/>
        <w:tabs>
          <w:tab w:val="left" w:leader="dot" w:pos="8505"/>
        </w:tabs>
        <w:ind w:left="2257" w:hanging="1123"/>
        <w:rPr>
          <w:strike/>
          <w:color w:val="000000" w:themeColor="text1"/>
        </w:rPr>
      </w:pPr>
      <w:r>
        <w:rPr>
          <w:strike/>
        </w:rPr>
        <w:t>Распространение №</w:t>
      </w:r>
      <w:r>
        <w:t xml:space="preserve"> </w:t>
      </w:r>
      <w:r>
        <w:tab/>
      </w:r>
    </w:p>
    <w:p w14:paraId="204A46D8" w14:textId="77777777" w:rsidR="00BA3DD6" w:rsidRPr="00EA5777" w:rsidRDefault="00BA3DD6" w:rsidP="00BA3DD6">
      <w:pPr>
        <w:pStyle w:val="SingleTxtG"/>
        <w:tabs>
          <w:tab w:val="left" w:leader="dot" w:pos="8505"/>
        </w:tabs>
        <w:ind w:left="2257" w:hanging="1123"/>
        <w:rPr>
          <w:strike/>
          <w:color w:val="000000" w:themeColor="text1"/>
        </w:rPr>
      </w:pPr>
      <w:r>
        <w:rPr>
          <w:strike/>
        </w:rPr>
        <w:t>Основание для распространения:</w:t>
      </w:r>
      <w:r>
        <w:t xml:space="preserve"> </w:t>
      </w:r>
      <w:r>
        <w:tab/>
      </w:r>
    </w:p>
    <w:p w14:paraId="5C8C7D8C" w14:textId="77777777" w:rsidR="00BA3DD6" w:rsidRPr="00EA5777" w:rsidRDefault="00BA3DD6" w:rsidP="00BA3DD6">
      <w:pPr>
        <w:pStyle w:val="SingleTxtG"/>
        <w:rPr>
          <w:strike/>
          <w:color w:val="000000" w:themeColor="text1"/>
        </w:rPr>
      </w:pPr>
      <w:r>
        <w:rPr>
          <w:strike/>
        </w:rPr>
        <w:t>(...)</w:t>
      </w:r>
    </w:p>
    <w:p w14:paraId="14B93CBA" w14:textId="77777777" w:rsidR="00BA3DD6" w:rsidRPr="00EA5777" w:rsidRDefault="00BA3DD6" w:rsidP="00BA3DD6">
      <w:pPr>
        <w:pStyle w:val="SingleTxtG"/>
        <w:rPr>
          <w:strike/>
          <w:color w:val="000000" w:themeColor="text1"/>
        </w:rPr>
      </w:pPr>
      <w:r>
        <w:rPr>
          <w:strike/>
        </w:rPr>
        <w:t>(...)</w:t>
      </w:r>
    </w:p>
    <w:p w14:paraId="215B6F62" w14:textId="77777777" w:rsidR="00BA3DD6" w:rsidRPr="00EA5777" w:rsidRDefault="00BA3DD6" w:rsidP="00BA3DD6">
      <w:pPr>
        <w:pStyle w:val="SingleTxtG"/>
        <w:rPr>
          <w:strike/>
          <w:color w:val="000000" w:themeColor="text1"/>
        </w:rPr>
      </w:pPr>
      <w:r>
        <w:rPr>
          <w:strike/>
        </w:rPr>
        <w:t>Дополнительная информация по ИНПО ПX</w:t>
      </w:r>
    </w:p>
    <w:p w14:paraId="4BCCC4D6" w14:textId="77777777" w:rsidR="00BA3DD6" w:rsidRPr="00EA5777" w:rsidRDefault="00BA3DD6" w:rsidP="00BA3DD6">
      <w:pPr>
        <w:pStyle w:val="SingleTxtG"/>
        <w:tabs>
          <w:tab w:val="left" w:leader="dot" w:pos="8483"/>
        </w:tabs>
        <w:rPr>
          <w:strike/>
          <w:color w:val="000000" w:themeColor="text1"/>
        </w:rPr>
      </w:pPr>
      <w:r>
        <w:rPr>
          <w:strike/>
        </w:rPr>
        <w:t>информация о способе считывания ИНПО ПX или версии(й) программного обеспечения в том случае, если в бортовой системе транспортного средства ИНПО ПX не хранится:</w:t>
      </w:r>
      <w:r>
        <w:t xml:space="preserve"> </w:t>
      </w:r>
      <w:r>
        <w:tab/>
      </w:r>
    </w:p>
    <w:p w14:paraId="09A83577" w14:textId="77777777" w:rsidR="00BA3DD6" w:rsidRPr="00EA5777" w:rsidRDefault="00BA3DD6" w:rsidP="00BA3DD6">
      <w:pPr>
        <w:pStyle w:val="SingleTxtG"/>
        <w:tabs>
          <w:tab w:val="left" w:leader="dot" w:pos="8483"/>
        </w:tabs>
        <w:rPr>
          <w:strike/>
          <w:color w:val="000000" w:themeColor="text1"/>
        </w:rPr>
      </w:pPr>
      <w:r>
        <w:rPr>
          <w:strike/>
        </w:rPr>
        <w:t>если это применимо, перечислите соответствующие параметры, которые позволят идентифицировать те транспортные средства, обновление программного обеспечения которых может быть произведено на базе версии с указанным выше ИНПО ПХ:</w:t>
      </w:r>
      <w:r>
        <w:t xml:space="preserve"> </w:t>
      </w:r>
      <w:r>
        <w:tab/>
      </w:r>
    </w:p>
    <w:p w14:paraId="1517C30A" w14:textId="77777777" w:rsidR="00BA3DD6" w:rsidRPr="00EA5777" w:rsidRDefault="00BA3DD6" w:rsidP="001A61DE">
      <w:pPr>
        <w:pStyle w:val="SingleTxtG"/>
        <w:tabs>
          <w:tab w:val="left" w:leader="dot" w:pos="8483"/>
        </w:tabs>
        <w:spacing w:after="0"/>
        <w:jc w:val="right"/>
        <w:rPr>
          <w:b/>
          <w:bCs/>
          <w:color w:val="000000" w:themeColor="text1"/>
        </w:rPr>
      </w:pPr>
      <w:r>
        <w:rPr>
          <w:strike/>
          <w:color w:val="000000" w:themeColor="text1"/>
        </w:rPr>
        <w:t>»</w:t>
      </w:r>
    </w:p>
    <w:p w14:paraId="25FCBCB8" w14:textId="77777777" w:rsidR="00BA3DD6" w:rsidRPr="00EA5777" w:rsidRDefault="00BA3DD6" w:rsidP="001A61DE">
      <w:pPr>
        <w:pStyle w:val="HChG"/>
        <w:rPr>
          <w:color w:val="000000" w:themeColor="text1"/>
        </w:rPr>
      </w:pPr>
      <w:r>
        <w:tab/>
        <w:t>II.</w:t>
      </w:r>
      <w:r>
        <w:tab/>
        <w:t>Обоснование</w:t>
      </w:r>
    </w:p>
    <w:p w14:paraId="6BE0B216" w14:textId="423FCD1E" w:rsidR="00BA3DD6" w:rsidRPr="00EA5777" w:rsidRDefault="00BA3DD6" w:rsidP="00BA3DD6">
      <w:pPr>
        <w:pStyle w:val="SingleTxtG"/>
        <w:rPr>
          <w:color w:val="000000" w:themeColor="text1"/>
        </w:rPr>
      </w:pPr>
      <w:bookmarkStart w:id="3" w:name="_Hlk19813127"/>
      <w:r>
        <w:t>1.</w:t>
      </w:r>
      <w:r>
        <w:tab/>
        <w:t xml:space="preserve">Причина включения ссылки на приложение 7 к резолюции СР.3 в контексте системных правил состоит в том, чтобы допустить возможность идентификации соответствующего программного обеспечения применительно к данному официальному утверждению в процессе эксплуатации. В настоящее время ИНПО </w:t>
      </w:r>
      <w:proofErr w:type="spellStart"/>
      <w:r>
        <w:t>Пх</w:t>
      </w:r>
      <w:proofErr w:type="spellEnd"/>
      <w:r>
        <w:t xml:space="preserve"> используется по усмотрению изготовителя поскольку в Правилах № 156 ООН не предписывается его использование и </w:t>
      </w:r>
      <w:proofErr w:type="gramStart"/>
      <w:r>
        <w:t>поскольку</w:t>
      </w:r>
      <w:proofErr w:type="gramEnd"/>
      <w:r>
        <w:t xml:space="preserve"> в Правилах № 156</w:t>
      </w:r>
      <w:r w:rsidR="008A6922">
        <w:t> </w:t>
      </w:r>
      <w:r>
        <w:t xml:space="preserve">ООН не предусмотрено никаких требований к типу транспортного средства; если ИНПО </w:t>
      </w:r>
      <w:proofErr w:type="spellStart"/>
      <w:r>
        <w:t>Пх</w:t>
      </w:r>
      <w:proofErr w:type="spellEnd"/>
      <w:r>
        <w:t xml:space="preserve"> не будет использоваться, то не будет и никаких средств для идентификации соответствующего программного обеспечения. </w:t>
      </w:r>
    </w:p>
    <w:p w14:paraId="261CEEA1" w14:textId="73B89954" w:rsidR="00BA3DD6" w:rsidRPr="00EA5777" w:rsidRDefault="00BA3DD6" w:rsidP="00BA3DD6">
      <w:pPr>
        <w:pStyle w:val="SingleTxtG"/>
        <w:rPr>
          <w:color w:val="000000" w:themeColor="text1"/>
        </w:rPr>
      </w:pPr>
      <w:r>
        <w:t>2.</w:t>
      </w:r>
      <w:r>
        <w:tab/>
        <w:t xml:space="preserve">Нынешние формулировки СР.3 сохраняют условия факультативности, а это ограничивает возможности органов власти в плане идентификации программного обеспечения в том случае, если ИНПО </w:t>
      </w:r>
      <w:proofErr w:type="spellStart"/>
      <w:r>
        <w:t>Пх</w:t>
      </w:r>
      <w:proofErr w:type="spellEnd"/>
      <w:r>
        <w:t xml:space="preserve"> не используется. Данный недостаток </w:t>
      </w:r>
      <w:r w:rsidR="00BE162C">
        <w:br/>
      </w:r>
      <w:r>
        <w:t>был выявлен в тексте Правил №</w:t>
      </w:r>
      <w:r w:rsidR="00BE162C">
        <w:rPr>
          <w:lang w:val="fr-CH"/>
        </w:rPr>
        <w:t> </w:t>
      </w:r>
      <w:r>
        <w:t>157</w:t>
      </w:r>
      <w:r w:rsidR="00BE162C">
        <w:rPr>
          <w:lang w:val="fr-CH"/>
        </w:rPr>
        <w:t> </w:t>
      </w:r>
      <w:r>
        <w:t>ООН, где первоначально использовались формулировки СР.3, замененные впоследствии на требование об ИНПО</w:t>
      </w:r>
      <w:r w:rsidR="008A6922">
        <w:t> </w:t>
      </w:r>
      <w:proofErr w:type="spellStart"/>
      <w:r>
        <w:t>Пх</w:t>
      </w:r>
      <w:proofErr w:type="spellEnd"/>
      <w:r>
        <w:t xml:space="preserve">. </w:t>
      </w:r>
      <w:r w:rsidR="00111769">
        <w:br/>
      </w:r>
      <w:r>
        <w:t>Замена формулировок СР.3 на требование об ИНПО</w:t>
      </w:r>
      <w:r w:rsidR="008A6922">
        <w:t> </w:t>
      </w:r>
      <w:proofErr w:type="spellStart"/>
      <w:r>
        <w:t>Пх</w:t>
      </w:r>
      <w:proofErr w:type="spellEnd"/>
      <w:r>
        <w:t xml:space="preserve"> предусматривает его обязательное использование не при всех обстоятельствах, а только в контексте тех системных правил, в которых на ИНПО</w:t>
      </w:r>
      <w:r w:rsidR="008A6922">
        <w:t> </w:t>
      </w:r>
      <w:proofErr w:type="spellStart"/>
      <w:r>
        <w:t>Пх</w:t>
      </w:r>
      <w:proofErr w:type="spellEnd"/>
      <w:r>
        <w:t xml:space="preserve"> делаются ссылки. Именно эти действия</w:t>
      </w:r>
      <w:r w:rsidR="00111769">
        <w:t> </w:t>
      </w:r>
      <w:r>
        <w:t xml:space="preserve">WP.29 поручил предпринять рабочим группам, с тем чтобы выявить, в контексте каких из правил ООН необходимо предусмотреть возможность </w:t>
      </w:r>
      <w:proofErr w:type="spellStart"/>
      <w:r>
        <w:lastRenderedPageBreak/>
        <w:t>идентифицикации</w:t>
      </w:r>
      <w:proofErr w:type="spellEnd"/>
      <w:r>
        <w:t xml:space="preserve"> соответствующего программного обеспечения. В настоящее время изготовители могут использовать ИНПО </w:t>
      </w:r>
      <w:proofErr w:type="spellStart"/>
      <w:r>
        <w:t>Пх</w:t>
      </w:r>
      <w:proofErr w:type="spellEnd"/>
      <w:r>
        <w:t xml:space="preserve"> факультативно в согласованном порядке без ссылки на СР.3, так как все положения, относящиеся к нему, содержатся в Правилах № 156 ООН. Поэтому нет никакого смысла в обновлении текста СР.3 и введении ссылок на него, если не предусмотрено требования о его обязательном использовании.</w:t>
      </w:r>
    </w:p>
    <w:p w14:paraId="3EFB5B0C" w14:textId="422CDF5F" w:rsidR="00BA3DD6" w:rsidRPr="00EA5777" w:rsidRDefault="00BA3DD6" w:rsidP="00BA3DD6">
      <w:pPr>
        <w:pStyle w:val="SingleTxtG"/>
        <w:rPr>
          <w:color w:val="000000" w:themeColor="text1"/>
        </w:rPr>
      </w:pPr>
      <w:r>
        <w:t>3.</w:t>
      </w:r>
      <w:r>
        <w:tab/>
        <w:t xml:space="preserve">Следует отметить, что ИНПО </w:t>
      </w:r>
      <w:proofErr w:type="spellStart"/>
      <w:r>
        <w:t>Пх</w:t>
      </w:r>
      <w:proofErr w:type="spellEnd"/>
      <w:r>
        <w:t xml:space="preserve"> служит лишь уникальным идентификатором, который не обязательно должен быть представлен, например, в формате R79A̱ḆC̱ḎE̱. Поэтому идентификационный номер программного обеспечения ЭБУ или его элемента можно использовать в виде ИНПО </w:t>
      </w:r>
      <w:proofErr w:type="spellStart"/>
      <w:r>
        <w:t>Пх</w:t>
      </w:r>
      <w:proofErr w:type="spellEnd"/>
      <w:r>
        <w:t xml:space="preserve">. Вместе с тем уместно признать, что это маловероятно, так как в официальных утверждениях систем используются, как правило, многочисленные ЭБУ и виды программного обеспечения. Данная проблема решается благодаря тому, что ИНПО </w:t>
      </w:r>
      <w:proofErr w:type="spellStart"/>
      <w:r>
        <w:t>Пх</w:t>
      </w:r>
      <w:proofErr w:type="spellEnd"/>
      <w:r>
        <w:t xml:space="preserve"> может регистрироваться вне транс</w:t>
      </w:r>
      <w:r w:rsidR="00111769">
        <w:t>п</w:t>
      </w:r>
      <w:r>
        <w:t xml:space="preserve">ортного средства. В этом случае уникальный идентификатор ИНПО </w:t>
      </w:r>
      <w:proofErr w:type="spellStart"/>
      <w:r>
        <w:t>Пх</w:t>
      </w:r>
      <w:proofErr w:type="spellEnd"/>
      <w:r>
        <w:t xml:space="preserve"> служит с</w:t>
      </w:r>
      <w:r w:rsidR="00F20F34">
        <w:rPr>
          <w:lang w:val="en-US"/>
        </w:rPr>
        <w:t>c</w:t>
      </w:r>
      <w:proofErr w:type="spellStart"/>
      <w:r>
        <w:t>ылкой</w:t>
      </w:r>
      <w:proofErr w:type="spellEnd"/>
      <w:r>
        <w:t xml:space="preserve"> на все соответствующие версии программного обеспечения на транспортном средстве, </w:t>
      </w:r>
      <w:r w:rsidR="00111769">
        <w:br/>
      </w:r>
      <w:r>
        <w:t>хотя изготовитель при этом и должен предоставить в контролируемом реестре перечень версий программного обеспечения под данным ИНПО</w:t>
      </w:r>
      <w:r w:rsidR="008A6922">
        <w:t> </w:t>
      </w:r>
      <w:proofErr w:type="spellStart"/>
      <w:r>
        <w:t>Пх</w:t>
      </w:r>
      <w:proofErr w:type="spellEnd"/>
      <w:r>
        <w:t>. Если изготовитель использует сертифицированную СУОПО, то этот процесс следует наладить, так как существует потребность в обеспечении возможности идентифицировать программное обеспечение, относящееся к конкретному официальному утверждению, на любом транспортном средстве, официально утвержденном на основании Правил № 156 ООН.</w:t>
      </w:r>
    </w:p>
    <w:p w14:paraId="4BE0BCEA" w14:textId="6680AABF" w:rsidR="00BA3DD6" w:rsidRDefault="00BA3DD6" w:rsidP="008A6922">
      <w:pPr>
        <w:pStyle w:val="SingleTxtG"/>
      </w:pPr>
      <w:r>
        <w:t>4.</w:t>
      </w:r>
      <w:r>
        <w:tab/>
        <w:t>В настоящем предложении используются поправки, внесенные в текст дополнения 2 к Правилам № 157 ООН, где уточняется, что ИНПО</w:t>
      </w:r>
      <w:r w:rsidR="008A6922">
        <w:t> </w:t>
      </w:r>
      <w:proofErr w:type="spellStart"/>
      <w:r>
        <w:t>Пх</w:t>
      </w:r>
      <w:proofErr w:type="spellEnd"/>
      <w:r>
        <w:t xml:space="preserve"> следует использовать во всех случаях. Поправки внесены и в файл сообщения, с тем чтобы обеспечить открытый доступ к соответствующей информации об ИНПО </w:t>
      </w:r>
      <w:proofErr w:type="spellStart"/>
      <w:r>
        <w:t>Пх</w:t>
      </w:r>
      <w:proofErr w:type="spellEnd"/>
      <w:r w:rsidR="001A61DE">
        <w:t>.</w:t>
      </w:r>
    </w:p>
    <w:p w14:paraId="6D810225" w14:textId="64555062" w:rsidR="001A61DE" w:rsidRPr="001A61DE" w:rsidRDefault="001A61DE" w:rsidP="001A61DE">
      <w:pPr>
        <w:pStyle w:val="SingleTxtG"/>
        <w:spacing w:before="240" w:after="0"/>
        <w:jc w:val="center"/>
        <w:rPr>
          <w:color w:val="000000" w:themeColor="text1"/>
          <w:u w:val="single"/>
        </w:rPr>
      </w:pPr>
      <w:r>
        <w:rPr>
          <w:u w:val="single"/>
        </w:rPr>
        <w:tab/>
      </w:r>
      <w:r>
        <w:rPr>
          <w:u w:val="single"/>
        </w:rPr>
        <w:tab/>
      </w:r>
      <w:r>
        <w:rPr>
          <w:u w:val="single"/>
        </w:rPr>
        <w:tab/>
      </w:r>
    </w:p>
    <w:bookmarkEnd w:id="3"/>
    <w:sectPr w:rsidR="001A61DE" w:rsidRPr="001A61DE" w:rsidSect="00BA3DD6">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910A" w14:textId="77777777" w:rsidR="00EB5CC1" w:rsidRPr="00A312BC" w:rsidRDefault="00EB5CC1" w:rsidP="00A312BC"/>
  </w:endnote>
  <w:endnote w:type="continuationSeparator" w:id="0">
    <w:p w14:paraId="274B5BAF" w14:textId="77777777" w:rsidR="00EB5CC1" w:rsidRPr="00A312BC" w:rsidRDefault="00EB5C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633D" w14:textId="094D5901" w:rsidR="00BA3DD6" w:rsidRPr="00BA3DD6" w:rsidRDefault="00BA3DD6">
    <w:pPr>
      <w:pStyle w:val="a8"/>
    </w:pPr>
    <w:r w:rsidRPr="00BA3DD6">
      <w:rPr>
        <w:b/>
        <w:sz w:val="18"/>
      </w:rPr>
      <w:fldChar w:fldCharType="begin"/>
    </w:r>
    <w:r w:rsidRPr="00BA3DD6">
      <w:rPr>
        <w:b/>
        <w:sz w:val="18"/>
      </w:rPr>
      <w:instrText xml:space="preserve"> PAGE  \* MERGEFORMAT </w:instrText>
    </w:r>
    <w:r w:rsidRPr="00BA3DD6">
      <w:rPr>
        <w:b/>
        <w:sz w:val="18"/>
      </w:rPr>
      <w:fldChar w:fldCharType="separate"/>
    </w:r>
    <w:r w:rsidRPr="00BA3DD6">
      <w:rPr>
        <w:b/>
        <w:noProof/>
        <w:sz w:val="18"/>
      </w:rPr>
      <w:t>2</w:t>
    </w:r>
    <w:r w:rsidRPr="00BA3DD6">
      <w:rPr>
        <w:b/>
        <w:sz w:val="18"/>
      </w:rPr>
      <w:fldChar w:fldCharType="end"/>
    </w:r>
    <w:r>
      <w:rPr>
        <w:b/>
        <w:sz w:val="18"/>
      </w:rPr>
      <w:tab/>
    </w:r>
    <w:r>
      <w:t>GE.24-06602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F2" w14:textId="27DFDF02" w:rsidR="00BA3DD6" w:rsidRPr="00BA3DD6" w:rsidRDefault="00BA3DD6" w:rsidP="00BA3DD6">
    <w:pPr>
      <w:pStyle w:val="a8"/>
      <w:tabs>
        <w:tab w:val="clear" w:pos="9639"/>
        <w:tab w:val="right" w:pos="9638"/>
      </w:tabs>
      <w:rPr>
        <w:b/>
        <w:sz w:val="18"/>
      </w:rPr>
    </w:pPr>
    <w:r>
      <w:t>GE.24-06602</w:t>
    </w:r>
    <w:r>
      <w:tab/>
    </w:r>
    <w:r w:rsidRPr="00BA3DD6">
      <w:rPr>
        <w:b/>
        <w:sz w:val="18"/>
      </w:rPr>
      <w:fldChar w:fldCharType="begin"/>
    </w:r>
    <w:r w:rsidRPr="00BA3DD6">
      <w:rPr>
        <w:b/>
        <w:sz w:val="18"/>
      </w:rPr>
      <w:instrText xml:space="preserve"> PAGE  \* MERGEFORMAT </w:instrText>
    </w:r>
    <w:r w:rsidRPr="00BA3DD6">
      <w:rPr>
        <w:b/>
        <w:sz w:val="18"/>
      </w:rPr>
      <w:fldChar w:fldCharType="separate"/>
    </w:r>
    <w:r w:rsidRPr="00BA3DD6">
      <w:rPr>
        <w:b/>
        <w:noProof/>
        <w:sz w:val="18"/>
      </w:rPr>
      <w:t>3</w:t>
    </w:r>
    <w:r w:rsidRPr="00BA3D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4D4B" w14:textId="01CAFD83" w:rsidR="00042B72" w:rsidRPr="00BA3DD6" w:rsidRDefault="00BA3DD6" w:rsidP="00BA3DD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547812C" wp14:editId="0400014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24-06602  (R)</w:t>
    </w:r>
    <w:r>
      <w:rPr>
        <w:noProof/>
      </w:rPr>
      <w:drawing>
        <wp:anchor distT="0" distB="0" distL="114300" distR="114300" simplePos="0" relativeHeight="251659264" behindDoc="0" locked="0" layoutInCell="1" allowOverlap="1" wp14:anchorId="775EE3ED" wp14:editId="55E5177F">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220424  240424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38C9" w14:textId="77777777" w:rsidR="00EB5CC1" w:rsidRPr="001075E9" w:rsidRDefault="00EB5CC1" w:rsidP="001075E9">
      <w:pPr>
        <w:tabs>
          <w:tab w:val="right" w:pos="2155"/>
        </w:tabs>
        <w:spacing w:after="80" w:line="240" w:lineRule="auto"/>
        <w:ind w:left="680"/>
        <w:rPr>
          <w:u w:val="single"/>
        </w:rPr>
      </w:pPr>
      <w:r>
        <w:rPr>
          <w:u w:val="single"/>
        </w:rPr>
        <w:tab/>
      </w:r>
    </w:p>
  </w:footnote>
  <w:footnote w:type="continuationSeparator" w:id="0">
    <w:p w14:paraId="373FC1B0" w14:textId="77777777" w:rsidR="00EB5CC1" w:rsidRDefault="00EB5CC1" w:rsidP="00407B78">
      <w:pPr>
        <w:tabs>
          <w:tab w:val="right" w:pos="2155"/>
        </w:tabs>
        <w:spacing w:after="80"/>
        <w:ind w:left="680"/>
        <w:rPr>
          <w:u w:val="single"/>
        </w:rPr>
      </w:pPr>
      <w:r>
        <w:rPr>
          <w:u w:val="single"/>
        </w:rPr>
        <w:tab/>
      </w:r>
    </w:p>
  </w:footnote>
  <w:footnote w:id="1">
    <w:p w14:paraId="2B91EA28" w14:textId="1759370D" w:rsidR="00BA3DD6" w:rsidRPr="00260FB4" w:rsidRDefault="00BA3DD6" w:rsidP="00BA3DD6">
      <w:pPr>
        <w:pStyle w:val="ad"/>
      </w:pPr>
      <w:r>
        <w:tab/>
      </w:r>
      <w:r w:rsidRPr="001A61DE">
        <w:rPr>
          <w:sz w:val="20"/>
        </w:rPr>
        <w:t>*</w:t>
      </w:r>
      <w:r>
        <w:tab/>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001A61DE">
        <w:rPr>
          <w:lang w:val="en-US"/>
        </w:rPr>
        <w:t> </w:t>
      </w:r>
      <w:r>
        <w:t>20.5), Всемирный форум будет разрабатывать, согласовывать и обновлять правила</w:t>
      </w:r>
      <w:r w:rsidR="001A61DE">
        <w:rPr>
          <w:lang w:val="en-US"/>
        </w:rPr>
        <w:t> </w:t>
      </w:r>
      <w:r>
        <w:t>ООН в целях улучшения характеристик транспортных средств. Настоящий документ представлен в соответствии с этим мандатом.</w:t>
      </w:r>
    </w:p>
  </w:footnote>
  <w:footnote w:id="2">
    <w:p w14:paraId="17D0C518" w14:textId="4B19AC1E" w:rsidR="00BA3DD6" w:rsidRPr="00260FB4" w:rsidRDefault="00BA3DD6" w:rsidP="00BA3DD6">
      <w:pPr>
        <w:pStyle w:val="ad"/>
        <w:rPr>
          <w:rStyle w:val="aa"/>
        </w:rPr>
      </w:pPr>
      <w:r w:rsidRPr="00260FB4">
        <w:rPr>
          <w:rStyle w:val="aa"/>
        </w:rPr>
        <w:tab/>
      </w:r>
      <w:r>
        <w:rPr>
          <w:rStyle w:val="aa"/>
        </w:rPr>
        <w:footnoteRef/>
      </w:r>
      <w:r w:rsidRPr="00260FB4">
        <w:rPr>
          <w:rStyle w:val="aa"/>
        </w:rPr>
        <w:tab/>
      </w:r>
      <w:r w:rsidRPr="00260FB4">
        <w:rPr>
          <w:color w:val="000000"/>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r w:rsidRPr="00260FB4">
        <w:rPr>
          <w:rStyle w:val="aa"/>
        </w:rPr>
        <w:t>.</w:t>
      </w:r>
    </w:p>
  </w:footnote>
  <w:footnote w:id="3">
    <w:p w14:paraId="3F25E4EA" w14:textId="7C543EEF" w:rsidR="00BA3DD6" w:rsidRPr="00260FB4" w:rsidRDefault="00BA3DD6" w:rsidP="00BA3DD6">
      <w:pPr>
        <w:pStyle w:val="ad"/>
        <w:rPr>
          <w:rStyle w:val="aa"/>
        </w:rPr>
      </w:pPr>
      <w:r>
        <w:rPr>
          <w:rStyle w:val="aa"/>
        </w:rPr>
        <w:tab/>
      </w:r>
      <w:r>
        <w:rPr>
          <w:rStyle w:val="aa"/>
        </w:rPr>
        <w:footnoteRef/>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54E3" w14:textId="31846F90" w:rsidR="00BA3DD6" w:rsidRPr="00BA3DD6" w:rsidRDefault="009D30B5">
    <w:pPr>
      <w:pStyle w:val="a5"/>
    </w:pPr>
    <w:r>
      <w:fldChar w:fldCharType="begin"/>
    </w:r>
    <w:r>
      <w:instrText xml:space="preserve"> TITLE  \* MERGEFORMAT </w:instrText>
    </w:r>
    <w:r>
      <w:fldChar w:fldCharType="separate"/>
    </w:r>
    <w:r>
      <w:t>ECE/TRANS/WP.29/GRVA/2024/20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BAF6" w14:textId="068CB83F" w:rsidR="00BA3DD6" w:rsidRPr="00BA3DD6" w:rsidRDefault="009D30B5" w:rsidP="00BA3DD6">
    <w:pPr>
      <w:pStyle w:val="a5"/>
      <w:jc w:val="right"/>
    </w:pPr>
    <w:r>
      <w:fldChar w:fldCharType="begin"/>
    </w:r>
    <w:r>
      <w:instrText xml:space="preserve"> TITLE  \* MERGEFORMAT </w:instrText>
    </w:r>
    <w:r>
      <w:fldChar w:fldCharType="separate"/>
    </w:r>
    <w:r>
      <w:t>ECE/TRANS/WP.29/GRVA/2024/20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C1"/>
    <w:rsid w:val="00033EE1"/>
    <w:rsid w:val="00042B72"/>
    <w:rsid w:val="000558BD"/>
    <w:rsid w:val="000B57E7"/>
    <w:rsid w:val="000B6373"/>
    <w:rsid w:val="000E4E5B"/>
    <w:rsid w:val="000F09DF"/>
    <w:rsid w:val="000F61B2"/>
    <w:rsid w:val="001075E9"/>
    <w:rsid w:val="00111769"/>
    <w:rsid w:val="0014152F"/>
    <w:rsid w:val="00157992"/>
    <w:rsid w:val="00180183"/>
    <w:rsid w:val="0018024D"/>
    <w:rsid w:val="0018649F"/>
    <w:rsid w:val="00196389"/>
    <w:rsid w:val="001A61DE"/>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A6922"/>
    <w:rsid w:val="008B6909"/>
    <w:rsid w:val="008D53B6"/>
    <w:rsid w:val="008F0F09"/>
    <w:rsid w:val="008F7609"/>
    <w:rsid w:val="00906890"/>
    <w:rsid w:val="00911BE4"/>
    <w:rsid w:val="00951972"/>
    <w:rsid w:val="009608F3"/>
    <w:rsid w:val="00987A15"/>
    <w:rsid w:val="009A24AC"/>
    <w:rsid w:val="009C59D7"/>
    <w:rsid w:val="009C6FE6"/>
    <w:rsid w:val="009D30B5"/>
    <w:rsid w:val="009D7E7D"/>
    <w:rsid w:val="00A14DA8"/>
    <w:rsid w:val="00A312BC"/>
    <w:rsid w:val="00A84021"/>
    <w:rsid w:val="00A84D35"/>
    <w:rsid w:val="00A917B3"/>
    <w:rsid w:val="00AB4B51"/>
    <w:rsid w:val="00B10CC7"/>
    <w:rsid w:val="00B32CB1"/>
    <w:rsid w:val="00B36DF7"/>
    <w:rsid w:val="00B539E7"/>
    <w:rsid w:val="00B62458"/>
    <w:rsid w:val="00BA3DD6"/>
    <w:rsid w:val="00BC18B2"/>
    <w:rsid w:val="00BD33EE"/>
    <w:rsid w:val="00BE162C"/>
    <w:rsid w:val="00BE1CC7"/>
    <w:rsid w:val="00C106D6"/>
    <w:rsid w:val="00C119AE"/>
    <w:rsid w:val="00C60F0C"/>
    <w:rsid w:val="00C71E84"/>
    <w:rsid w:val="00C805C9"/>
    <w:rsid w:val="00C92939"/>
    <w:rsid w:val="00C9454E"/>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67A4"/>
    <w:rsid w:val="00E73F76"/>
    <w:rsid w:val="00E91A4A"/>
    <w:rsid w:val="00EA2C9F"/>
    <w:rsid w:val="00EA420E"/>
    <w:rsid w:val="00EB5CC1"/>
    <w:rsid w:val="00ED0BDA"/>
    <w:rsid w:val="00EE142A"/>
    <w:rsid w:val="00EF1360"/>
    <w:rsid w:val="00EF3220"/>
    <w:rsid w:val="00F20F34"/>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13A1"/>
  <w15:docId w15:val="{1C22D5C9-5EA6-4B45-AF0E-F8723B3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A3DD6"/>
    <w:rPr>
      <w:lang w:val="ru-RU" w:eastAsia="en-US"/>
    </w:rPr>
  </w:style>
  <w:style w:type="paragraph" w:customStyle="1" w:styleId="Level1">
    <w:name w:val="Level 1"/>
    <w:basedOn w:val="a"/>
    <w:rsid w:val="00BA3DD6"/>
    <w:pPr>
      <w:widowControl w:val="0"/>
      <w:numPr>
        <w:numId w:val="2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character" w:customStyle="1" w:styleId="HChGChar">
    <w:name w:val="_ H _Ch_G Char"/>
    <w:link w:val="HChG"/>
    <w:qFormat/>
    <w:rsid w:val="00BA3DD6"/>
    <w:rPr>
      <w:b/>
      <w:sz w:val="28"/>
      <w:lang w:val="ru-RU" w:eastAsia="ru-RU"/>
    </w:rPr>
  </w:style>
  <w:style w:type="character" w:customStyle="1" w:styleId="H1GChar">
    <w:name w:val="_ H_1_G Char"/>
    <w:link w:val="H1G"/>
    <w:rsid w:val="00BA3DD6"/>
    <w:rPr>
      <w:b/>
      <w:sz w:val="24"/>
      <w:lang w:val="ru-RU" w:eastAsia="ru-RU"/>
    </w:rPr>
  </w:style>
  <w:style w:type="paragraph" w:customStyle="1" w:styleId="para">
    <w:name w:val="para"/>
    <w:basedOn w:val="SingleTxtG"/>
    <w:link w:val="paraChar"/>
    <w:qFormat/>
    <w:rsid w:val="00BA3DD6"/>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BA3DD6"/>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0744F-21CB-4285-8497-19D7C9A4A72E}"/>
</file>

<file path=customXml/itemProps2.xml><?xml version="1.0" encoding="utf-8"?>
<ds:datastoreItem xmlns:ds="http://schemas.openxmlformats.org/officeDocument/2006/customXml" ds:itemID="{49256CB5-16C7-44C6-9377-B56EF7FAE8C2}"/>
</file>

<file path=docProps/app.xml><?xml version="1.0" encoding="utf-8"?>
<Properties xmlns="http://schemas.openxmlformats.org/officeDocument/2006/extended-properties" xmlns:vt="http://schemas.openxmlformats.org/officeDocument/2006/docPropsVTypes">
  <Template>ECE.dotm</Template>
  <TotalTime>1</TotalTime>
  <Pages>7</Pages>
  <Words>1741</Words>
  <Characters>12854</Characters>
  <Application>Microsoft Office Word</Application>
  <DocSecurity>0</DocSecurity>
  <Lines>292</Lines>
  <Paragraphs>105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ECE/TRANS/WP.29/GRVA/2024/20</vt:lpstr>
      <vt:lpstr>A/</vt:lpstr>
      <vt:lpstr>A/</vt:lpstr>
    </vt:vector>
  </TitlesOfParts>
  <Company>DCM</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ECE/TRANS/WP.29/GRVA/2024/20</dc:title>
  <dc:subject/>
  <dc:creator>Elena IZOTOVA</dc:creator>
  <cp:keywords/>
  <cp:lastModifiedBy>Elena Izotova</cp:lastModifiedBy>
  <cp:revision>3</cp:revision>
  <cp:lastPrinted>2024-04-24T07:40:00Z</cp:lastPrinted>
  <dcterms:created xsi:type="dcterms:W3CDTF">2024-04-24T07:40:00Z</dcterms:created>
  <dcterms:modified xsi:type="dcterms:W3CDTF">2024-04-24T07:41:00Z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