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A76DC" w14:paraId="4AF34F28" w14:textId="77777777" w:rsidTr="00C97039">
        <w:trPr>
          <w:trHeight w:hRule="exact" w:val="851"/>
        </w:trPr>
        <w:tc>
          <w:tcPr>
            <w:tcW w:w="1276" w:type="dxa"/>
            <w:tcBorders>
              <w:bottom w:val="single" w:sz="4" w:space="0" w:color="auto"/>
            </w:tcBorders>
          </w:tcPr>
          <w:p w14:paraId="06F5C9BF" w14:textId="77777777" w:rsidR="00556307" w:rsidRPr="003A76DC" w:rsidRDefault="00556307" w:rsidP="00A3029F">
            <w:pPr>
              <w:spacing w:before="120"/>
              <w:rPr>
                <w:b/>
                <w:sz w:val="24"/>
                <w:szCs w:val="24"/>
              </w:rPr>
            </w:pPr>
            <w:r w:rsidRPr="003A76DC">
              <w:rPr>
                <w:b/>
                <w:sz w:val="24"/>
                <w:szCs w:val="24"/>
              </w:rPr>
              <w:t>Forum mondial de l’harmonisation</w:t>
            </w:r>
            <w:r w:rsidRPr="003A76DC">
              <w:rPr>
                <w:b/>
                <w:sz w:val="24"/>
                <w:szCs w:val="24"/>
              </w:rPr>
              <w:br/>
              <w:t>des Règlements concernant les véhicules</w:t>
            </w:r>
          </w:p>
          <w:p w14:paraId="1E494A14" w14:textId="77777777" w:rsidR="00556307" w:rsidRPr="003A76DC" w:rsidRDefault="00556307" w:rsidP="00A3029F">
            <w:pPr>
              <w:spacing w:before="120"/>
              <w:rPr>
                <w:b/>
              </w:rPr>
            </w:pPr>
            <w:r w:rsidRPr="003A76DC">
              <w:rPr>
                <w:b/>
              </w:rPr>
              <w:t xml:space="preserve">Groupe de travail </w:t>
            </w:r>
            <w:r w:rsidRPr="003A76DC">
              <w:rPr>
                <w:rFonts w:eastAsia="Times New Roman"/>
                <w:b/>
                <w:bCs/>
              </w:rPr>
              <w:t>des véhicules automatisés/autonomes et connectés</w:t>
            </w:r>
          </w:p>
          <w:p w14:paraId="7CABA2C0" w14:textId="77777777" w:rsidR="00556307" w:rsidRPr="003A76DC" w:rsidRDefault="00556307" w:rsidP="00A3029F">
            <w:pPr>
              <w:spacing w:before="120"/>
              <w:rPr>
                <w:b/>
              </w:rPr>
            </w:pPr>
            <w:r w:rsidRPr="003A76DC">
              <w:rPr>
                <w:b/>
              </w:rPr>
              <w:t>… session</w:t>
            </w:r>
          </w:p>
          <w:p w14:paraId="5F8F9682" w14:textId="77777777" w:rsidR="00556307" w:rsidRPr="003A76DC" w:rsidRDefault="00556307" w:rsidP="00A3029F">
            <w:pPr>
              <w:spacing w:line="240" w:lineRule="exact"/>
            </w:pPr>
            <w:r w:rsidRPr="003A76DC">
              <w:t>Genève, …</w:t>
            </w:r>
          </w:p>
          <w:p w14:paraId="228DF5AF" w14:textId="77777777" w:rsidR="00556307" w:rsidRPr="003A76DC" w:rsidRDefault="00556307" w:rsidP="00A3029F">
            <w:pPr>
              <w:spacing w:line="240" w:lineRule="exact"/>
            </w:pPr>
            <w:r w:rsidRPr="003A76DC">
              <w:t>Point … de l’ordre du jour provisoire</w:t>
            </w:r>
          </w:p>
          <w:p w14:paraId="65C06AAC" w14:textId="77777777" w:rsidR="00F35BAF" w:rsidRPr="003A76DC" w:rsidRDefault="00F35BAF" w:rsidP="00556307"/>
        </w:tc>
        <w:tc>
          <w:tcPr>
            <w:tcW w:w="2268" w:type="dxa"/>
            <w:tcBorders>
              <w:bottom w:val="single" w:sz="4" w:space="0" w:color="auto"/>
            </w:tcBorders>
            <w:vAlign w:val="bottom"/>
          </w:tcPr>
          <w:p w14:paraId="21C92BD7" w14:textId="77777777" w:rsidR="00F35BAF" w:rsidRPr="003A76DC" w:rsidRDefault="00F35BAF" w:rsidP="00C97039">
            <w:pPr>
              <w:spacing w:after="80" w:line="300" w:lineRule="exact"/>
              <w:rPr>
                <w:sz w:val="28"/>
              </w:rPr>
            </w:pPr>
            <w:r w:rsidRPr="003A76DC">
              <w:rPr>
                <w:sz w:val="28"/>
              </w:rPr>
              <w:t>Nations Unies</w:t>
            </w:r>
          </w:p>
        </w:tc>
        <w:tc>
          <w:tcPr>
            <w:tcW w:w="6095" w:type="dxa"/>
            <w:gridSpan w:val="2"/>
            <w:tcBorders>
              <w:bottom w:val="single" w:sz="4" w:space="0" w:color="auto"/>
            </w:tcBorders>
            <w:vAlign w:val="bottom"/>
          </w:tcPr>
          <w:p w14:paraId="3DA3AB66" w14:textId="523BDA62" w:rsidR="00F35BAF" w:rsidRPr="003A76DC" w:rsidRDefault="00556307" w:rsidP="00556307">
            <w:pPr>
              <w:jc w:val="right"/>
            </w:pPr>
            <w:r w:rsidRPr="003A76DC">
              <w:rPr>
                <w:sz w:val="40"/>
              </w:rPr>
              <w:t>ECE</w:t>
            </w:r>
            <w:r w:rsidRPr="003A76DC">
              <w:t>/TRANS/WP.29/GRVA/2024/20</w:t>
            </w:r>
          </w:p>
        </w:tc>
      </w:tr>
      <w:tr w:rsidR="00F35BAF" w:rsidRPr="003A76DC" w14:paraId="6CCAE5B5" w14:textId="77777777" w:rsidTr="00C97039">
        <w:trPr>
          <w:trHeight w:hRule="exact" w:val="2835"/>
        </w:trPr>
        <w:tc>
          <w:tcPr>
            <w:tcW w:w="1276" w:type="dxa"/>
            <w:tcBorders>
              <w:top w:val="single" w:sz="4" w:space="0" w:color="auto"/>
              <w:bottom w:val="single" w:sz="12" w:space="0" w:color="auto"/>
            </w:tcBorders>
          </w:tcPr>
          <w:p w14:paraId="733088F8" w14:textId="77777777" w:rsidR="00F35BAF" w:rsidRPr="003A76DC" w:rsidRDefault="00F35BAF" w:rsidP="00C97039">
            <w:pPr>
              <w:spacing w:before="120"/>
              <w:jc w:val="center"/>
            </w:pPr>
            <w:r w:rsidRPr="003A76DC">
              <w:rPr>
                <w:noProof/>
                <w:lang w:eastAsia="fr-CH"/>
              </w:rPr>
              <w:drawing>
                <wp:inline distT="0" distB="0" distL="0" distR="0" wp14:anchorId="4B8B3F5D" wp14:editId="380AAA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039153" w14:textId="77777777" w:rsidR="00F35BAF" w:rsidRPr="003A76DC" w:rsidRDefault="00F35BAF" w:rsidP="00C97039">
            <w:pPr>
              <w:spacing w:before="120" w:line="420" w:lineRule="exact"/>
              <w:rPr>
                <w:b/>
                <w:sz w:val="40"/>
                <w:szCs w:val="40"/>
              </w:rPr>
            </w:pPr>
            <w:r w:rsidRPr="003A76DC">
              <w:rPr>
                <w:b/>
                <w:sz w:val="40"/>
                <w:szCs w:val="40"/>
              </w:rPr>
              <w:t>Conseil économique et social</w:t>
            </w:r>
          </w:p>
        </w:tc>
        <w:tc>
          <w:tcPr>
            <w:tcW w:w="2835" w:type="dxa"/>
            <w:tcBorders>
              <w:top w:val="single" w:sz="4" w:space="0" w:color="auto"/>
              <w:bottom w:val="single" w:sz="12" w:space="0" w:color="auto"/>
            </w:tcBorders>
          </w:tcPr>
          <w:p w14:paraId="2A36B0FF" w14:textId="77777777" w:rsidR="00F35BAF" w:rsidRPr="003A76DC" w:rsidRDefault="00556307" w:rsidP="00C97039">
            <w:pPr>
              <w:spacing w:before="240"/>
            </w:pPr>
            <w:proofErr w:type="spellStart"/>
            <w:r w:rsidRPr="003A76DC">
              <w:t>Distr</w:t>
            </w:r>
            <w:proofErr w:type="spellEnd"/>
            <w:r w:rsidRPr="003A76DC">
              <w:t>. générale</w:t>
            </w:r>
          </w:p>
          <w:p w14:paraId="04E37D94" w14:textId="77777777" w:rsidR="00556307" w:rsidRPr="003A76DC" w:rsidRDefault="00556307" w:rsidP="00556307">
            <w:pPr>
              <w:spacing w:line="240" w:lineRule="exact"/>
            </w:pPr>
            <w:r w:rsidRPr="003A76DC">
              <w:t>11 avril 2024</w:t>
            </w:r>
          </w:p>
          <w:p w14:paraId="16C2531D" w14:textId="77777777" w:rsidR="00556307" w:rsidRPr="003A76DC" w:rsidRDefault="00556307" w:rsidP="00556307">
            <w:pPr>
              <w:spacing w:line="240" w:lineRule="exact"/>
            </w:pPr>
            <w:r w:rsidRPr="003A76DC">
              <w:t>Français</w:t>
            </w:r>
          </w:p>
          <w:p w14:paraId="2BEAE11D" w14:textId="3DAC8B8F" w:rsidR="00556307" w:rsidRPr="003A76DC" w:rsidRDefault="00556307" w:rsidP="00556307">
            <w:pPr>
              <w:spacing w:line="240" w:lineRule="exact"/>
            </w:pPr>
            <w:r w:rsidRPr="003A76DC">
              <w:t>Original : anglais</w:t>
            </w:r>
          </w:p>
        </w:tc>
      </w:tr>
    </w:tbl>
    <w:p w14:paraId="3EDB383B" w14:textId="77777777" w:rsidR="007F20FA" w:rsidRPr="003A76DC" w:rsidRDefault="007F20FA" w:rsidP="007F20FA">
      <w:pPr>
        <w:spacing w:before="120"/>
        <w:rPr>
          <w:b/>
          <w:sz w:val="28"/>
          <w:szCs w:val="28"/>
        </w:rPr>
      </w:pPr>
      <w:r w:rsidRPr="003A76DC">
        <w:rPr>
          <w:b/>
          <w:sz w:val="28"/>
          <w:szCs w:val="28"/>
        </w:rPr>
        <w:t>Commission économique pour l’Europe</w:t>
      </w:r>
    </w:p>
    <w:p w14:paraId="7B09036D" w14:textId="77777777" w:rsidR="007F20FA" w:rsidRPr="003A76DC" w:rsidRDefault="007F20FA" w:rsidP="007F20FA">
      <w:pPr>
        <w:spacing w:before="120"/>
        <w:rPr>
          <w:sz w:val="28"/>
          <w:szCs w:val="28"/>
        </w:rPr>
      </w:pPr>
      <w:r w:rsidRPr="003A76DC">
        <w:rPr>
          <w:sz w:val="28"/>
          <w:szCs w:val="28"/>
        </w:rPr>
        <w:t>Comité des transports intérieurs</w:t>
      </w:r>
    </w:p>
    <w:p w14:paraId="4006C3CB" w14:textId="77777777" w:rsidR="00556307" w:rsidRPr="003A76DC" w:rsidRDefault="00556307" w:rsidP="00A3029F">
      <w:pPr>
        <w:spacing w:before="120"/>
        <w:rPr>
          <w:b/>
          <w:sz w:val="24"/>
          <w:szCs w:val="24"/>
        </w:rPr>
      </w:pPr>
      <w:r w:rsidRPr="003A76DC">
        <w:rPr>
          <w:b/>
          <w:sz w:val="24"/>
          <w:szCs w:val="24"/>
        </w:rPr>
        <w:t>Forum mondial de l’harmonisation</w:t>
      </w:r>
      <w:r w:rsidRPr="003A76DC">
        <w:rPr>
          <w:b/>
          <w:sz w:val="24"/>
          <w:szCs w:val="24"/>
        </w:rPr>
        <w:br/>
        <w:t>des Règlements concernant les véhicules</w:t>
      </w:r>
    </w:p>
    <w:p w14:paraId="5E9212EB" w14:textId="77777777" w:rsidR="00556307" w:rsidRPr="003A76DC" w:rsidRDefault="00556307" w:rsidP="00A3029F">
      <w:pPr>
        <w:spacing w:before="120"/>
        <w:rPr>
          <w:b/>
        </w:rPr>
      </w:pPr>
      <w:r w:rsidRPr="003A76DC">
        <w:rPr>
          <w:b/>
        </w:rPr>
        <w:t xml:space="preserve">Groupe de travail </w:t>
      </w:r>
      <w:r w:rsidRPr="003A76DC">
        <w:rPr>
          <w:rFonts w:eastAsia="Times New Roman"/>
          <w:b/>
          <w:bCs/>
        </w:rPr>
        <w:t>des véhicules automatisés/autonomes et connectés</w:t>
      </w:r>
    </w:p>
    <w:p w14:paraId="544D6F4E" w14:textId="77777777" w:rsidR="00556307" w:rsidRPr="003A76DC" w:rsidRDefault="00556307" w:rsidP="00556307">
      <w:pPr>
        <w:spacing w:before="120"/>
        <w:rPr>
          <w:b/>
          <w:lang w:val="fr-FR"/>
        </w:rPr>
      </w:pPr>
      <w:r w:rsidRPr="003A76DC">
        <w:rPr>
          <w:b/>
          <w:bCs/>
          <w:lang w:val="fr-FR"/>
        </w:rPr>
        <w:t>Dix-neuvième session</w:t>
      </w:r>
    </w:p>
    <w:p w14:paraId="39B3DB0A" w14:textId="77777777" w:rsidR="00556307" w:rsidRPr="003A76DC" w:rsidRDefault="00556307" w:rsidP="00556307">
      <w:pPr>
        <w:rPr>
          <w:lang w:val="fr-FR"/>
        </w:rPr>
      </w:pPr>
      <w:r w:rsidRPr="003A76DC">
        <w:rPr>
          <w:lang w:val="fr-FR"/>
        </w:rPr>
        <w:t>Genève, 25 juin 2024</w:t>
      </w:r>
    </w:p>
    <w:p w14:paraId="43E6ECBE" w14:textId="77777777" w:rsidR="00556307" w:rsidRPr="003A76DC" w:rsidRDefault="00556307" w:rsidP="00556307">
      <w:pPr>
        <w:rPr>
          <w:lang w:val="fr-FR"/>
        </w:rPr>
      </w:pPr>
      <w:r w:rsidRPr="003A76DC">
        <w:rPr>
          <w:lang w:val="fr-FR"/>
        </w:rPr>
        <w:t>Point 5 a) de l’ordre du jour provisoire</w:t>
      </w:r>
    </w:p>
    <w:p w14:paraId="0D151443" w14:textId="77777777" w:rsidR="00556307" w:rsidRPr="003A76DC" w:rsidRDefault="00556307" w:rsidP="00556307">
      <w:pPr>
        <w:rPr>
          <w:b/>
          <w:bCs/>
          <w:lang w:val="fr-FR"/>
        </w:rPr>
      </w:pPr>
      <w:r w:rsidRPr="003A76DC">
        <w:rPr>
          <w:b/>
          <w:bCs/>
          <w:lang w:val="fr-FR"/>
        </w:rPr>
        <w:t>Véhicules connectés :</w:t>
      </w:r>
    </w:p>
    <w:p w14:paraId="7CB6FCA4" w14:textId="77777777" w:rsidR="00556307" w:rsidRPr="003A76DC" w:rsidRDefault="00556307" w:rsidP="00556307">
      <w:pPr>
        <w:rPr>
          <w:b/>
          <w:bCs/>
          <w:lang w:val="fr-FR"/>
        </w:rPr>
      </w:pPr>
      <w:r w:rsidRPr="003A76DC">
        <w:rPr>
          <w:b/>
          <w:bCs/>
          <w:lang w:val="fr-FR"/>
        </w:rPr>
        <w:t>Cybersécurité, mises à jour logicielles et transmissions sans fil</w:t>
      </w:r>
    </w:p>
    <w:p w14:paraId="13072986" w14:textId="77777777" w:rsidR="00556307" w:rsidRPr="003A76DC" w:rsidRDefault="00556307" w:rsidP="007F3532">
      <w:pPr>
        <w:pStyle w:val="HChG"/>
        <w:rPr>
          <w:lang w:val="fr-FR"/>
        </w:rPr>
      </w:pPr>
      <w:r w:rsidRPr="003A76DC">
        <w:rPr>
          <w:lang w:val="fr-FR"/>
        </w:rPr>
        <w:tab/>
      </w:r>
      <w:r w:rsidRPr="003A76DC">
        <w:rPr>
          <w:lang w:val="fr-FR"/>
        </w:rPr>
        <w:tab/>
        <w:t>Proposition d’amendements à l’annexe 7 de la Résolution d’ensemble sur la construction des véhicules (R.E.3)</w:t>
      </w:r>
    </w:p>
    <w:p w14:paraId="14D0BC98" w14:textId="6A94BCD3" w:rsidR="00556307" w:rsidRPr="003A76DC" w:rsidRDefault="00556307" w:rsidP="007F3532">
      <w:pPr>
        <w:pStyle w:val="H1G"/>
        <w:rPr>
          <w:szCs w:val="24"/>
          <w:lang w:val="fr-FR"/>
        </w:rPr>
      </w:pPr>
      <w:r w:rsidRPr="003A76DC">
        <w:rPr>
          <w:lang w:val="fr-FR"/>
        </w:rPr>
        <w:tab/>
      </w:r>
      <w:r w:rsidRPr="003A76DC">
        <w:rPr>
          <w:lang w:val="fr-FR"/>
        </w:rPr>
        <w:tab/>
        <w:t xml:space="preserve">Communication de l’expert du Royaume-Uni de Grande-Bretagne </w:t>
      </w:r>
      <w:r w:rsidR="007F3532" w:rsidRPr="003A76DC">
        <w:rPr>
          <w:lang w:val="fr-FR"/>
        </w:rPr>
        <w:br/>
      </w:r>
      <w:r w:rsidRPr="003A76DC">
        <w:rPr>
          <w:lang w:val="fr-FR"/>
        </w:rPr>
        <w:t>et d’Irlande du Nord</w:t>
      </w:r>
      <w:r w:rsidRPr="003A76DC">
        <w:rPr>
          <w:rStyle w:val="Appelnotedebasdep"/>
          <w:b w:val="0"/>
          <w:bCs/>
          <w:sz w:val="20"/>
          <w:vertAlign w:val="baseline"/>
          <w:lang w:val="fr-FR"/>
        </w:rPr>
        <w:footnoteReference w:customMarkFollows="1" w:id="2"/>
        <w:t>*</w:t>
      </w:r>
    </w:p>
    <w:p w14:paraId="26DFCE90" w14:textId="286F6E58" w:rsidR="00556307" w:rsidRPr="003A76DC" w:rsidRDefault="00556307" w:rsidP="007F3532">
      <w:pPr>
        <w:pStyle w:val="SingleTxtG"/>
        <w:ind w:firstLine="567"/>
        <w:rPr>
          <w:lang w:val="fr-FR"/>
        </w:rPr>
      </w:pPr>
      <w:r w:rsidRPr="003A76DC">
        <w:rPr>
          <w:lang w:val="fr-FR"/>
        </w:rPr>
        <w:tab/>
        <w:t>Le texte ci-après, établi par l’expert du Royaume-Uni de Grande-Bretagne et d’Irlande du Nord et visant à clarifier les dispositions de l’annexe 7 de la Résolution d’ensemble sur la construction des véhicules (R.E.3), est fondé sur le document informel</w:t>
      </w:r>
      <w:r w:rsidR="007F3532" w:rsidRPr="003A76DC">
        <w:rPr>
          <w:lang w:val="fr-FR"/>
        </w:rPr>
        <w:t xml:space="preserve"> </w:t>
      </w:r>
      <w:r w:rsidRPr="003A76DC">
        <w:rPr>
          <w:lang w:val="fr-FR"/>
        </w:rPr>
        <w:t>GRVA-17-27. Les</w:t>
      </w:r>
      <w:r w:rsidR="007F3532" w:rsidRPr="003A76DC">
        <w:rPr>
          <w:lang w:val="fr-FR"/>
        </w:rPr>
        <w:t> </w:t>
      </w:r>
      <w:r w:rsidRPr="003A76DC">
        <w:rPr>
          <w:lang w:val="fr-FR"/>
        </w:rPr>
        <w:t>modifications qu’il est proposé d’apporter au texte actuel de la Résolution d’ensemble figurent en caractères gras pour les ajouts et biffés pour les suppressions.</w:t>
      </w:r>
    </w:p>
    <w:p w14:paraId="73043EC1" w14:textId="77777777" w:rsidR="00556307" w:rsidRPr="003A76DC" w:rsidRDefault="00556307" w:rsidP="00556307">
      <w:pPr>
        <w:suppressAutoHyphens w:val="0"/>
        <w:spacing w:line="240" w:lineRule="auto"/>
        <w:rPr>
          <w:b/>
          <w:sz w:val="28"/>
          <w:lang w:val="fr-FR"/>
        </w:rPr>
      </w:pPr>
      <w:r w:rsidRPr="003A76DC">
        <w:rPr>
          <w:lang w:val="fr-FR"/>
        </w:rPr>
        <w:br w:type="page"/>
      </w:r>
    </w:p>
    <w:p w14:paraId="04E86728" w14:textId="77777777" w:rsidR="00556307" w:rsidRPr="003A76DC" w:rsidRDefault="00556307" w:rsidP="007F3532">
      <w:pPr>
        <w:pStyle w:val="HChG"/>
        <w:rPr>
          <w:lang w:val="fr-FR"/>
        </w:rPr>
      </w:pPr>
      <w:r w:rsidRPr="003A76DC">
        <w:rPr>
          <w:lang w:val="fr-FR"/>
        </w:rPr>
        <w:lastRenderedPageBreak/>
        <w:tab/>
        <w:t>I.</w:t>
      </w:r>
      <w:r w:rsidRPr="003A76DC">
        <w:rPr>
          <w:lang w:val="fr-FR"/>
        </w:rPr>
        <w:tab/>
        <w:t>Proposition</w:t>
      </w:r>
    </w:p>
    <w:p w14:paraId="62CA1284" w14:textId="77777777" w:rsidR="00556307" w:rsidRPr="003A76DC" w:rsidRDefault="00556307" w:rsidP="00556307">
      <w:pPr>
        <w:pStyle w:val="SingleTxtG"/>
        <w:rPr>
          <w:lang w:val="fr-FR"/>
        </w:rPr>
      </w:pPr>
      <w:r w:rsidRPr="003A76DC">
        <w:rPr>
          <w:i/>
          <w:iCs/>
          <w:lang w:val="fr-FR"/>
        </w:rPr>
        <w:t>Annexe 7</w:t>
      </w:r>
      <w:r w:rsidRPr="003A76DC">
        <w:rPr>
          <w:lang w:val="fr-FR"/>
        </w:rPr>
        <w:t>, lire :</w:t>
      </w:r>
    </w:p>
    <w:p w14:paraId="7D353980" w14:textId="77777777" w:rsidR="00556307" w:rsidRPr="003A76DC" w:rsidRDefault="00556307" w:rsidP="00556307">
      <w:pPr>
        <w:pStyle w:val="HChG"/>
        <w:rPr>
          <w:lang w:val="fr-FR"/>
        </w:rPr>
      </w:pPr>
      <w:r w:rsidRPr="003A76DC">
        <w:rPr>
          <w:b w:val="0"/>
          <w:bCs/>
          <w:sz w:val="20"/>
          <w:lang w:val="fr-FR"/>
        </w:rPr>
        <w:t>«</w:t>
      </w:r>
      <w:r w:rsidRPr="003A76DC">
        <w:rPr>
          <w:b w:val="0"/>
          <w:bCs/>
          <w:lang w:val="fr-FR"/>
        </w:rPr>
        <w:t> </w:t>
      </w:r>
      <w:r w:rsidRPr="003A76DC">
        <w:rPr>
          <w:bCs/>
          <w:lang w:val="fr-FR"/>
        </w:rPr>
        <w:t>Annexe 7</w:t>
      </w:r>
    </w:p>
    <w:p w14:paraId="7DEBE4BF" w14:textId="58D9C875" w:rsidR="00556307" w:rsidRPr="003A76DC" w:rsidRDefault="00556307" w:rsidP="00556307">
      <w:pPr>
        <w:pStyle w:val="HChG"/>
        <w:rPr>
          <w:color w:val="000000" w:themeColor="text1"/>
          <w:lang w:val="fr-FR"/>
        </w:rPr>
      </w:pPr>
      <w:r w:rsidRPr="003A76DC">
        <w:rPr>
          <w:lang w:val="fr-FR"/>
        </w:rPr>
        <w:tab/>
      </w:r>
      <w:r w:rsidRPr="003A76DC">
        <w:rPr>
          <w:lang w:val="fr-FR"/>
        </w:rPr>
        <w:tab/>
      </w:r>
      <w:r w:rsidRPr="003A76DC">
        <w:rPr>
          <w:bCs/>
          <w:lang w:val="fr-FR"/>
        </w:rPr>
        <w:t xml:space="preserve">Dispositions relatives aux codes pour l’identification </w:t>
      </w:r>
      <w:r w:rsidR="007F3532" w:rsidRPr="003A76DC">
        <w:rPr>
          <w:bCs/>
          <w:lang w:val="fr-FR"/>
        </w:rPr>
        <w:br/>
      </w:r>
      <w:r w:rsidRPr="003A76DC">
        <w:rPr>
          <w:bCs/>
          <w:lang w:val="fr-FR"/>
        </w:rPr>
        <w:t>des logiciels</w:t>
      </w:r>
    </w:p>
    <w:p w14:paraId="5DB38053" w14:textId="77777777" w:rsidR="00556307" w:rsidRPr="003A76DC" w:rsidRDefault="00556307" w:rsidP="00556307">
      <w:pPr>
        <w:pStyle w:val="HChG"/>
        <w:ind w:left="2268"/>
        <w:rPr>
          <w:color w:val="000000" w:themeColor="text1"/>
          <w:lang w:val="fr-FR"/>
        </w:rPr>
      </w:pPr>
      <w:r w:rsidRPr="003A76DC">
        <w:rPr>
          <w:bCs/>
          <w:strike/>
          <w:lang w:val="fr-FR"/>
        </w:rPr>
        <w:t>I</w:t>
      </w:r>
      <w:r w:rsidRPr="003A76DC">
        <w:rPr>
          <w:bCs/>
          <w:lang w:val="fr-FR"/>
        </w:rPr>
        <w:t>1.</w:t>
      </w:r>
      <w:r w:rsidRPr="003A76DC">
        <w:rPr>
          <w:lang w:val="fr-FR"/>
        </w:rPr>
        <w:tab/>
      </w:r>
      <w:r w:rsidRPr="003A76DC">
        <w:rPr>
          <w:lang w:val="fr-FR"/>
        </w:rPr>
        <w:tab/>
      </w:r>
      <w:r w:rsidRPr="003A76DC">
        <w:rPr>
          <w:bCs/>
          <w:lang w:val="fr-FR"/>
        </w:rPr>
        <w:t>Introduction</w:t>
      </w:r>
    </w:p>
    <w:p w14:paraId="4A4EE39E" w14:textId="04E55D19" w:rsidR="00556307" w:rsidRPr="003A76DC" w:rsidRDefault="00556307" w:rsidP="00556307">
      <w:pPr>
        <w:pStyle w:val="SingleTxtG"/>
        <w:ind w:left="2268"/>
        <w:rPr>
          <w:color w:val="000000" w:themeColor="text1"/>
          <w:lang w:val="fr-FR"/>
        </w:rPr>
      </w:pPr>
      <w:r w:rsidRPr="003A76DC">
        <w:rPr>
          <w:lang w:val="fr-FR"/>
        </w:rPr>
        <w:t>Le Règlement ONU n</w:t>
      </w:r>
      <w:r w:rsidRPr="003A76DC">
        <w:rPr>
          <w:vertAlign w:val="superscript"/>
          <w:lang w:val="fr-FR"/>
        </w:rPr>
        <w:t>o</w:t>
      </w:r>
      <w:r w:rsidRPr="003A76DC">
        <w:rPr>
          <w:lang w:val="fr-FR"/>
        </w:rPr>
        <w:t> </w:t>
      </w:r>
      <w:r w:rsidRPr="003A76DC">
        <w:rPr>
          <w:b/>
          <w:bCs/>
          <w:lang w:val="fr-FR"/>
        </w:rPr>
        <w:t>156</w:t>
      </w:r>
      <w:r w:rsidRPr="003A76DC">
        <w:rPr>
          <w:lang w:val="fr-FR"/>
        </w:rPr>
        <w:t xml:space="preserve"> </w:t>
      </w:r>
      <w:r w:rsidRPr="003A76DC">
        <w:rPr>
          <w:strike/>
          <w:lang w:val="fr-FR"/>
        </w:rPr>
        <w:t>[15…]</w:t>
      </w:r>
      <w:r w:rsidRPr="003A76DC">
        <w:rPr>
          <w:lang w:val="fr-FR"/>
        </w:rPr>
        <w:t>, énonçant des prescriptions uniformes relatives à l’homologation des véhicules en ce qui concerne les mises à jour logicielles et le système de gestion des mises à jour logicielles, définit le “</w:t>
      </w:r>
      <w:r w:rsidRPr="003A76DC">
        <w:rPr>
          <w:i/>
          <w:iCs/>
          <w:lang w:val="fr-FR"/>
        </w:rPr>
        <w:t xml:space="preserve">code RXSWIN (RX Software Identification </w:t>
      </w:r>
      <w:proofErr w:type="spellStart"/>
      <w:r w:rsidRPr="003A76DC">
        <w:rPr>
          <w:i/>
          <w:iCs/>
          <w:lang w:val="fr-FR"/>
        </w:rPr>
        <w:t>Number</w:t>
      </w:r>
      <w:proofErr w:type="spellEnd"/>
      <w:r w:rsidRPr="003A76DC">
        <w:rPr>
          <w:i/>
          <w:iCs/>
          <w:lang w:val="fr-FR"/>
        </w:rPr>
        <w:t xml:space="preserve"> − RX Numéro d’identification du logiciel</w:t>
      </w:r>
      <w:r w:rsidR="007F3532" w:rsidRPr="003A76DC">
        <w:rPr>
          <w:i/>
          <w:iCs/>
          <w:lang w:val="fr-FR"/>
        </w:rPr>
        <w:t>)</w:t>
      </w:r>
      <w:r w:rsidRPr="003A76DC">
        <w:rPr>
          <w:lang w:val="fr-FR"/>
        </w:rPr>
        <w:t>” comme étant le code attribué par le constructeur du véhicule, associé aux informations concernant le logiciel du système de commande électronique, soumis à homologation et faisant partie intégrante des caractéristiques du véhicule pertinentes dans le cadre de son homologation de type au titre du Règlement ONU n</w:t>
      </w:r>
      <w:r w:rsidRPr="003A76DC">
        <w:rPr>
          <w:vertAlign w:val="superscript"/>
          <w:lang w:val="fr-FR"/>
        </w:rPr>
        <w:t>o</w:t>
      </w:r>
      <w:r w:rsidRPr="003A76DC">
        <w:rPr>
          <w:lang w:val="fr-FR"/>
        </w:rPr>
        <w:t xml:space="preserve"> X.</w:t>
      </w:r>
    </w:p>
    <w:p w14:paraId="4F7EFAB7" w14:textId="77777777" w:rsidR="00556307" w:rsidRPr="003A76DC" w:rsidRDefault="00556307" w:rsidP="00556307">
      <w:pPr>
        <w:pStyle w:val="SingleTxtG"/>
        <w:ind w:left="2268"/>
        <w:rPr>
          <w:strike/>
          <w:color w:val="000000" w:themeColor="text1"/>
          <w:lang w:val="fr-FR"/>
        </w:rPr>
      </w:pPr>
      <w:r w:rsidRPr="003A76DC">
        <w:rPr>
          <w:lang w:val="fr-FR"/>
        </w:rPr>
        <w:t>Pour utiliser le code RX</w:t>
      </w:r>
      <w:r w:rsidRPr="003A76DC">
        <w:rPr>
          <w:b/>
          <w:bCs/>
          <w:lang w:val="fr-FR"/>
        </w:rPr>
        <w:t>S</w:t>
      </w:r>
      <w:r w:rsidRPr="003A76DC">
        <w:rPr>
          <w:lang w:val="fr-FR"/>
        </w:rPr>
        <w:t xml:space="preserve">WIN, les Règlements ONU concernés </w:t>
      </w:r>
      <w:r w:rsidRPr="003A76DC">
        <w:rPr>
          <w:strike/>
          <w:lang w:val="fr-FR"/>
        </w:rPr>
        <w:t>peuvent</w:t>
      </w:r>
      <w:r w:rsidRPr="003A76DC">
        <w:rPr>
          <w:b/>
          <w:bCs/>
          <w:lang w:val="fr-FR"/>
        </w:rPr>
        <w:t xml:space="preserve"> doivent </w:t>
      </w:r>
      <w:r w:rsidRPr="003A76DC">
        <w:rPr>
          <w:lang w:val="fr-FR"/>
        </w:rPr>
        <w:t>faire référence</w:t>
      </w:r>
      <w:r w:rsidRPr="003A76DC">
        <w:rPr>
          <w:strike/>
          <w:lang w:val="fr-FR"/>
        </w:rPr>
        <w:t>, par incorporation,</w:t>
      </w:r>
      <w:r w:rsidRPr="003A76DC">
        <w:rPr>
          <w:lang w:val="fr-FR"/>
        </w:rPr>
        <w:t xml:space="preserve"> à la présente annexe de façon à introduire les définitions et dispositions </w:t>
      </w:r>
      <w:r w:rsidRPr="003A76DC">
        <w:rPr>
          <w:strike/>
          <w:lang w:val="fr-FR"/>
        </w:rPr>
        <w:t>ci-après</w:t>
      </w:r>
      <w:r w:rsidRPr="003A76DC">
        <w:rPr>
          <w:lang w:val="fr-FR"/>
        </w:rPr>
        <w:t xml:space="preserve"> </w:t>
      </w:r>
      <w:r w:rsidRPr="003A76DC">
        <w:rPr>
          <w:b/>
          <w:bCs/>
          <w:lang w:val="fr-FR"/>
        </w:rPr>
        <w:t>pertinentes</w:t>
      </w:r>
      <w:r w:rsidRPr="003A76DC">
        <w:rPr>
          <w:lang w:val="fr-FR"/>
        </w:rPr>
        <w:t xml:space="preserve">. </w:t>
      </w:r>
    </w:p>
    <w:p w14:paraId="556521E9" w14:textId="77777777" w:rsidR="00556307" w:rsidRPr="003A76DC" w:rsidRDefault="00556307" w:rsidP="00556307">
      <w:pPr>
        <w:pStyle w:val="HChG"/>
        <w:rPr>
          <w:color w:val="000000" w:themeColor="text1"/>
          <w:lang w:val="fr-FR"/>
        </w:rPr>
      </w:pPr>
      <w:r w:rsidRPr="003A76DC">
        <w:rPr>
          <w:lang w:val="fr-FR"/>
        </w:rPr>
        <w:tab/>
      </w:r>
      <w:r w:rsidRPr="003A76DC">
        <w:rPr>
          <w:lang w:val="fr-FR"/>
        </w:rPr>
        <w:tab/>
      </w:r>
      <w:r w:rsidRPr="003A76DC">
        <w:rPr>
          <w:strike/>
          <w:lang w:val="fr-FR"/>
        </w:rPr>
        <w:t>II</w:t>
      </w:r>
      <w:r w:rsidRPr="003A76DC">
        <w:rPr>
          <w:bCs/>
          <w:lang w:val="fr-FR"/>
        </w:rPr>
        <w:t>2.</w:t>
      </w:r>
      <w:r w:rsidRPr="003A76DC">
        <w:rPr>
          <w:lang w:val="fr-FR"/>
        </w:rPr>
        <w:tab/>
      </w:r>
      <w:r w:rsidRPr="003A76DC">
        <w:rPr>
          <w:lang w:val="fr-FR"/>
        </w:rPr>
        <w:tab/>
      </w:r>
      <w:r w:rsidRPr="003A76DC">
        <w:rPr>
          <w:bCs/>
          <w:lang w:val="fr-FR"/>
        </w:rPr>
        <w:t>Définitions</w:t>
      </w:r>
    </w:p>
    <w:p w14:paraId="23D2C2E9" w14:textId="77777777" w:rsidR="00556307" w:rsidRPr="003A76DC" w:rsidRDefault="00556307" w:rsidP="00556307">
      <w:pPr>
        <w:pStyle w:val="SingleTxtG"/>
        <w:ind w:left="2268"/>
        <w:rPr>
          <w:color w:val="000000" w:themeColor="text1"/>
          <w:lang w:val="fr-FR"/>
        </w:rPr>
      </w:pPr>
      <w:r w:rsidRPr="003A76DC">
        <w:rPr>
          <w:lang w:val="fr-FR"/>
        </w:rPr>
        <w:t>Aux fins de la présente Résolution d’ensemble et des Règlements ONU qui font référence à la présente annexe :</w:t>
      </w:r>
    </w:p>
    <w:p w14:paraId="678C2142" w14:textId="6EF990C1" w:rsidR="00556307" w:rsidRPr="003A76DC" w:rsidRDefault="00556307" w:rsidP="00556307">
      <w:pPr>
        <w:pStyle w:val="SingleTxtG"/>
        <w:ind w:left="2268" w:hanging="1134"/>
        <w:rPr>
          <w:b/>
          <w:bCs/>
          <w:color w:val="000000" w:themeColor="text1"/>
          <w:lang w:val="fr-FR"/>
        </w:rPr>
      </w:pPr>
      <w:r w:rsidRPr="003A76DC">
        <w:rPr>
          <w:lang w:val="fr-FR"/>
        </w:rPr>
        <w:t>2.1</w:t>
      </w:r>
      <w:r w:rsidRPr="003A76DC">
        <w:rPr>
          <w:lang w:val="fr-FR"/>
        </w:rPr>
        <w:tab/>
        <w:t>“</w:t>
      </w:r>
      <w:r w:rsidRPr="003A76DC">
        <w:rPr>
          <w:i/>
          <w:iCs/>
          <w:lang w:val="fr-FR"/>
        </w:rPr>
        <w:t>Code R</w:t>
      </w:r>
      <w:r w:rsidRPr="003A76DC">
        <w:rPr>
          <w:b/>
          <w:bCs/>
          <w:i/>
          <w:iCs/>
          <w:lang w:val="fr-FR"/>
        </w:rPr>
        <w:t>[</w:t>
      </w:r>
      <w:r w:rsidRPr="003A76DC">
        <w:rPr>
          <w:i/>
          <w:iCs/>
          <w:lang w:val="fr-FR"/>
        </w:rPr>
        <w:t>X</w:t>
      </w:r>
      <w:r w:rsidRPr="003A76DC">
        <w:rPr>
          <w:b/>
          <w:bCs/>
          <w:i/>
          <w:iCs/>
          <w:lang w:val="fr-FR"/>
        </w:rPr>
        <w:t>]</w:t>
      </w:r>
      <w:r w:rsidRPr="003A76DC">
        <w:rPr>
          <w:i/>
          <w:iCs/>
          <w:lang w:val="fr-FR"/>
        </w:rPr>
        <w:t>SWIN (R</w:t>
      </w:r>
      <w:r w:rsidRPr="003A76DC">
        <w:rPr>
          <w:b/>
          <w:bCs/>
          <w:i/>
          <w:iCs/>
          <w:lang w:val="fr-FR"/>
        </w:rPr>
        <w:t>[</w:t>
      </w:r>
      <w:r w:rsidRPr="003A76DC">
        <w:rPr>
          <w:i/>
          <w:iCs/>
          <w:lang w:val="fr-FR"/>
        </w:rPr>
        <w:t>X</w:t>
      </w:r>
      <w:r w:rsidRPr="003A76DC">
        <w:rPr>
          <w:b/>
          <w:bCs/>
          <w:i/>
          <w:iCs/>
          <w:lang w:val="fr-FR"/>
        </w:rPr>
        <w:t>]</w:t>
      </w:r>
      <w:r w:rsidRPr="003A76DC">
        <w:rPr>
          <w:i/>
          <w:iCs/>
          <w:lang w:val="fr-FR"/>
        </w:rPr>
        <w:t xml:space="preserve"> Software Identification </w:t>
      </w:r>
      <w:proofErr w:type="spellStart"/>
      <w:r w:rsidRPr="003A76DC">
        <w:rPr>
          <w:i/>
          <w:iCs/>
          <w:lang w:val="fr-FR"/>
        </w:rPr>
        <w:t>Number</w:t>
      </w:r>
      <w:proofErr w:type="spellEnd"/>
      <w:r w:rsidRPr="003A76DC">
        <w:rPr>
          <w:i/>
          <w:iCs/>
          <w:lang w:val="fr-FR"/>
        </w:rPr>
        <w:t xml:space="preserve"> − R</w:t>
      </w:r>
      <w:r w:rsidRPr="003A76DC">
        <w:rPr>
          <w:b/>
          <w:bCs/>
          <w:i/>
          <w:iCs/>
          <w:lang w:val="fr-FR"/>
        </w:rPr>
        <w:t>[</w:t>
      </w:r>
      <w:r w:rsidRPr="003A76DC">
        <w:rPr>
          <w:i/>
          <w:iCs/>
          <w:lang w:val="fr-FR"/>
        </w:rPr>
        <w:t>X</w:t>
      </w:r>
      <w:r w:rsidRPr="003A76DC">
        <w:rPr>
          <w:b/>
          <w:bCs/>
          <w:i/>
          <w:iCs/>
          <w:lang w:val="fr-FR"/>
        </w:rPr>
        <w:t>]</w:t>
      </w:r>
      <w:r w:rsidRPr="003A76DC">
        <w:rPr>
          <w:i/>
          <w:iCs/>
          <w:lang w:val="fr-FR"/>
        </w:rPr>
        <w:t xml:space="preserve"> Numéro d’identification du logiciel</w:t>
      </w:r>
      <w:r w:rsidRPr="003A76DC">
        <w:rPr>
          <w:lang w:val="fr-FR"/>
        </w:rPr>
        <w:t>)” désigne le code attribué par le constructeur du véhicule, associé aux informations concernant le logiciel du système de commande électronique, soumis à homologation et faisant partie intégrante des caractéristiques du véhicule pertinentes dans le cadre de son homologation de type au titre du Règlement ONU n</w:t>
      </w:r>
      <w:r w:rsidRPr="003A76DC">
        <w:rPr>
          <w:vertAlign w:val="superscript"/>
          <w:lang w:val="fr-FR"/>
        </w:rPr>
        <w:t>o</w:t>
      </w:r>
      <w:r w:rsidR="007F3532" w:rsidRPr="003A76DC">
        <w:rPr>
          <w:lang w:val="fr-FR"/>
        </w:rPr>
        <w:t> </w:t>
      </w:r>
      <w:r w:rsidRPr="003A76DC">
        <w:rPr>
          <w:b/>
          <w:bCs/>
          <w:lang w:val="fr-FR"/>
        </w:rPr>
        <w:t>[</w:t>
      </w:r>
      <w:r w:rsidRPr="003A76DC">
        <w:rPr>
          <w:lang w:val="fr-FR"/>
        </w:rPr>
        <w:t>X</w:t>
      </w:r>
      <w:r w:rsidRPr="003A76DC">
        <w:rPr>
          <w:b/>
          <w:bCs/>
          <w:lang w:val="fr-FR"/>
        </w:rPr>
        <w:t>]</w:t>
      </w:r>
      <w:r w:rsidRPr="003A76DC">
        <w:rPr>
          <w:lang w:val="fr-FR"/>
        </w:rPr>
        <w:t xml:space="preserve">. </w:t>
      </w:r>
      <w:r w:rsidRPr="003A76DC">
        <w:rPr>
          <w:b/>
          <w:bCs/>
          <w:lang w:val="fr-FR"/>
        </w:rPr>
        <w:t>[X] est le numéro du Règlement ONU qui fait référence aux dispositions de la présente annexe.</w:t>
      </w:r>
    </w:p>
    <w:p w14:paraId="05E4DF29" w14:textId="77777777" w:rsidR="00556307" w:rsidRPr="003A76DC" w:rsidRDefault="00556307" w:rsidP="00556307">
      <w:pPr>
        <w:pStyle w:val="SingleTxtG"/>
        <w:ind w:left="2268" w:hanging="1134"/>
        <w:rPr>
          <w:color w:val="000000" w:themeColor="text1"/>
          <w:lang w:val="fr-FR"/>
        </w:rPr>
      </w:pPr>
      <w:r w:rsidRPr="003A76DC">
        <w:rPr>
          <w:lang w:val="fr-FR"/>
        </w:rPr>
        <w:t xml:space="preserve">2.2 </w:t>
      </w:r>
      <w:r w:rsidRPr="003A76DC">
        <w:rPr>
          <w:lang w:val="fr-FR"/>
        </w:rPr>
        <w:tab/>
        <w:t>“</w:t>
      </w:r>
      <w:r w:rsidRPr="003A76DC">
        <w:rPr>
          <w:i/>
          <w:iCs/>
          <w:lang w:val="fr-FR"/>
        </w:rPr>
        <w:t>Système de commande électronique</w:t>
      </w:r>
      <w:r w:rsidRPr="003A76DC">
        <w:rPr>
          <w:lang w:val="fr-FR"/>
        </w:rPr>
        <w:t>” désigne la combinaison de modules conçus pour assurer ensemble les fonctions de commande du véhicule annoncées, par traitement électronique de données. Ce type de système, souvent commandé par un logiciel, est conçu à partir de composants fonctionnels discrets, tels que des capteurs, des modules de commande électronique et des actionneurs, reliés entre eux par des liaisons de transmission. Ces composants peuvent comprendre des éléments mécaniques, électropneumatiques ou électrohydrauliques. Le “système” dont il est question ici est celui pour lequel une homologation de type est demandée.</w:t>
      </w:r>
    </w:p>
    <w:p w14:paraId="3851D6E0" w14:textId="77777777" w:rsidR="00556307" w:rsidRPr="003A76DC" w:rsidRDefault="00556307" w:rsidP="00556307">
      <w:pPr>
        <w:pStyle w:val="SingleTxtG"/>
        <w:ind w:left="2268" w:hanging="1134"/>
        <w:rPr>
          <w:color w:val="000000" w:themeColor="text1"/>
          <w:lang w:val="fr-FR"/>
        </w:rPr>
      </w:pPr>
      <w:r w:rsidRPr="003A76DC">
        <w:rPr>
          <w:lang w:val="fr-FR"/>
        </w:rPr>
        <w:t>2.3</w:t>
      </w:r>
      <w:r w:rsidRPr="003A76DC">
        <w:rPr>
          <w:lang w:val="fr-FR"/>
        </w:rPr>
        <w:tab/>
        <w:t>“</w:t>
      </w:r>
      <w:r w:rsidRPr="003A76DC">
        <w:rPr>
          <w:i/>
          <w:iCs/>
          <w:lang w:val="fr-FR"/>
        </w:rPr>
        <w:t>Logiciel</w:t>
      </w:r>
      <w:r w:rsidRPr="003A76DC">
        <w:rPr>
          <w:lang w:val="fr-FR"/>
        </w:rPr>
        <w:t>” désigne la partie d’un système de commande électronique constituée de données numériques et d’instructions.</w:t>
      </w:r>
    </w:p>
    <w:p w14:paraId="36AD24F2" w14:textId="77777777" w:rsidR="00556307" w:rsidRPr="003A76DC" w:rsidRDefault="00556307" w:rsidP="00556307">
      <w:pPr>
        <w:pStyle w:val="SingleTxtG"/>
        <w:ind w:left="2268" w:hanging="1134"/>
        <w:rPr>
          <w:b/>
          <w:bCs/>
          <w:i/>
          <w:iCs/>
          <w:color w:val="000000" w:themeColor="text1"/>
          <w:lang w:val="fr-FR"/>
        </w:rPr>
      </w:pPr>
      <w:r w:rsidRPr="003A76DC">
        <w:rPr>
          <w:b/>
          <w:bCs/>
          <w:lang w:val="fr-FR"/>
        </w:rPr>
        <w:t>2.4</w:t>
      </w:r>
      <w:r w:rsidRPr="003A76DC">
        <w:rPr>
          <w:lang w:val="fr-FR"/>
        </w:rPr>
        <w:tab/>
      </w:r>
      <w:r w:rsidRPr="003A76DC">
        <w:rPr>
          <w:b/>
          <w:bCs/>
          <w:lang w:val="fr-FR"/>
        </w:rPr>
        <w:t>“</w:t>
      </w:r>
      <w:r w:rsidRPr="003A76DC">
        <w:rPr>
          <w:b/>
          <w:bCs/>
          <w:i/>
          <w:iCs/>
          <w:lang w:val="fr-FR"/>
        </w:rPr>
        <w:t>Système de gestion des mises à jour logicielles (Software Update Management System − SUMS)</w:t>
      </w:r>
      <w:r w:rsidRPr="003A76DC">
        <w:rPr>
          <w:b/>
          <w:bCs/>
          <w:lang w:val="fr-FR"/>
        </w:rPr>
        <w:t>” désigne l’ensemble des processus et procédures établis de manière systématique visant à satisfaire aux prescriptions concernant la fourniture de mises à jour logicielles.</w:t>
      </w:r>
    </w:p>
    <w:p w14:paraId="2B6F1C07" w14:textId="77777777" w:rsidR="00556307" w:rsidRPr="003A76DC" w:rsidRDefault="00556307" w:rsidP="00556307">
      <w:pPr>
        <w:pStyle w:val="HChG"/>
        <w:rPr>
          <w:color w:val="000000" w:themeColor="text1"/>
          <w:lang w:val="fr-FR"/>
        </w:rPr>
      </w:pPr>
      <w:r w:rsidRPr="003A76DC">
        <w:rPr>
          <w:lang w:val="fr-FR"/>
        </w:rPr>
        <w:lastRenderedPageBreak/>
        <w:tab/>
      </w:r>
      <w:r w:rsidRPr="003A76DC">
        <w:rPr>
          <w:lang w:val="fr-FR"/>
        </w:rPr>
        <w:tab/>
      </w:r>
      <w:r w:rsidRPr="003A76DC">
        <w:rPr>
          <w:bCs/>
          <w:strike/>
          <w:lang w:val="fr-FR"/>
        </w:rPr>
        <w:t>III</w:t>
      </w:r>
      <w:r w:rsidRPr="003A76DC">
        <w:rPr>
          <w:bCs/>
          <w:lang w:val="fr-FR"/>
        </w:rPr>
        <w:t>3.</w:t>
      </w:r>
      <w:r w:rsidRPr="003A76DC">
        <w:rPr>
          <w:lang w:val="fr-FR"/>
        </w:rPr>
        <w:tab/>
      </w:r>
      <w:r w:rsidRPr="003A76DC">
        <w:rPr>
          <w:lang w:val="fr-FR"/>
        </w:rPr>
        <w:tab/>
      </w:r>
      <w:r w:rsidRPr="003A76DC">
        <w:rPr>
          <w:bCs/>
          <w:lang w:val="fr-FR"/>
        </w:rPr>
        <w:t xml:space="preserve">Prescriptions pour </w:t>
      </w:r>
      <w:r w:rsidRPr="003A76DC">
        <w:rPr>
          <w:bCs/>
          <w:strike/>
          <w:lang w:val="fr-FR"/>
        </w:rPr>
        <w:t>l’identification des logiciels</w:t>
      </w:r>
      <w:r w:rsidRPr="003A76DC">
        <w:rPr>
          <w:bCs/>
          <w:lang w:val="fr-FR"/>
        </w:rPr>
        <w:t xml:space="preserve"> le numéro d’identification du logiciel</w:t>
      </w:r>
    </w:p>
    <w:p w14:paraId="6092F04A" w14:textId="77777777" w:rsidR="00556307" w:rsidRPr="003A76DC" w:rsidRDefault="00556307" w:rsidP="00556307">
      <w:pPr>
        <w:pStyle w:val="SingleTxtG"/>
        <w:ind w:left="2268"/>
        <w:rPr>
          <w:color w:val="000000" w:themeColor="text1"/>
          <w:lang w:val="fr-FR"/>
        </w:rPr>
      </w:pPr>
      <w:r w:rsidRPr="003A76DC">
        <w:rPr>
          <w:lang w:val="fr-FR"/>
        </w:rPr>
        <w:t xml:space="preserve">Aux fins de la présente Résolution d’ensemble et des Règlements ONU qui font référence à la présente annexe : </w:t>
      </w:r>
    </w:p>
    <w:p w14:paraId="0019261F" w14:textId="77777777" w:rsidR="00556307" w:rsidRPr="003A76DC" w:rsidRDefault="00556307" w:rsidP="00556307">
      <w:pPr>
        <w:pStyle w:val="SingleTxtG"/>
        <w:ind w:left="2268" w:hanging="1134"/>
        <w:rPr>
          <w:strike/>
          <w:color w:val="000000" w:themeColor="text1"/>
          <w:lang w:val="fr-FR"/>
        </w:rPr>
      </w:pPr>
      <w:r w:rsidRPr="003A76DC">
        <w:rPr>
          <w:strike/>
          <w:lang w:val="fr-FR"/>
        </w:rPr>
        <w:t>3.1</w:t>
      </w:r>
      <w:r w:rsidRPr="003A76DC">
        <w:rPr>
          <w:strike/>
          <w:lang w:val="fr-FR"/>
        </w:rPr>
        <w:tab/>
        <w:t>Afin de s’assurer que le logiciel du système peut être identifié, le constructeur du véhicule peut utiliser un code RXSWIN.</w:t>
      </w:r>
    </w:p>
    <w:p w14:paraId="5FD82191" w14:textId="77777777" w:rsidR="00556307" w:rsidRPr="003A76DC" w:rsidRDefault="00556307" w:rsidP="00556307">
      <w:pPr>
        <w:pStyle w:val="SingleTxtG"/>
        <w:ind w:left="2268" w:hanging="1134"/>
        <w:rPr>
          <w:color w:val="000000" w:themeColor="text1"/>
          <w:lang w:val="fr-FR"/>
        </w:rPr>
      </w:pPr>
      <w:r w:rsidRPr="003A76DC">
        <w:rPr>
          <w:strike/>
          <w:lang w:val="fr-FR"/>
        </w:rPr>
        <w:t>3.2</w:t>
      </w:r>
      <w:r w:rsidRPr="003A76DC">
        <w:rPr>
          <w:strike/>
          <w:lang w:val="fr-FR"/>
        </w:rPr>
        <w:tab/>
        <w:t>Si le constructeur utilise un code RXSWIN, les dispositions suivantes sont applicables :</w:t>
      </w:r>
    </w:p>
    <w:p w14:paraId="018C9B43" w14:textId="77777777" w:rsidR="00556307" w:rsidRPr="003A76DC" w:rsidRDefault="00556307" w:rsidP="00556307">
      <w:pPr>
        <w:pStyle w:val="SingleTxtG"/>
        <w:ind w:left="2268" w:hanging="1134"/>
        <w:rPr>
          <w:strike/>
          <w:color w:val="000000" w:themeColor="text1"/>
          <w:lang w:val="fr-FR"/>
        </w:rPr>
      </w:pPr>
      <w:r w:rsidRPr="003A76DC">
        <w:rPr>
          <w:strike/>
          <w:lang w:val="fr-FR"/>
        </w:rPr>
        <w:t>3.2.1</w:t>
      </w:r>
      <w:r w:rsidRPr="003A76DC">
        <w:rPr>
          <w:strike/>
          <w:lang w:val="fr-FR"/>
        </w:rPr>
        <w:tab/>
        <w:t>Le constructeur du véhicule doit être en possession d’une homologation valable conformément au Règlement ONU n</w:t>
      </w:r>
      <w:r w:rsidRPr="003A76DC">
        <w:rPr>
          <w:strike/>
          <w:vertAlign w:val="superscript"/>
          <w:lang w:val="fr-FR"/>
        </w:rPr>
        <w:t>o</w:t>
      </w:r>
      <w:r w:rsidRPr="003A76DC">
        <w:rPr>
          <w:strike/>
          <w:lang w:val="fr-FR"/>
        </w:rPr>
        <w:t> XXX [Règlement relatif aux processus de mise à jour logicielle].</w:t>
      </w:r>
      <w:r w:rsidRPr="003A76DC">
        <w:rPr>
          <w:lang w:val="fr-FR"/>
        </w:rPr>
        <w:t xml:space="preserve"> </w:t>
      </w:r>
    </w:p>
    <w:p w14:paraId="7BEA2FC3" w14:textId="68544619" w:rsidR="00556307" w:rsidRPr="003A76DC" w:rsidRDefault="00556307" w:rsidP="00556307">
      <w:pPr>
        <w:pStyle w:val="SingleTxtG"/>
        <w:ind w:left="2268" w:hanging="1134"/>
        <w:rPr>
          <w:b/>
          <w:bCs/>
          <w:color w:val="000000" w:themeColor="text1"/>
          <w:lang w:val="fr-FR"/>
        </w:rPr>
      </w:pPr>
      <w:r w:rsidRPr="003A76DC">
        <w:rPr>
          <w:b/>
          <w:bCs/>
          <w:lang w:val="fr-FR"/>
        </w:rPr>
        <w:t>3.1</w:t>
      </w:r>
      <w:r w:rsidRPr="003A76DC">
        <w:rPr>
          <w:lang w:val="fr-FR"/>
        </w:rPr>
        <w:tab/>
      </w:r>
      <w:r w:rsidRPr="003A76DC">
        <w:rPr>
          <w:b/>
          <w:bCs/>
          <w:lang w:val="fr-FR"/>
        </w:rPr>
        <w:t>Le constructeur du véhicule doit disposer d’un système de gestion des mises à jour logicielles conforme, tout comme le type de véhicule, aux prescriptions techniques du Règlement ONU n</w:t>
      </w:r>
      <w:r w:rsidRPr="003A76DC">
        <w:rPr>
          <w:b/>
          <w:bCs/>
          <w:vertAlign w:val="superscript"/>
          <w:lang w:val="fr-FR"/>
        </w:rPr>
        <w:t>o</w:t>
      </w:r>
      <w:r w:rsidR="00A10EA8" w:rsidRPr="003A76DC">
        <w:rPr>
          <w:b/>
          <w:bCs/>
          <w:lang w:val="fr-FR"/>
        </w:rPr>
        <w:t> </w:t>
      </w:r>
      <w:r w:rsidRPr="003A76DC">
        <w:rPr>
          <w:b/>
          <w:bCs/>
          <w:lang w:val="fr-FR"/>
        </w:rPr>
        <w:t>156, dans sa version originale ou dans les séries ultérieures d’amendements.</w:t>
      </w:r>
      <w:r w:rsidRPr="003A76DC">
        <w:rPr>
          <w:lang w:val="fr-FR"/>
        </w:rPr>
        <w:t xml:space="preserve"> </w:t>
      </w:r>
    </w:p>
    <w:p w14:paraId="62374123" w14:textId="77777777" w:rsidR="00556307" w:rsidRPr="003A76DC" w:rsidRDefault="00556307" w:rsidP="00556307">
      <w:pPr>
        <w:pStyle w:val="SingleTxtG"/>
        <w:ind w:left="2268" w:hanging="1134"/>
        <w:rPr>
          <w:b/>
          <w:bCs/>
          <w:color w:val="000000" w:themeColor="text1"/>
          <w:lang w:val="fr-FR"/>
        </w:rPr>
      </w:pPr>
      <w:r w:rsidRPr="003A76DC">
        <w:rPr>
          <w:b/>
          <w:bCs/>
          <w:lang w:val="fr-FR"/>
        </w:rPr>
        <w:t>3.1.1</w:t>
      </w:r>
      <w:r w:rsidRPr="003A76DC">
        <w:rPr>
          <w:lang w:val="fr-FR"/>
        </w:rPr>
        <w:tab/>
      </w:r>
      <w:r w:rsidRPr="003A76DC">
        <w:rPr>
          <w:b/>
          <w:bCs/>
          <w:lang w:val="fr-FR"/>
        </w:rPr>
        <w:t>Un code R[X]SWIN doit être utilisé pour que le logiciel du système puisse être identifié.</w:t>
      </w:r>
      <w:r w:rsidRPr="003A76DC">
        <w:rPr>
          <w:lang w:val="fr-FR"/>
        </w:rPr>
        <w:t xml:space="preserve"> </w:t>
      </w:r>
      <w:r w:rsidRPr="003A76DC">
        <w:rPr>
          <w:b/>
          <w:bCs/>
          <w:lang w:val="fr-FR"/>
        </w:rPr>
        <w:t>Le code R[X]SWIN peut être présent sur le véhicule. Si ce n’est pas le cas, le constructeur doit déclarer à l’autorité d’homologation la ou les versions du logiciel ou les modules de gestion électronique correspondant aux homologations de type pertinentes.</w:t>
      </w:r>
    </w:p>
    <w:p w14:paraId="7CCAD685" w14:textId="77777777" w:rsidR="00556307" w:rsidRPr="003A76DC" w:rsidRDefault="00556307" w:rsidP="00556307">
      <w:pPr>
        <w:pStyle w:val="SingleTxtG"/>
        <w:ind w:left="2268" w:hanging="1134"/>
        <w:rPr>
          <w:color w:val="000000" w:themeColor="text1"/>
          <w:lang w:val="fr-FR"/>
        </w:rPr>
      </w:pPr>
      <w:r w:rsidRPr="003A76DC">
        <w:rPr>
          <w:lang w:val="fr-FR"/>
        </w:rPr>
        <w:t>3.</w:t>
      </w:r>
      <w:r w:rsidRPr="003A76DC">
        <w:rPr>
          <w:strike/>
          <w:lang w:val="fr-FR"/>
        </w:rPr>
        <w:t>2.</w:t>
      </w:r>
      <w:r w:rsidRPr="003A76DC">
        <w:rPr>
          <w:lang w:val="fr-FR"/>
        </w:rPr>
        <w:t>2</w:t>
      </w:r>
      <w:r w:rsidRPr="003A76DC">
        <w:rPr>
          <w:lang w:val="fr-FR"/>
        </w:rPr>
        <w:tab/>
        <w:t xml:space="preserve">Le constructeur du véhicule doit fournir les informations suivantes </w:t>
      </w:r>
      <w:r w:rsidRPr="003A76DC">
        <w:rPr>
          <w:b/>
          <w:bCs/>
          <w:lang w:val="fr-FR"/>
        </w:rPr>
        <w:t>à l’autorité d’homologation</w:t>
      </w:r>
      <w:r w:rsidRPr="003A76DC">
        <w:rPr>
          <w:lang w:val="fr-FR"/>
        </w:rPr>
        <w:t xml:space="preserve"> </w:t>
      </w:r>
      <w:r w:rsidRPr="003A76DC">
        <w:rPr>
          <w:strike/>
          <w:lang w:val="fr-FR"/>
        </w:rPr>
        <w:t>dans la fiche de communication du présent Règlement (du Règlement qui fait référence à la présente annexe) </w:t>
      </w:r>
      <w:r w:rsidRPr="003A76DC">
        <w:rPr>
          <w:lang w:val="fr-FR"/>
        </w:rPr>
        <w:t>:</w:t>
      </w:r>
    </w:p>
    <w:p w14:paraId="0C94A15C" w14:textId="77777777" w:rsidR="00556307" w:rsidRPr="003A76DC" w:rsidRDefault="00556307" w:rsidP="00556307">
      <w:pPr>
        <w:pStyle w:val="SingleTxtG"/>
        <w:ind w:left="2835" w:hanging="567"/>
        <w:rPr>
          <w:color w:val="000000" w:themeColor="text1"/>
          <w:lang w:val="fr-FR"/>
        </w:rPr>
      </w:pPr>
      <w:r w:rsidRPr="003A76DC">
        <w:rPr>
          <w:lang w:val="fr-FR"/>
        </w:rPr>
        <w:t>a)</w:t>
      </w:r>
      <w:r w:rsidRPr="003A76DC">
        <w:rPr>
          <w:lang w:val="fr-FR"/>
        </w:rPr>
        <w:tab/>
        <w:t>Le code R</w:t>
      </w:r>
      <w:r w:rsidRPr="003A76DC">
        <w:rPr>
          <w:b/>
          <w:bCs/>
          <w:lang w:val="fr-FR"/>
        </w:rPr>
        <w:t>[</w:t>
      </w:r>
      <w:r w:rsidRPr="003A76DC">
        <w:rPr>
          <w:lang w:val="fr-FR"/>
        </w:rPr>
        <w:t>X</w:t>
      </w:r>
      <w:r w:rsidRPr="003A76DC">
        <w:rPr>
          <w:b/>
          <w:bCs/>
          <w:lang w:val="fr-FR"/>
        </w:rPr>
        <w:t>]</w:t>
      </w:r>
      <w:r w:rsidRPr="003A76DC">
        <w:rPr>
          <w:lang w:val="fr-FR"/>
        </w:rPr>
        <w:t xml:space="preserve">SWIN </w:t>
      </w:r>
      <w:r w:rsidRPr="003A76DC">
        <w:rPr>
          <w:b/>
          <w:bCs/>
          <w:lang w:val="fr-FR"/>
        </w:rPr>
        <w:t>et, s’il n’est pas présent sur le véhicule, la ou les versions du logiciel correspondant </w:t>
      </w:r>
      <w:r w:rsidRPr="003A76DC">
        <w:rPr>
          <w:lang w:val="fr-FR"/>
        </w:rPr>
        <w:t>;</w:t>
      </w:r>
    </w:p>
    <w:p w14:paraId="3CFEEF68" w14:textId="77777777" w:rsidR="00556307" w:rsidRPr="003A76DC" w:rsidRDefault="00556307" w:rsidP="00556307">
      <w:pPr>
        <w:pStyle w:val="SingleTxtG"/>
        <w:ind w:left="2835" w:hanging="567"/>
        <w:rPr>
          <w:b/>
          <w:bCs/>
          <w:color w:val="000000" w:themeColor="text1"/>
          <w:lang w:val="fr-FR"/>
        </w:rPr>
      </w:pPr>
      <w:r w:rsidRPr="003A76DC">
        <w:rPr>
          <w:lang w:val="fr-FR"/>
        </w:rPr>
        <w:t>b)</w:t>
      </w:r>
      <w:r w:rsidRPr="003A76DC">
        <w:rPr>
          <w:lang w:val="fr-FR"/>
        </w:rPr>
        <w:tab/>
        <w:t>Le moyen de lire le code R</w:t>
      </w:r>
      <w:r w:rsidRPr="003A76DC">
        <w:rPr>
          <w:b/>
          <w:bCs/>
          <w:lang w:val="fr-FR"/>
        </w:rPr>
        <w:t>[</w:t>
      </w:r>
      <w:r w:rsidRPr="003A76DC">
        <w:rPr>
          <w:lang w:val="fr-FR"/>
        </w:rPr>
        <w:t>X</w:t>
      </w:r>
      <w:r w:rsidRPr="003A76DC">
        <w:rPr>
          <w:b/>
          <w:bCs/>
          <w:lang w:val="fr-FR"/>
        </w:rPr>
        <w:t>]</w:t>
      </w:r>
      <w:r w:rsidRPr="003A76DC">
        <w:rPr>
          <w:lang w:val="fr-FR"/>
        </w:rPr>
        <w:t>SWIN ou la ou les versions du logiciel si le R</w:t>
      </w:r>
      <w:r w:rsidRPr="003A76DC">
        <w:rPr>
          <w:b/>
          <w:bCs/>
          <w:lang w:val="fr-FR"/>
        </w:rPr>
        <w:t>[</w:t>
      </w:r>
      <w:r w:rsidRPr="003A76DC">
        <w:rPr>
          <w:lang w:val="fr-FR"/>
        </w:rPr>
        <w:t>X</w:t>
      </w:r>
      <w:r w:rsidRPr="003A76DC">
        <w:rPr>
          <w:b/>
          <w:bCs/>
          <w:lang w:val="fr-FR"/>
        </w:rPr>
        <w:t>]</w:t>
      </w:r>
      <w:r w:rsidRPr="003A76DC">
        <w:rPr>
          <w:lang w:val="fr-FR"/>
        </w:rPr>
        <w:t>SWIN n’est pas présent sur le véhicule</w:t>
      </w:r>
      <w:r w:rsidRPr="003A76DC">
        <w:rPr>
          <w:strike/>
          <w:lang w:val="fr-FR"/>
        </w:rPr>
        <w:t>.</w:t>
      </w:r>
      <w:r w:rsidRPr="003A76DC">
        <w:rPr>
          <w:lang w:val="fr-FR"/>
        </w:rPr>
        <w:t> </w:t>
      </w:r>
      <w:r w:rsidRPr="003A76DC">
        <w:rPr>
          <w:b/>
          <w:bCs/>
          <w:lang w:val="fr-FR"/>
        </w:rPr>
        <w:t>;</w:t>
      </w:r>
    </w:p>
    <w:p w14:paraId="1B335056" w14:textId="77777777" w:rsidR="00556307" w:rsidRPr="003A76DC" w:rsidRDefault="00556307" w:rsidP="00556307">
      <w:pPr>
        <w:pStyle w:val="SingleTxtG"/>
        <w:ind w:left="2835" w:hanging="567"/>
        <w:rPr>
          <w:b/>
          <w:bCs/>
          <w:color w:val="000000" w:themeColor="text1"/>
          <w:lang w:val="fr-FR"/>
        </w:rPr>
      </w:pPr>
      <w:r w:rsidRPr="003A76DC">
        <w:rPr>
          <w:b/>
          <w:bCs/>
          <w:lang w:val="fr-FR"/>
        </w:rPr>
        <w:t>c)</w:t>
      </w:r>
      <w:r w:rsidRPr="003A76DC">
        <w:rPr>
          <w:lang w:val="fr-FR"/>
        </w:rPr>
        <w:tab/>
      </w:r>
      <w:r w:rsidRPr="003A76DC">
        <w:rPr>
          <w:b/>
          <w:bCs/>
          <w:lang w:val="fr-FR"/>
        </w:rPr>
        <w:t>Des précisions sur la manière d’accéder aux informations figurant dans le registre vérifiable concernant les versions du logiciel auquel renvoie le R[X]SWIN.</w:t>
      </w:r>
    </w:p>
    <w:p w14:paraId="1A9DA7C5" w14:textId="77777777" w:rsidR="00556307" w:rsidRPr="003A76DC" w:rsidRDefault="00556307" w:rsidP="00556307">
      <w:pPr>
        <w:pStyle w:val="SingleTxtG"/>
        <w:ind w:left="2268" w:hanging="1134"/>
        <w:rPr>
          <w:color w:val="000000" w:themeColor="text1"/>
          <w:lang w:val="fr-FR"/>
        </w:rPr>
      </w:pPr>
      <w:r w:rsidRPr="003A76DC">
        <w:rPr>
          <w:lang w:val="fr-FR"/>
        </w:rPr>
        <w:t>3.2.3</w:t>
      </w:r>
      <w:r w:rsidRPr="003A76DC">
        <w:rPr>
          <w:lang w:val="fr-FR"/>
        </w:rPr>
        <w:tab/>
      </w:r>
      <w:r w:rsidRPr="003A76DC">
        <w:rPr>
          <w:strike/>
          <w:lang w:val="fr-FR"/>
        </w:rPr>
        <w:t>Le constructeur du véhicule peut</w:t>
      </w:r>
      <w:r w:rsidRPr="003A76DC">
        <w:rPr>
          <w:lang w:val="fr-FR"/>
        </w:rPr>
        <w:t xml:space="preserve"> </w:t>
      </w:r>
      <w:r w:rsidRPr="003A76DC">
        <w:rPr>
          <w:b/>
          <w:bCs/>
          <w:lang w:val="fr-FR"/>
        </w:rPr>
        <w:t xml:space="preserve">L’autorité d’homologation doit </w:t>
      </w:r>
      <w:r w:rsidRPr="003A76DC">
        <w:rPr>
          <w:lang w:val="fr-FR"/>
        </w:rPr>
        <w:t xml:space="preserve">fournir, dans la fiche de communication du Règlement </w:t>
      </w:r>
      <w:r w:rsidRPr="003A76DC">
        <w:rPr>
          <w:b/>
          <w:bCs/>
          <w:lang w:val="fr-FR"/>
        </w:rPr>
        <w:t>ONU qui fait référence à la présente annexe</w:t>
      </w:r>
      <w:r w:rsidRPr="003A76DC">
        <w:rPr>
          <w:lang w:val="fr-FR"/>
        </w:rPr>
        <w:t xml:space="preserve"> </w:t>
      </w:r>
      <w:r w:rsidRPr="003A76DC">
        <w:rPr>
          <w:strike/>
          <w:lang w:val="fr-FR"/>
        </w:rPr>
        <w:t>visé</w:t>
      </w:r>
      <w:r w:rsidRPr="003A76DC">
        <w:rPr>
          <w:lang w:val="fr-FR"/>
        </w:rPr>
        <w:t>, une liste des paramètres pertinents qui permettent d’identifier les véhicules pouvant être mis à jour avec le logiciel associé au code R</w:t>
      </w:r>
      <w:r w:rsidRPr="003A76DC">
        <w:rPr>
          <w:b/>
          <w:bCs/>
          <w:lang w:val="fr-FR"/>
        </w:rPr>
        <w:t>[</w:t>
      </w:r>
      <w:r w:rsidRPr="003A76DC">
        <w:rPr>
          <w:lang w:val="fr-FR"/>
        </w:rPr>
        <w:t>X</w:t>
      </w:r>
      <w:r w:rsidRPr="003A76DC">
        <w:rPr>
          <w:b/>
          <w:bCs/>
          <w:lang w:val="fr-FR"/>
        </w:rPr>
        <w:t>]</w:t>
      </w:r>
      <w:r w:rsidRPr="003A76DC">
        <w:rPr>
          <w:lang w:val="fr-FR"/>
        </w:rPr>
        <w:t>SWIN. Les informations fournies sont déclarées par le constructeur</w:t>
      </w:r>
      <w:r w:rsidRPr="003A76DC">
        <w:rPr>
          <w:strike/>
          <w:lang w:val="fr-FR"/>
        </w:rPr>
        <w:t xml:space="preserve"> et ne peuvent pas être vérifiées par une autorité d’homologation</w:t>
      </w:r>
      <w:r w:rsidRPr="003A76DC">
        <w:rPr>
          <w:lang w:val="fr-FR"/>
        </w:rPr>
        <w:t>.</w:t>
      </w:r>
    </w:p>
    <w:p w14:paraId="2D39F0B5" w14:textId="77777777" w:rsidR="00556307" w:rsidRPr="003A76DC" w:rsidRDefault="00556307" w:rsidP="00556307">
      <w:pPr>
        <w:ind w:left="2268" w:right="1134" w:hanging="1134"/>
        <w:jc w:val="both"/>
        <w:rPr>
          <w:iCs/>
          <w:color w:val="000000" w:themeColor="text1"/>
          <w:lang w:val="fr-FR"/>
        </w:rPr>
      </w:pPr>
      <w:r w:rsidRPr="003A76DC">
        <w:rPr>
          <w:lang w:val="fr-FR"/>
        </w:rPr>
        <w:t>3.2.4</w:t>
      </w:r>
      <w:r w:rsidRPr="003A76DC">
        <w:rPr>
          <w:lang w:val="fr-FR"/>
        </w:rPr>
        <w:tab/>
        <w:t xml:space="preserve">Le constructeur du véhicule peut obtenir une nouvelle homologation de type dans le but de différencier les versions du logiciel destinées à être utilisées sur des véhicules déjà immatriculés des versions du logiciel utilisées sur des véhicules neufs. Cette disposition permet de répondre aux situations dans lesquelles les règlements d’homologation de type sont mis à jour ou des modifications matérielles sont apportées à des véhicules fabriqués en série. </w:t>
      </w:r>
      <w:r w:rsidRPr="003A76DC">
        <w:rPr>
          <w:strike/>
          <w:lang w:val="fr-FR"/>
        </w:rPr>
        <w:t>En accord avec l’organisme chargé des essais, on évitera autant que possible de procéder deux fois aux mêmes essais.</w:t>
      </w:r>
    </w:p>
    <w:p w14:paraId="22D415D0" w14:textId="77777777" w:rsidR="00556307" w:rsidRPr="003A76DC" w:rsidRDefault="00556307" w:rsidP="00556307">
      <w:pPr>
        <w:pStyle w:val="HChG"/>
        <w:rPr>
          <w:strike/>
          <w:color w:val="000000" w:themeColor="text1"/>
          <w:lang w:val="fr-FR"/>
        </w:rPr>
      </w:pPr>
      <w:r w:rsidRPr="003A76DC">
        <w:rPr>
          <w:bCs/>
          <w:strike/>
          <w:lang w:val="fr-FR"/>
        </w:rPr>
        <w:tab/>
      </w:r>
      <w:r w:rsidRPr="003A76DC">
        <w:rPr>
          <w:bCs/>
          <w:strike/>
          <w:lang w:val="fr-FR"/>
        </w:rPr>
        <w:tab/>
        <w:t>IV.</w:t>
      </w:r>
      <w:r w:rsidRPr="003A76DC">
        <w:rPr>
          <w:strike/>
          <w:lang w:val="fr-FR"/>
        </w:rPr>
        <w:tab/>
      </w:r>
      <w:r w:rsidRPr="003A76DC">
        <w:rPr>
          <w:strike/>
          <w:lang w:val="fr-FR"/>
        </w:rPr>
        <w:tab/>
      </w:r>
      <w:r w:rsidRPr="003A76DC">
        <w:rPr>
          <w:bCs/>
          <w:strike/>
          <w:lang w:val="fr-FR"/>
        </w:rPr>
        <w:t>Arrêt définitif de la production et code RXSWIN</w:t>
      </w:r>
    </w:p>
    <w:p w14:paraId="3D55A008" w14:textId="77777777" w:rsidR="00556307" w:rsidRPr="003A76DC" w:rsidRDefault="00556307" w:rsidP="00556307">
      <w:pPr>
        <w:pStyle w:val="SingleTxtG"/>
        <w:ind w:left="2268" w:hanging="1134"/>
        <w:rPr>
          <w:strike/>
          <w:color w:val="000000" w:themeColor="text1"/>
          <w:lang w:val="fr-FR"/>
        </w:rPr>
      </w:pPr>
      <w:r w:rsidRPr="003A76DC">
        <w:rPr>
          <w:strike/>
          <w:lang w:val="fr-FR"/>
        </w:rPr>
        <w:t>4.1</w:t>
      </w:r>
      <w:r w:rsidRPr="003A76DC">
        <w:rPr>
          <w:strike/>
          <w:lang w:val="fr-FR"/>
        </w:rPr>
        <w:tab/>
        <w:t>Si le détenteur de l’homologation cesse définitivement la production d’un type de véhicule homologué conformément au présent Règlement (au Règlement visé qui fait référence à la présente annexe), il le notifie à l’autorité qui a délivré l’homologation,</w:t>
      </w:r>
      <w:r w:rsidRPr="003A76DC">
        <w:rPr>
          <w:lang w:val="fr-FR"/>
        </w:rPr>
        <w:t xml:space="preserve"> </w:t>
      </w:r>
      <w:r w:rsidRPr="003A76DC">
        <w:rPr>
          <w:strike/>
          <w:lang w:val="fr-FR"/>
        </w:rPr>
        <w:t xml:space="preserve">laquelle, à son tour, avise les autres Parties à l’Accord de 1958 </w:t>
      </w:r>
      <w:r w:rsidRPr="003A76DC">
        <w:rPr>
          <w:strike/>
          <w:lang w:val="fr-FR"/>
        </w:rPr>
        <w:lastRenderedPageBreak/>
        <w:t>appliquant le présent Règlement (le Règlement visé qui fait référence à la présente annexe), au moyen d’une fiche de communication conforme au modèle présenté dans l’annexe [Fiche de communication] au présent Règlement (au Règlement visé).</w:t>
      </w:r>
      <w:r w:rsidRPr="003A76DC">
        <w:rPr>
          <w:lang w:val="fr-FR"/>
        </w:rPr>
        <w:t xml:space="preserve"> </w:t>
      </w:r>
    </w:p>
    <w:p w14:paraId="18E93A16" w14:textId="77777777" w:rsidR="00556307" w:rsidRPr="003A76DC" w:rsidRDefault="00556307" w:rsidP="00556307">
      <w:pPr>
        <w:pStyle w:val="SingleTxtG"/>
        <w:ind w:left="2268" w:hanging="1134"/>
        <w:rPr>
          <w:strike/>
          <w:color w:val="000000" w:themeColor="text1"/>
          <w:lang w:val="fr-FR"/>
        </w:rPr>
      </w:pPr>
      <w:r w:rsidRPr="003A76DC">
        <w:rPr>
          <w:strike/>
          <w:lang w:val="fr-FR"/>
        </w:rPr>
        <w:t>4.2</w:t>
      </w:r>
      <w:r w:rsidRPr="003A76DC">
        <w:rPr>
          <w:strike/>
          <w:lang w:val="fr-FR"/>
        </w:rPr>
        <w:tab/>
        <w:t>La production n’est pas considérée comme définitivement arrêtée si le constructeur prévoit d’obtenir d’autres homologations pour des mises à jour de logiciels concernant des véhicules déjà immatriculés.</w:t>
      </w:r>
    </w:p>
    <w:p w14:paraId="4666160A" w14:textId="77777777" w:rsidR="00556307" w:rsidRPr="003A76DC" w:rsidRDefault="00556307" w:rsidP="00556307">
      <w:pPr>
        <w:pStyle w:val="HChG"/>
        <w:ind w:left="2268"/>
        <w:rPr>
          <w:strike/>
          <w:color w:val="000000" w:themeColor="text1"/>
          <w:lang w:val="fr-FR"/>
        </w:rPr>
      </w:pPr>
      <w:r w:rsidRPr="003A76DC">
        <w:rPr>
          <w:bCs/>
          <w:strike/>
          <w:lang w:val="fr-FR"/>
        </w:rPr>
        <w:t>V.</w:t>
      </w:r>
      <w:r w:rsidRPr="003A76DC">
        <w:rPr>
          <w:strike/>
          <w:lang w:val="fr-FR"/>
        </w:rPr>
        <w:tab/>
      </w:r>
      <w:r w:rsidRPr="003A76DC">
        <w:rPr>
          <w:bCs/>
          <w:strike/>
          <w:lang w:val="fr-FR"/>
        </w:rPr>
        <w:t>Mentions concernant le code RXSWIN à inclure dans la fiche de communication</w:t>
      </w:r>
    </w:p>
    <w:p w14:paraId="55685260" w14:textId="77777777" w:rsidR="00556307" w:rsidRPr="003A76DC" w:rsidRDefault="00556307" w:rsidP="00556307">
      <w:pPr>
        <w:pStyle w:val="SingleTxtG"/>
        <w:ind w:left="2268"/>
        <w:rPr>
          <w:color w:val="000000" w:themeColor="text1"/>
          <w:lang w:val="fr-FR"/>
        </w:rPr>
      </w:pPr>
      <w:r w:rsidRPr="003A76DC">
        <w:rPr>
          <w:i/>
          <w:iCs/>
          <w:strike/>
          <w:lang w:val="fr-FR"/>
        </w:rPr>
        <w:t>Note </w:t>
      </w:r>
      <w:r w:rsidRPr="003A76DC">
        <w:rPr>
          <w:strike/>
          <w:lang w:val="fr-FR"/>
        </w:rPr>
        <w:t>: La fiche de communication du Règlement visé qui fait référence à la présente annexe doit inclure la mention “Arrêt définitif de la production”, le cas échéant, ainsi que les informations supplémentaires ci-après (en caractères gras) au sujet du code RXSWIN.</w:t>
      </w:r>
      <w:r w:rsidRPr="003A76DC">
        <w:rPr>
          <w:lang w:val="fr-FR"/>
        </w:rPr>
        <w:t xml:space="preserve"> </w:t>
      </w:r>
    </w:p>
    <w:p w14:paraId="1E2D176D" w14:textId="77777777" w:rsidR="00556307" w:rsidRPr="003A76DC" w:rsidRDefault="00556307" w:rsidP="00556307">
      <w:pPr>
        <w:pStyle w:val="HChG"/>
        <w:ind w:left="2268"/>
        <w:rPr>
          <w:color w:val="000000" w:themeColor="text1"/>
          <w:lang w:val="fr-FR"/>
        </w:rPr>
      </w:pPr>
      <w:r w:rsidRPr="003A76DC">
        <w:rPr>
          <w:bCs/>
          <w:lang w:val="fr-FR"/>
        </w:rPr>
        <w:t>4.</w:t>
      </w:r>
      <w:r w:rsidRPr="003A76DC">
        <w:rPr>
          <w:lang w:val="fr-FR"/>
        </w:rPr>
        <w:tab/>
      </w:r>
      <w:r w:rsidRPr="003A76DC">
        <w:rPr>
          <w:lang w:val="fr-FR"/>
        </w:rPr>
        <w:tab/>
      </w:r>
      <w:r w:rsidRPr="003A76DC">
        <w:rPr>
          <w:bCs/>
          <w:lang w:val="fr-FR"/>
        </w:rPr>
        <w:t>Modifications des Règlements ONU pertinents</w:t>
      </w:r>
    </w:p>
    <w:p w14:paraId="42E86F50" w14:textId="77777777" w:rsidR="00556307" w:rsidRPr="003A76DC" w:rsidRDefault="00556307" w:rsidP="00556307">
      <w:pPr>
        <w:pStyle w:val="SingleTxtG"/>
        <w:ind w:left="2268"/>
        <w:rPr>
          <w:b/>
          <w:color w:val="000000" w:themeColor="text1"/>
          <w:lang w:val="fr-FR"/>
        </w:rPr>
      </w:pPr>
      <w:r w:rsidRPr="003A76DC">
        <w:rPr>
          <w:b/>
          <w:bCs/>
          <w:i/>
          <w:iCs/>
          <w:lang w:val="fr-FR"/>
        </w:rPr>
        <w:t>Note </w:t>
      </w:r>
      <w:r w:rsidRPr="003A76DC">
        <w:rPr>
          <w:b/>
          <w:bCs/>
          <w:lang w:val="fr-FR"/>
        </w:rPr>
        <w:t>: Les paragraphes suivants doivent être intégrés au Règlement visé qui fait référence à la présente annexe ou, s’ils existent déjà, modifiés comme suit.</w:t>
      </w:r>
    </w:p>
    <w:p w14:paraId="6A032B2C" w14:textId="77777777" w:rsidR="00556307" w:rsidRPr="003A76DC" w:rsidRDefault="00556307" w:rsidP="00556307">
      <w:pPr>
        <w:pStyle w:val="SingleTxtG"/>
        <w:rPr>
          <w:b/>
          <w:i/>
          <w:iCs/>
          <w:color w:val="000000" w:themeColor="text1"/>
          <w:lang w:val="fr-FR"/>
        </w:rPr>
      </w:pPr>
      <w:r w:rsidRPr="003A76DC">
        <w:rPr>
          <w:b/>
          <w:bCs/>
          <w:i/>
          <w:iCs/>
          <w:lang w:val="fr-FR"/>
        </w:rPr>
        <w:t>Section “Définitions”, ajouter un nouveau paragraphe, libellé comme suit :</w:t>
      </w:r>
    </w:p>
    <w:p w14:paraId="169C3265" w14:textId="77777777" w:rsidR="00556307" w:rsidRPr="003A76DC" w:rsidRDefault="00556307" w:rsidP="00556307">
      <w:pPr>
        <w:pStyle w:val="SingleTxtG"/>
        <w:ind w:left="2268" w:hanging="1134"/>
        <w:rPr>
          <w:b/>
          <w:color w:val="000000" w:themeColor="text1"/>
          <w:lang w:val="fr-FR"/>
        </w:rPr>
      </w:pPr>
      <w:r w:rsidRPr="003A76DC">
        <w:rPr>
          <w:b/>
          <w:bCs/>
          <w:lang w:val="fr-FR"/>
        </w:rPr>
        <w:t>“</w:t>
      </w:r>
      <w:proofErr w:type="spellStart"/>
      <w:r w:rsidRPr="003A76DC">
        <w:rPr>
          <w:b/>
          <w:bCs/>
          <w:lang w:val="fr-FR"/>
        </w:rPr>
        <w:t>x.x</w:t>
      </w:r>
      <w:proofErr w:type="spellEnd"/>
      <w:r w:rsidRPr="003A76DC">
        <w:rPr>
          <w:lang w:val="fr-FR"/>
        </w:rPr>
        <w:tab/>
      </w:r>
      <w:r w:rsidRPr="003A76DC">
        <w:rPr>
          <w:lang w:val="fr-FR"/>
        </w:rPr>
        <w:tab/>
      </w:r>
      <w:r w:rsidRPr="003A76DC">
        <w:rPr>
          <w:b/>
          <w:bCs/>
          <w:lang w:val="fr-FR"/>
        </w:rPr>
        <w:t>Pour les définitions relatives au numéro d’identification du logiciel, il convient de se reporter au paragraphe 2 de l’annexe 7 de la Résolution d’ensemble sur la construction des véhicules (R.E.3).”.</w:t>
      </w:r>
    </w:p>
    <w:p w14:paraId="01460664" w14:textId="77777777" w:rsidR="00556307" w:rsidRPr="003A76DC" w:rsidRDefault="00556307" w:rsidP="00556307">
      <w:pPr>
        <w:pStyle w:val="SingleTxtG"/>
        <w:ind w:left="2268" w:hanging="1134"/>
        <w:rPr>
          <w:b/>
          <w:i/>
          <w:iCs/>
          <w:color w:val="000000" w:themeColor="text1"/>
          <w:lang w:val="fr-FR"/>
        </w:rPr>
      </w:pPr>
      <w:r w:rsidRPr="003A76DC">
        <w:rPr>
          <w:b/>
          <w:bCs/>
          <w:i/>
          <w:iCs/>
          <w:lang w:val="fr-FR"/>
        </w:rPr>
        <w:t>Section “Prescriptions”, ajouter un nouveau paragraphe, libellé comme suit :</w:t>
      </w:r>
    </w:p>
    <w:p w14:paraId="766FD88E" w14:textId="77777777" w:rsidR="00556307" w:rsidRPr="003A76DC" w:rsidRDefault="00556307" w:rsidP="00556307">
      <w:pPr>
        <w:pStyle w:val="SingleTxtG"/>
        <w:ind w:left="2268" w:hanging="1134"/>
        <w:rPr>
          <w:b/>
          <w:color w:val="000000" w:themeColor="text1"/>
          <w:lang w:val="fr-FR"/>
        </w:rPr>
      </w:pPr>
      <w:r w:rsidRPr="003A76DC">
        <w:rPr>
          <w:b/>
          <w:bCs/>
          <w:lang w:val="fr-FR"/>
        </w:rPr>
        <w:t>“</w:t>
      </w:r>
      <w:proofErr w:type="spellStart"/>
      <w:r w:rsidRPr="003A76DC">
        <w:rPr>
          <w:b/>
          <w:bCs/>
          <w:lang w:val="fr-FR"/>
        </w:rPr>
        <w:t>x.x</w:t>
      </w:r>
      <w:proofErr w:type="spellEnd"/>
      <w:r w:rsidRPr="003A76DC">
        <w:rPr>
          <w:lang w:val="fr-FR"/>
        </w:rPr>
        <w:tab/>
      </w:r>
      <w:r w:rsidRPr="003A76DC">
        <w:rPr>
          <w:lang w:val="fr-FR"/>
        </w:rPr>
        <w:tab/>
      </w:r>
      <w:r w:rsidRPr="003A76DC">
        <w:rPr>
          <w:b/>
          <w:bCs/>
          <w:lang w:val="fr-FR"/>
        </w:rPr>
        <w:t>En ce qui concerne le numéro d’identification du logiciel, les prescriptions du paragraphe 3 de l’annexe 7 de la Résolution d’ensemble sur la construction des véhicules (R.E.3) s’appliquent.”.</w:t>
      </w:r>
    </w:p>
    <w:p w14:paraId="3BD3C290" w14:textId="77777777" w:rsidR="00556307" w:rsidRPr="003A76DC" w:rsidRDefault="00556307" w:rsidP="00556307">
      <w:pPr>
        <w:pStyle w:val="SingleTxtG"/>
        <w:rPr>
          <w:b/>
          <w:i/>
          <w:iCs/>
          <w:color w:val="000000" w:themeColor="text1"/>
          <w:lang w:val="fr-FR"/>
        </w:rPr>
      </w:pPr>
      <w:r w:rsidRPr="003A76DC">
        <w:rPr>
          <w:b/>
          <w:bCs/>
          <w:i/>
          <w:iCs/>
          <w:lang w:val="fr-FR"/>
        </w:rPr>
        <w:t>Section “Arrêt définitif de la production”, ajouter un nouveau paragraphe, libellé comme suit :</w:t>
      </w:r>
    </w:p>
    <w:p w14:paraId="45DBE0CF" w14:textId="77777777" w:rsidR="00556307" w:rsidRPr="003A76DC" w:rsidRDefault="00556307" w:rsidP="00556307">
      <w:pPr>
        <w:pStyle w:val="SingleTxtG"/>
        <w:ind w:left="2268" w:hanging="1134"/>
        <w:rPr>
          <w:b/>
          <w:color w:val="000000" w:themeColor="text1"/>
          <w:lang w:val="fr-FR"/>
        </w:rPr>
      </w:pPr>
      <w:r w:rsidRPr="003A76DC">
        <w:rPr>
          <w:b/>
          <w:bCs/>
          <w:lang w:val="fr-FR"/>
        </w:rPr>
        <w:t>“</w:t>
      </w:r>
      <w:proofErr w:type="spellStart"/>
      <w:r w:rsidRPr="003A76DC">
        <w:rPr>
          <w:b/>
          <w:bCs/>
          <w:lang w:val="fr-FR"/>
        </w:rPr>
        <w:t>x.x</w:t>
      </w:r>
      <w:proofErr w:type="spellEnd"/>
      <w:r w:rsidRPr="003A76DC">
        <w:rPr>
          <w:lang w:val="fr-FR"/>
        </w:rPr>
        <w:tab/>
      </w:r>
      <w:r w:rsidRPr="003A76DC">
        <w:rPr>
          <w:b/>
          <w:bCs/>
          <w:lang w:val="fr-FR"/>
        </w:rPr>
        <w:t>La production n’est pas considérée comme définitivement arrêtée si le constructeur prévoit d’obtenir d’autres homologations pour des mises à jour de logiciels concernant des véhicules déjà immatriculés.”.</w:t>
      </w:r>
    </w:p>
    <w:p w14:paraId="4B071536" w14:textId="3C77497E" w:rsidR="00556307" w:rsidRPr="003A76DC" w:rsidRDefault="00556307" w:rsidP="003B4AE7">
      <w:pPr>
        <w:pStyle w:val="SingleTxtG"/>
        <w:ind w:left="2268" w:hanging="1134"/>
        <w:rPr>
          <w:b/>
          <w:color w:val="000000" w:themeColor="text1"/>
          <w:lang w:val="fr-FR"/>
        </w:rPr>
      </w:pPr>
      <w:r w:rsidRPr="003A76DC">
        <w:rPr>
          <w:b/>
          <w:bCs/>
          <w:i/>
          <w:iCs/>
          <w:lang w:val="fr-FR"/>
        </w:rPr>
        <w:t>Annexe intitulée “Communication”, lire :</w:t>
      </w:r>
    </w:p>
    <w:p w14:paraId="69C5887D" w14:textId="385A4D7E" w:rsidR="00556307" w:rsidRPr="003A76DC" w:rsidRDefault="00556307" w:rsidP="00556307">
      <w:pPr>
        <w:pStyle w:val="HChG"/>
        <w:rPr>
          <w:rFonts w:eastAsia="MS Mincho"/>
          <w:color w:val="000000" w:themeColor="text1"/>
          <w:lang w:val="fr-FR"/>
        </w:rPr>
      </w:pPr>
      <w:r w:rsidRPr="003A76DC">
        <w:rPr>
          <w:lang w:val="fr-FR"/>
        </w:rPr>
        <w:tab/>
      </w:r>
      <w:r w:rsidRPr="003A76DC">
        <w:rPr>
          <w:lang w:val="fr-FR"/>
        </w:rPr>
        <w:tab/>
      </w:r>
      <w:r w:rsidR="003B4AE7" w:rsidRPr="003A76DC">
        <w:rPr>
          <w:b w:val="0"/>
          <w:bCs/>
          <w:sz w:val="20"/>
          <w:lang w:val="fr-FR"/>
        </w:rPr>
        <w:t>“</w:t>
      </w:r>
      <w:r w:rsidRPr="003A76DC">
        <w:rPr>
          <w:bCs/>
          <w:lang w:val="fr-FR"/>
        </w:rPr>
        <w:t>Communication</w:t>
      </w:r>
    </w:p>
    <w:p w14:paraId="5A121560" w14:textId="77777777" w:rsidR="00556307" w:rsidRPr="003A76DC" w:rsidRDefault="00556307" w:rsidP="00556307">
      <w:pPr>
        <w:pStyle w:val="SingleTxtG"/>
        <w:ind w:left="2268" w:hanging="1134"/>
        <w:rPr>
          <w:rFonts w:eastAsia="Times New Roman"/>
          <w:b/>
          <w:color w:val="000000" w:themeColor="text1"/>
          <w:lang w:val="fr-FR"/>
        </w:rPr>
      </w:pPr>
      <w:r w:rsidRPr="003A76DC">
        <w:rPr>
          <w:b/>
          <w:bCs/>
          <w:lang w:val="fr-FR"/>
        </w:rPr>
        <w:t>…</w:t>
      </w:r>
    </w:p>
    <w:p w14:paraId="02CAE848" w14:textId="77777777" w:rsidR="00556307" w:rsidRPr="003A76DC" w:rsidRDefault="00556307" w:rsidP="00556307">
      <w:pPr>
        <w:pStyle w:val="SingleTxtG"/>
        <w:rPr>
          <w:b/>
          <w:color w:val="000000" w:themeColor="text1"/>
          <w:lang w:val="fr-FR"/>
        </w:rPr>
      </w:pPr>
      <w:r w:rsidRPr="003A76DC">
        <w:rPr>
          <w:b/>
          <w:bCs/>
          <w:lang w:val="fr-FR"/>
        </w:rPr>
        <w:t>Informations supplémentaires concernant le code R[numéro du présent Règlement]SWIN :</w:t>
      </w:r>
    </w:p>
    <w:p w14:paraId="3D3DD4EB" w14:textId="77777777" w:rsidR="00556307" w:rsidRPr="003A76DC" w:rsidRDefault="00556307" w:rsidP="00556307">
      <w:pPr>
        <w:pStyle w:val="SingleTxtG"/>
        <w:tabs>
          <w:tab w:val="left" w:leader="dot" w:pos="8483"/>
        </w:tabs>
        <w:rPr>
          <w:b/>
          <w:color w:val="000000" w:themeColor="text1"/>
          <w:lang w:val="fr-FR"/>
        </w:rPr>
      </w:pPr>
      <w:r w:rsidRPr="003A76DC">
        <w:rPr>
          <w:b/>
          <w:bCs/>
          <w:lang w:val="fr-FR"/>
        </w:rPr>
        <w:t>Code R[numéro du présent Règlement]SWIN :</w:t>
      </w:r>
      <w:r w:rsidRPr="003A76DC">
        <w:rPr>
          <w:lang w:val="fr-FR"/>
        </w:rPr>
        <w:t xml:space="preserve"> </w:t>
      </w:r>
      <w:r w:rsidRPr="003A76DC">
        <w:rPr>
          <w:b/>
          <w:bCs/>
          <w:lang w:val="fr-FR"/>
        </w:rPr>
        <w:tab/>
      </w:r>
    </w:p>
    <w:p w14:paraId="081E0F26" w14:textId="77777777" w:rsidR="00556307" w:rsidRPr="003A76DC" w:rsidRDefault="00556307" w:rsidP="00556307">
      <w:pPr>
        <w:pStyle w:val="SingleTxtG"/>
        <w:tabs>
          <w:tab w:val="left" w:leader="dot" w:pos="8483"/>
        </w:tabs>
        <w:rPr>
          <w:b/>
          <w:color w:val="000000" w:themeColor="text1"/>
          <w:lang w:val="fr-FR"/>
        </w:rPr>
      </w:pPr>
      <w:r w:rsidRPr="003A76DC">
        <w:rPr>
          <w:b/>
          <w:bCs/>
          <w:lang w:val="fr-FR"/>
        </w:rPr>
        <w:t>Le code R[numéro du présent Règlement]SWIN est présent sur le véhicule : Oui/Non</w:t>
      </w:r>
    </w:p>
    <w:p w14:paraId="0437CBC5" w14:textId="77777777" w:rsidR="00556307" w:rsidRPr="003A76DC" w:rsidRDefault="00556307" w:rsidP="00556307">
      <w:pPr>
        <w:pStyle w:val="SingleTxtG"/>
        <w:tabs>
          <w:tab w:val="left" w:leader="dot" w:pos="8483"/>
        </w:tabs>
        <w:rPr>
          <w:b/>
          <w:color w:val="000000" w:themeColor="text1"/>
          <w:lang w:val="fr-FR"/>
        </w:rPr>
      </w:pPr>
      <w:r w:rsidRPr="003A76DC">
        <w:rPr>
          <w:b/>
          <w:bCs/>
          <w:lang w:val="fr-FR"/>
        </w:rPr>
        <w:t>Informations sur le moyen de lire le code R[numéro du présent Règlement]SWIN ou la ou les versions du logiciel si le R[numéro du présent Règlement]SWIN n’est pas présent sur le véhicule :</w:t>
      </w:r>
      <w:r w:rsidRPr="003A76DC">
        <w:rPr>
          <w:lang w:val="fr-FR"/>
        </w:rPr>
        <w:t xml:space="preserve"> </w:t>
      </w:r>
      <w:r w:rsidRPr="003A76DC">
        <w:rPr>
          <w:b/>
          <w:bCs/>
          <w:lang w:val="fr-FR"/>
        </w:rPr>
        <w:tab/>
      </w:r>
    </w:p>
    <w:p w14:paraId="6B91096C" w14:textId="77777777" w:rsidR="00556307" w:rsidRPr="003A76DC" w:rsidRDefault="00556307" w:rsidP="00556307">
      <w:pPr>
        <w:pStyle w:val="SingleTxtG"/>
        <w:tabs>
          <w:tab w:val="left" w:leader="dot" w:pos="8483"/>
        </w:tabs>
        <w:rPr>
          <w:b/>
          <w:color w:val="000000" w:themeColor="text1"/>
          <w:lang w:val="fr-FR"/>
        </w:rPr>
      </w:pPr>
      <w:r w:rsidRPr="003A76DC">
        <w:rPr>
          <w:b/>
          <w:bCs/>
          <w:lang w:val="fr-FR"/>
        </w:rPr>
        <w:t>Description de la manière d’accéder aux informations figurant dans le registre vérifiable concernant les versions du logiciel auquel renvoie le R[numéro du présent Règlement]SWIN :</w:t>
      </w:r>
      <w:r w:rsidRPr="003A76DC">
        <w:rPr>
          <w:lang w:val="fr-FR"/>
        </w:rPr>
        <w:t xml:space="preserve"> </w:t>
      </w:r>
      <w:r w:rsidRPr="003A76DC">
        <w:rPr>
          <w:b/>
          <w:bCs/>
          <w:lang w:val="fr-FR"/>
        </w:rPr>
        <w:tab/>
      </w:r>
    </w:p>
    <w:p w14:paraId="362371AA" w14:textId="3C9DE8BA" w:rsidR="00556307" w:rsidRPr="003A76DC" w:rsidRDefault="00556307" w:rsidP="003B4AE7">
      <w:pPr>
        <w:pStyle w:val="SingleTxtG"/>
        <w:tabs>
          <w:tab w:val="right" w:leader="dot" w:pos="8504"/>
        </w:tabs>
        <w:rPr>
          <w:b/>
          <w:color w:val="000000" w:themeColor="text1"/>
          <w:lang w:val="fr-FR"/>
        </w:rPr>
      </w:pPr>
      <w:r w:rsidRPr="003A76DC">
        <w:rPr>
          <w:b/>
          <w:bCs/>
          <w:lang w:val="fr-FR"/>
        </w:rPr>
        <w:lastRenderedPageBreak/>
        <w:t>S’il y a lieu, énumérer les paramètres pertinents qui permettent d’identifier les véhicules pouvant être mis à jour avec le logiciel associé au code R[numéro du présent Règlement]SWIN indiqué au point ci-dessus :</w:t>
      </w:r>
      <w:r w:rsidRPr="003A76DC">
        <w:rPr>
          <w:lang w:val="fr-FR"/>
        </w:rPr>
        <w:t xml:space="preserve"> </w:t>
      </w:r>
      <w:r w:rsidR="003B4AE7" w:rsidRPr="003A76DC">
        <w:rPr>
          <w:lang w:val="fr-FR"/>
        </w:rPr>
        <w:tab/>
      </w:r>
      <w:r w:rsidR="003B4AE7" w:rsidRPr="003A76DC">
        <w:rPr>
          <w:b/>
          <w:bCs/>
          <w:lang w:val="fr-FR"/>
        </w:rPr>
        <w:t>”.</w:t>
      </w:r>
    </w:p>
    <w:p w14:paraId="240A1A9A" w14:textId="77777777" w:rsidR="00556307" w:rsidRPr="003A76DC" w:rsidRDefault="00556307" w:rsidP="00556307">
      <w:pPr>
        <w:pStyle w:val="HChG"/>
        <w:rPr>
          <w:rFonts w:eastAsia="MS Mincho"/>
          <w:strike/>
          <w:color w:val="000000" w:themeColor="text1"/>
          <w:lang w:val="fr-FR"/>
        </w:rPr>
      </w:pPr>
      <w:bookmarkStart w:id="0" w:name="_Hlk155288644"/>
      <w:r w:rsidRPr="003A76DC">
        <w:rPr>
          <w:lang w:val="fr-FR"/>
        </w:rPr>
        <w:tab/>
      </w:r>
      <w:r w:rsidRPr="003A76DC">
        <w:rPr>
          <w:lang w:val="fr-FR"/>
        </w:rPr>
        <w:tab/>
      </w:r>
      <w:r w:rsidRPr="003A76DC">
        <w:rPr>
          <w:bCs/>
          <w:strike/>
          <w:lang w:val="fr-FR"/>
        </w:rPr>
        <w:t>Communication</w:t>
      </w:r>
      <w:bookmarkEnd w:id="0"/>
    </w:p>
    <w:p w14:paraId="32AB3E11" w14:textId="77777777" w:rsidR="00556307" w:rsidRPr="003A76DC" w:rsidRDefault="00556307" w:rsidP="00556307">
      <w:pPr>
        <w:spacing w:after="120"/>
        <w:ind w:left="1134" w:right="1134"/>
        <w:rPr>
          <w:rFonts w:eastAsia="MS Mincho"/>
          <w:strike/>
          <w:color w:val="000000" w:themeColor="text1"/>
          <w:lang w:val="fr-FR"/>
        </w:rPr>
      </w:pPr>
      <w:r w:rsidRPr="003A76DC">
        <w:rPr>
          <w:strike/>
          <w:lang w:val="fr-FR"/>
        </w:rPr>
        <w:t>(format maximal : A4 (210 x 297 mm))</w:t>
      </w:r>
    </w:p>
    <w:p w14:paraId="6E78EDE3" w14:textId="77777777" w:rsidR="00556307" w:rsidRPr="003A76DC" w:rsidRDefault="00556307" w:rsidP="00556307">
      <w:pPr>
        <w:spacing w:after="120"/>
        <w:ind w:left="1134" w:right="1134"/>
        <w:jc w:val="both"/>
        <w:rPr>
          <w:rFonts w:eastAsia="MS Mincho"/>
          <w:strike/>
          <w:color w:val="000000" w:themeColor="text1"/>
          <w:lang w:val="fr-FR"/>
        </w:rPr>
      </w:pPr>
      <w:r w:rsidRPr="003A76DC">
        <w:rPr>
          <w:rFonts w:eastAsia="Times New Roman"/>
          <w:noProof/>
          <w:color w:val="000000" w:themeColor="text1"/>
        </w:rPr>
        <mc:AlternateContent>
          <mc:Choice Requires="wps">
            <w:drawing>
              <wp:anchor distT="0" distB="0" distL="114300" distR="114300" simplePos="0" relativeHeight="251659264" behindDoc="0" locked="0" layoutInCell="1" allowOverlap="1" wp14:anchorId="66ED2FAF" wp14:editId="344B3028">
                <wp:simplePos x="0" y="0"/>
                <wp:positionH relativeFrom="column">
                  <wp:posOffset>2801620</wp:posOffset>
                </wp:positionH>
                <wp:positionV relativeFrom="paragraph">
                  <wp:posOffset>12700</wp:posOffset>
                </wp:positionV>
                <wp:extent cx="3429000" cy="662305"/>
                <wp:effectExtent l="1270" t="317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4C743" w14:textId="77777777" w:rsidR="00556307" w:rsidRPr="00E87C35" w:rsidRDefault="00556307" w:rsidP="0055630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2126"/>
                              <w:rPr>
                                <w:strike/>
                                <w:lang w:val="fr-FR"/>
                              </w:rPr>
                            </w:pPr>
                            <w:bookmarkStart w:id="1" w:name="_Hlk165996127"/>
                            <w:bookmarkEnd w:id="1"/>
                            <w:r w:rsidRPr="00E87C35">
                              <w:rPr>
                                <w:strike/>
                                <w:lang w:val="fr-FR"/>
                              </w:rPr>
                              <w:t>Émanant de :</w:t>
                            </w:r>
                            <w:r w:rsidRPr="00E87C35">
                              <w:rPr>
                                <w:strike/>
                                <w:lang w:val="fr-FR"/>
                              </w:rPr>
                              <w:tab/>
                              <w:t>Nom de l’administration :</w:t>
                            </w:r>
                          </w:p>
                          <w:p w14:paraId="72CD3445" w14:textId="77777777" w:rsidR="00556307" w:rsidRPr="00E87C35" w:rsidRDefault="00556307" w:rsidP="0055630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strike/>
                              </w:rPr>
                            </w:pPr>
                            <w:r w:rsidRPr="00E87C35">
                              <w:rPr>
                                <w:strike/>
                                <w:lang w:val="fr-FR"/>
                              </w:rPr>
                              <w:t>......................................</w:t>
                            </w:r>
                          </w:p>
                          <w:p w14:paraId="455B4097" w14:textId="77777777" w:rsidR="00556307" w:rsidRPr="00E87C35" w:rsidRDefault="00556307" w:rsidP="0055630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strike/>
                              </w:rPr>
                            </w:pPr>
                            <w:r w:rsidRPr="00E87C35">
                              <w:rPr>
                                <w:strike/>
                                <w:lang w:val="fr-FR"/>
                              </w:rPr>
                              <w:t>......................................</w:t>
                            </w:r>
                          </w:p>
                          <w:p w14:paraId="58C9AEB4" w14:textId="77777777" w:rsidR="00556307" w:rsidRPr="00E87C35" w:rsidRDefault="00556307" w:rsidP="0055630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strike/>
                              </w:rPr>
                            </w:pPr>
                            <w:r w:rsidRPr="00E87C35">
                              <w:rPr>
                                <w:strike/>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2FAF"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" filled="f" stroked="f">
                <v:textbox inset="0,0,0,0">
                  <w:txbxContent>
                    <w:p w14:paraId="3B34C743" w14:textId="77777777" w:rsidR="00556307" w:rsidRPr="00E87C35" w:rsidRDefault="00556307" w:rsidP="0055630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2126"/>
                        <w:rPr>
                          <w:strike/>
                          <w:lang w:val="fr-FR"/>
                        </w:rPr>
                      </w:pPr>
                      <w:bookmarkStart w:id="2" w:name="_Hlk165996127"/>
                      <w:bookmarkEnd w:id="2"/>
                      <w:r w:rsidRPr="00E87C35">
                        <w:rPr>
                          <w:strike/>
                          <w:lang w:val="fr-FR"/>
                        </w:rPr>
                        <w:t>Émanant de :</w:t>
                      </w:r>
                      <w:r w:rsidRPr="00E87C35">
                        <w:rPr>
                          <w:strike/>
                          <w:lang w:val="fr-FR"/>
                        </w:rPr>
                        <w:tab/>
                        <w:t>Nom de l’administration :</w:t>
                      </w:r>
                    </w:p>
                    <w:p w14:paraId="72CD3445" w14:textId="77777777" w:rsidR="00556307" w:rsidRPr="00E87C35" w:rsidRDefault="00556307" w:rsidP="0055630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strike/>
                        </w:rPr>
                      </w:pPr>
                      <w:r w:rsidRPr="00E87C35">
                        <w:rPr>
                          <w:strike/>
                          <w:lang w:val="fr-FR"/>
                        </w:rPr>
                        <w:t>......................................</w:t>
                      </w:r>
                    </w:p>
                    <w:p w14:paraId="455B4097" w14:textId="77777777" w:rsidR="00556307" w:rsidRPr="00E87C35" w:rsidRDefault="00556307" w:rsidP="0055630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strike/>
                        </w:rPr>
                      </w:pPr>
                      <w:r w:rsidRPr="00E87C35">
                        <w:rPr>
                          <w:strike/>
                          <w:lang w:val="fr-FR"/>
                        </w:rPr>
                        <w:t>......................................</w:t>
                      </w:r>
                    </w:p>
                    <w:p w14:paraId="58C9AEB4" w14:textId="77777777" w:rsidR="00556307" w:rsidRPr="00E87C35" w:rsidRDefault="00556307" w:rsidP="0055630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strike/>
                        </w:rPr>
                      </w:pPr>
                      <w:r w:rsidRPr="00E87C35">
                        <w:rPr>
                          <w:strike/>
                          <w:lang w:val="fr-FR"/>
                        </w:rPr>
                        <w:t>......................................</w:t>
                      </w:r>
                    </w:p>
                  </w:txbxContent>
                </v:textbox>
              </v:shape>
            </w:pict>
          </mc:Fallback>
        </mc:AlternateContent>
      </w:r>
    </w:p>
    <w:p w14:paraId="304B03E5" w14:textId="77777777" w:rsidR="00556307" w:rsidRPr="003A76DC" w:rsidRDefault="00556307" w:rsidP="00556307">
      <w:pPr>
        <w:pStyle w:val="SingleTxtG"/>
        <w:tabs>
          <w:tab w:val="left" w:pos="5100"/>
        </w:tabs>
        <w:rPr>
          <w:rFonts w:eastAsia="MS Mincho"/>
          <w:strike/>
          <w:color w:val="000000" w:themeColor="text1"/>
          <w:lang w:val="fr-FR"/>
        </w:rPr>
      </w:pPr>
    </w:p>
    <w:p w14:paraId="48E1275B" w14:textId="13DBC29C" w:rsidR="00556307" w:rsidRPr="003A76DC" w:rsidRDefault="00E87C35" w:rsidP="00556307">
      <w:pPr>
        <w:pStyle w:val="SingleTxtG"/>
        <w:tabs>
          <w:tab w:val="left" w:pos="5100"/>
        </w:tabs>
        <w:rPr>
          <w:rFonts w:eastAsia="MS Mincho"/>
          <w:strike/>
          <w:color w:val="000000" w:themeColor="text1"/>
        </w:rPr>
      </w:pPr>
      <w:r>
        <w:rPr>
          <w:rFonts w:eastAsia="Times New Roman"/>
          <w:noProof/>
          <w:color w:val="000000" w:themeColor="text1"/>
        </w:rPr>
        <mc:AlternateContent>
          <mc:Choice Requires="wps">
            <w:drawing>
              <wp:anchor distT="0" distB="0" distL="114300" distR="114300" simplePos="0" relativeHeight="251661312" behindDoc="0" locked="0" layoutInCell="1" allowOverlap="1" wp14:anchorId="70C58D05" wp14:editId="07E8C15F">
                <wp:simplePos x="0" y="0"/>
                <wp:positionH relativeFrom="column">
                  <wp:posOffset>657654</wp:posOffset>
                </wp:positionH>
                <wp:positionV relativeFrom="paragraph">
                  <wp:posOffset>512445</wp:posOffset>
                </wp:positionV>
                <wp:extent cx="1226247" cy="0"/>
                <wp:effectExtent l="0" t="0" r="0" b="0"/>
                <wp:wrapNone/>
                <wp:docPr id="1403481810" name="Connecteur droit 1"/>
                <wp:cNvGraphicFramePr/>
                <a:graphic xmlns:a="http://schemas.openxmlformats.org/drawingml/2006/main">
                  <a:graphicData uri="http://schemas.microsoft.com/office/word/2010/wordprocessingShape">
                    <wps:wsp>
                      <wps:cNvCnPr/>
                      <wps:spPr>
                        <a:xfrm>
                          <a:off x="0" y="0"/>
                          <a:ext cx="1226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977D5" id="Connecteur droit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8pt,40.35pt" to="148.3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" strokecolor="black [3040]"/>
            </w:pict>
          </mc:Fallback>
        </mc:AlternateContent>
      </w:r>
      <w:r w:rsidR="00556307" w:rsidRPr="003A76DC">
        <w:rPr>
          <w:rFonts w:eastAsia="Times New Roman"/>
          <w:noProof/>
          <w:color w:val="000000" w:themeColor="text1"/>
        </w:rPr>
        <mc:AlternateContent>
          <mc:Choice Requires="wps">
            <w:drawing>
              <wp:anchor distT="0" distB="0" distL="114300" distR="114300" simplePos="0" relativeHeight="251660288" behindDoc="0" locked="0" layoutInCell="1" allowOverlap="1" wp14:anchorId="4383315E" wp14:editId="1B09BDE4">
                <wp:simplePos x="0" y="0"/>
                <wp:positionH relativeFrom="column">
                  <wp:posOffset>1374470</wp:posOffset>
                </wp:positionH>
                <wp:positionV relativeFrom="paragraph">
                  <wp:posOffset>238760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53D95E20" w14:textId="77777777" w:rsidR="00556307" w:rsidRDefault="00556307" w:rsidP="00556307">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54FCD0A2" w14:textId="77777777" w:rsidR="00556307" w:rsidRDefault="00556307" w:rsidP="00556307">
                            <w:pPr>
                              <w:rPr>
                                <w:rFonts w:eastAsia="Arial Unicode MS"/>
                                <w:sz w:val="16"/>
                                <w:szCs w:val="16"/>
                              </w:rPr>
                            </w:pPr>
                            <w:r>
                              <w:rPr>
                                <w:noProof/>
                                <w:lang w:eastAsia="zh-CN"/>
                              </w:rPr>
                              <w:drawing>
                                <wp:inline distT="0" distB="0" distL="0" distR="0" wp14:anchorId="0C4AB2C4" wp14:editId="28B8CAEB">
                                  <wp:extent cx="152400" cy="259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315E" id="Text Box 6" o:spid="_x0000_s1027" type="#_x0000_t202" style="position:absolute;left:0;text-align:left;margin-left:108.25pt;margin-top:18.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" stroked="f">
                <v:textbox inset="0,0,0,0">
                  <w:txbxContent>
                    <w:p w14:paraId="53D95E20" w14:textId="77777777" w:rsidR="00556307" w:rsidRDefault="00556307" w:rsidP="00556307">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54FCD0A2" w14:textId="77777777" w:rsidR="00556307" w:rsidRDefault="00556307" w:rsidP="00556307">
                      <w:pPr>
                        <w:rPr>
                          <w:rFonts w:eastAsia="Arial Unicode MS"/>
                          <w:sz w:val="16"/>
                          <w:szCs w:val="16"/>
                        </w:rPr>
                      </w:pPr>
                      <w:r>
                        <w:rPr>
                          <w:noProof/>
                          <w:lang w:eastAsia="zh-CN"/>
                        </w:rPr>
                        <w:drawing>
                          <wp:inline distT="0" distB="0" distL="0" distR="0" wp14:anchorId="0C4AB2C4" wp14:editId="28B8CAEB">
                            <wp:extent cx="152400" cy="259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59080"/>
                                    </a:xfrm>
                                    <a:prstGeom prst="rect">
                                      <a:avLst/>
                                    </a:prstGeom>
                                    <a:noFill/>
                                    <a:ln>
                                      <a:noFill/>
                                    </a:ln>
                                  </pic:spPr>
                                </pic:pic>
                              </a:graphicData>
                            </a:graphic>
                          </wp:inline>
                        </w:drawing>
                      </w:r>
                    </w:p>
                  </w:txbxContent>
                </v:textbox>
              </v:shape>
            </w:pict>
          </mc:Fallback>
        </mc:AlternateContent>
      </w:r>
      <w:r w:rsidR="00556307" w:rsidRPr="003A76DC">
        <w:rPr>
          <w:rFonts w:eastAsia="MS Mincho"/>
          <w:strike/>
          <w:noProof/>
          <w:color w:val="000000" w:themeColor="text1"/>
          <w:lang w:val="en-US" w:eastAsia="zh-CN"/>
        </w:rPr>
        <w:drawing>
          <wp:inline distT="0" distB="0" distL="0" distR="0" wp14:anchorId="5FC68607" wp14:editId="733571F0">
            <wp:extent cx="1074420" cy="1005840"/>
            <wp:effectExtent l="0" t="0" r="0" b="3810"/>
            <wp:docPr id="3" name="Picture 3" descr="Une image contenant symbole, cerc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symbole, cercle, Police, Graphiqu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5840"/>
                    </a:xfrm>
                    <a:prstGeom prst="rect">
                      <a:avLst/>
                    </a:prstGeom>
                    <a:noFill/>
                    <a:ln>
                      <a:noFill/>
                    </a:ln>
                  </pic:spPr>
                </pic:pic>
              </a:graphicData>
            </a:graphic>
          </wp:inline>
        </w:drawing>
      </w:r>
      <w:r w:rsidR="00556307" w:rsidRPr="003A76DC">
        <w:rPr>
          <w:rStyle w:val="Appelnotedebasdep"/>
          <w:color w:val="FFFFFF" w:themeColor="background1"/>
        </w:rPr>
        <w:footnoteReference w:id="3"/>
      </w:r>
    </w:p>
    <w:p w14:paraId="00AFAC9F" w14:textId="77777777" w:rsidR="00556307" w:rsidRPr="003A76DC" w:rsidRDefault="00556307" w:rsidP="00556307">
      <w:pPr>
        <w:pStyle w:val="SingleTxtG"/>
        <w:tabs>
          <w:tab w:val="left" w:pos="2268"/>
        </w:tabs>
        <w:spacing w:after="0"/>
        <w:rPr>
          <w:rFonts w:eastAsia="Times New Roman"/>
          <w:strike/>
          <w:color w:val="000000" w:themeColor="text1"/>
          <w:lang w:val="fr-FR"/>
        </w:rPr>
      </w:pPr>
      <w:r w:rsidRPr="003A76DC">
        <w:rPr>
          <w:strike/>
          <w:lang w:val="fr-FR"/>
        </w:rPr>
        <w:t>Concernant</w:t>
      </w:r>
      <w:r w:rsidRPr="003A76DC">
        <w:rPr>
          <w:rStyle w:val="Appelnotedebasdep"/>
        </w:rPr>
        <w:footnoteReference w:id="4"/>
      </w:r>
      <w:r w:rsidRPr="003A76DC">
        <w:rPr>
          <w:strike/>
          <w:lang w:val="fr-FR"/>
        </w:rPr>
        <w:t> :</w:t>
      </w:r>
      <w:r w:rsidRPr="003A76DC">
        <w:rPr>
          <w:lang w:val="fr-FR"/>
        </w:rPr>
        <w:tab/>
        <w:t xml:space="preserve"> </w:t>
      </w:r>
      <w:r w:rsidRPr="003A76DC">
        <w:rPr>
          <w:strike/>
          <w:lang w:val="fr-FR"/>
        </w:rPr>
        <w:t>Délivrance d’une homologation</w:t>
      </w:r>
      <w:r w:rsidRPr="003A76DC">
        <w:rPr>
          <w:lang w:val="fr-FR"/>
        </w:rPr>
        <w:t xml:space="preserve"> </w:t>
      </w:r>
    </w:p>
    <w:p w14:paraId="6E7E0C14" w14:textId="77777777" w:rsidR="00556307" w:rsidRPr="003A76DC" w:rsidRDefault="00556307" w:rsidP="00556307">
      <w:pPr>
        <w:pStyle w:val="SingleTxtG"/>
        <w:spacing w:after="0"/>
        <w:rPr>
          <w:strike/>
          <w:color w:val="000000" w:themeColor="text1"/>
          <w:lang w:val="fr-FR"/>
        </w:rPr>
      </w:pPr>
      <w:r w:rsidRPr="003A76DC">
        <w:rPr>
          <w:lang w:val="fr-FR"/>
        </w:rPr>
        <w:tab/>
      </w:r>
      <w:r w:rsidRPr="003A76DC">
        <w:rPr>
          <w:lang w:val="fr-FR"/>
        </w:rPr>
        <w:tab/>
      </w:r>
      <w:r w:rsidRPr="003A76DC">
        <w:rPr>
          <w:lang w:val="fr-FR"/>
        </w:rPr>
        <w:tab/>
      </w:r>
      <w:r w:rsidRPr="003A76DC">
        <w:rPr>
          <w:strike/>
          <w:lang w:val="fr-FR"/>
        </w:rPr>
        <w:t>Extension d’homologation</w:t>
      </w:r>
      <w:r w:rsidRPr="003A76DC">
        <w:rPr>
          <w:lang w:val="fr-FR"/>
        </w:rPr>
        <w:t xml:space="preserve"> </w:t>
      </w:r>
    </w:p>
    <w:p w14:paraId="74A23D92" w14:textId="77777777" w:rsidR="00556307" w:rsidRPr="003A76DC" w:rsidRDefault="00556307" w:rsidP="00556307">
      <w:pPr>
        <w:pStyle w:val="SingleTxtG"/>
        <w:tabs>
          <w:tab w:val="left" w:pos="2268"/>
        </w:tabs>
        <w:spacing w:after="0"/>
        <w:rPr>
          <w:strike/>
          <w:color w:val="000000" w:themeColor="text1"/>
          <w:lang w:val="fr-FR"/>
        </w:rPr>
      </w:pPr>
      <w:r w:rsidRPr="003A76DC">
        <w:rPr>
          <w:lang w:val="fr-FR"/>
        </w:rPr>
        <w:tab/>
      </w:r>
      <w:r w:rsidRPr="003A76DC">
        <w:rPr>
          <w:lang w:val="fr-FR"/>
        </w:rPr>
        <w:tab/>
      </w:r>
      <w:r w:rsidRPr="003A76DC">
        <w:rPr>
          <w:strike/>
          <w:lang w:val="fr-FR"/>
        </w:rPr>
        <w:t>Retrait d’homologation à compter du jj/mm/</w:t>
      </w:r>
      <w:proofErr w:type="spellStart"/>
      <w:r w:rsidRPr="003A76DC">
        <w:rPr>
          <w:strike/>
          <w:lang w:val="fr-FR"/>
        </w:rPr>
        <w:t>aaaa</w:t>
      </w:r>
      <w:proofErr w:type="spellEnd"/>
    </w:p>
    <w:p w14:paraId="0F20FB69" w14:textId="77777777" w:rsidR="00556307" w:rsidRPr="003A76DC" w:rsidRDefault="00556307" w:rsidP="00556307">
      <w:pPr>
        <w:pStyle w:val="SingleTxtG"/>
        <w:tabs>
          <w:tab w:val="left" w:pos="2268"/>
        </w:tabs>
        <w:spacing w:after="0"/>
        <w:rPr>
          <w:strike/>
          <w:color w:val="000000" w:themeColor="text1"/>
          <w:lang w:val="fr-FR"/>
        </w:rPr>
      </w:pPr>
      <w:r w:rsidRPr="003A76DC">
        <w:rPr>
          <w:lang w:val="fr-FR"/>
        </w:rPr>
        <w:tab/>
      </w:r>
      <w:r w:rsidRPr="003A76DC">
        <w:rPr>
          <w:lang w:val="fr-FR"/>
        </w:rPr>
        <w:tab/>
      </w:r>
      <w:r w:rsidRPr="003A76DC">
        <w:rPr>
          <w:strike/>
          <w:lang w:val="fr-FR"/>
        </w:rPr>
        <w:t>Refus d’homologation</w:t>
      </w:r>
      <w:r w:rsidRPr="003A76DC">
        <w:rPr>
          <w:lang w:val="fr-FR"/>
        </w:rPr>
        <w:t xml:space="preserve"> </w:t>
      </w:r>
    </w:p>
    <w:p w14:paraId="7F5997E0" w14:textId="77777777" w:rsidR="00556307" w:rsidRPr="003A76DC" w:rsidRDefault="00556307" w:rsidP="00556307">
      <w:pPr>
        <w:pStyle w:val="SingleTxtG"/>
        <w:tabs>
          <w:tab w:val="left" w:pos="2268"/>
        </w:tabs>
        <w:rPr>
          <w:strike/>
          <w:color w:val="000000" w:themeColor="text1"/>
          <w:lang w:val="fr-FR"/>
        </w:rPr>
      </w:pPr>
      <w:r w:rsidRPr="003A76DC">
        <w:rPr>
          <w:lang w:val="fr-FR"/>
        </w:rPr>
        <w:tab/>
      </w:r>
      <w:r w:rsidRPr="003A76DC">
        <w:rPr>
          <w:lang w:val="fr-FR"/>
        </w:rPr>
        <w:tab/>
      </w:r>
      <w:r w:rsidRPr="003A76DC">
        <w:rPr>
          <w:strike/>
          <w:lang w:val="fr-FR"/>
        </w:rPr>
        <w:t>Arrêt définitif de la production</w:t>
      </w:r>
      <w:r w:rsidRPr="003A76DC">
        <w:rPr>
          <w:lang w:val="fr-FR"/>
        </w:rPr>
        <w:t xml:space="preserve"> </w:t>
      </w:r>
    </w:p>
    <w:p w14:paraId="2B245713" w14:textId="77777777" w:rsidR="00556307" w:rsidRPr="003A76DC" w:rsidRDefault="00556307" w:rsidP="00556307">
      <w:pPr>
        <w:spacing w:after="120"/>
        <w:ind w:left="1134" w:right="1327"/>
        <w:rPr>
          <w:strike/>
          <w:color w:val="000000" w:themeColor="text1"/>
          <w:lang w:val="fr-FR"/>
        </w:rPr>
      </w:pPr>
      <w:r w:rsidRPr="003A76DC">
        <w:rPr>
          <w:strike/>
          <w:lang w:val="fr-FR"/>
        </w:rPr>
        <w:t>d’un type de véhicule, en application du Règlement ONU n</w:t>
      </w:r>
      <w:r w:rsidRPr="003A76DC">
        <w:rPr>
          <w:strike/>
          <w:vertAlign w:val="superscript"/>
          <w:lang w:val="fr-FR"/>
        </w:rPr>
        <w:t>o</w:t>
      </w:r>
      <w:r w:rsidRPr="003A76DC">
        <w:rPr>
          <w:strike/>
          <w:lang w:val="fr-FR"/>
        </w:rPr>
        <w:t xml:space="preserve"> [</w:t>
      </w:r>
      <w:r w:rsidRPr="003A76DC">
        <w:rPr>
          <w:i/>
          <w:iCs/>
          <w:strike/>
          <w:lang w:val="fr-FR"/>
        </w:rPr>
        <w:t>le présent Règlement</w:t>
      </w:r>
      <w:r w:rsidRPr="003A76DC">
        <w:rPr>
          <w:strike/>
          <w:lang w:val="fr-FR"/>
        </w:rPr>
        <w:t>]</w:t>
      </w:r>
    </w:p>
    <w:p w14:paraId="2C2D408E" w14:textId="77777777" w:rsidR="00556307" w:rsidRPr="003A76DC" w:rsidRDefault="00556307" w:rsidP="00556307">
      <w:pPr>
        <w:pStyle w:val="SingleTxtG"/>
        <w:tabs>
          <w:tab w:val="left" w:leader="dot" w:pos="8505"/>
        </w:tabs>
        <w:ind w:left="2257" w:hanging="1123"/>
        <w:rPr>
          <w:strike/>
          <w:color w:val="000000" w:themeColor="text1"/>
          <w:lang w:val="fr-FR"/>
        </w:rPr>
      </w:pPr>
      <w:r w:rsidRPr="003A76DC">
        <w:rPr>
          <w:strike/>
          <w:lang w:val="fr-FR"/>
        </w:rPr>
        <w:t>N</w:t>
      </w:r>
      <w:r w:rsidRPr="003A76DC">
        <w:rPr>
          <w:strike/>
          <w:vertAlign w:val="superscript"/>
          <w:lang w:val="fr-FR"/>
        </w:rPr>
        <w:t>o</w:t>
      </w:r>
      <w:r w:rsidRPr="003A76DC">
        <w:rPr>
          <w:strike/>
          <w:lang w:val="fr-FR"/>
        </w:rPr>
        <w:t xml:space="preserve"> d’homologation : </w:t>
      </w:r>
      <w:r w:rsidRPr="003A76DC">
        <w:rPr>
          <w:strike/>
          <w:lang w:val="fr-FR"/>
        </w:rPr>
        <w:tab/>
      </w:r>
    </w:p>
    <w:p w14:paraId="5F125A74" w14:textId="77777777" w:rsidR="00556307" w:rsidRPr="003A76DC" w:rsidRDefault="00556307" w:rsidP="00556307">
      <w:pPr>
        <w:pStyle w:val="SingleTxtG"/>
        <w:tabs>
          <w:tab w:val="left" w:leader="dot" w:pos="8505"/>
        </w:tabs>
        <w:ind w:left="2257" w:hanging="1123"/>
        <w:rPr>
          <w:strike/>
          <w:color w:val="000000" w:themeColor="text1"/>
          <w:lang w:val="fr-FR"/>
        </w:rPr>
      </w:pPr>
      <w:r w:rsidRPr="003A76DC">
        <w:rPr>
          <w:strike/>
          <w:lang w:val="fr-FR"/>
        </w:rPr>
        <w:t>N</w:t>
      </w:r>
      <w:r w:rsidRPr="003A76DC">
        <w:rPr>
          <w:strike/>
          <w:vertAlign w:val="superscript"/>
          <w:lang w:val="fr-FR"/>
        </w:rPr>
        <w:t>o</w:t>
      </w:r>
      <w:r w:rsidRPr="003A76DC">
        <w:rPr>
          <w:strike/>
          <w:lang w:val="fr-FR"/>
        </w:rPr>
        <w:t xml:space="preserve"> d’extension : </w:t>
      </w:r>
      <w:r w:rsidRPr="003A76DC">
        <w:rPr>
          <w:strike/>
          <w:lang w:val="fr-FR"/>
        </w:rPr>
        <w:tab/>
      </w:r>
    </w:p>
    <w:p w14:paraId="5E25104C" w14:textId="77777777" w:rsidR="00556307" w:rsidRPr="003A76DC" w:rsidRDefault="00556307" w:rsidP="00556307">
      <w:pPr>
        <w:pStyle w:val="SingleTxtG"/>
        <w:tabs>
          <w:tab w:val="left" w:leader="dot" w:pos="8505"/>
        </w:tabs>
        <w:ind w:left="2257" w:hanging="1123"/>
        <w:rPr>
          <w:strike/>
          <w:color w:val="000000" w:themeColor="text1"/>
          <w:lang w:val="fr-FR"/>
        </w:rPr>
      </w:pPr>
      <w:r w:rsidRPr="003A76DC">
        <w:rPr>
          <w:strike/>
          <w:lang w:val="fr-FR"/>
        </w:rPr>
        <w:t xml:space="preserve">Motif de l’extension : </w:t>
      </w:r>
      <w:r w:rsidRPr="003A76DC">
        <w:rPr>
          <w:strike/>
          <w:lang w:val="fr-FR"/>
        </w:rPr>
        <w:tab/>
      </w:r>
    </w:p>
    <w:p w14:paraId="4EEF0CA0" w14:textId="77777777" w:rsidR="00556307" w:rsidRPr="003A76DC" w:rsidRDefault="00556307" w:rsidP="00556307">
      <w:pPr>
        <w:pStyle w:val="SingleTxtG"/>
        <w:rPr>
          <w:strike/>
          <w:color w:val="000000" w:themeColor="text1"/>
          <w:lang w:val="fr-FR"/>
        </w:rPr>
      </w:pPr>
      <w:r w:rsidRPr="003A76DC">
        <w:rPr>
          <w:strike/>
          <w:lang w:val="fr-FR"/>
        </w:rPr>
        <w:t>(…)</w:t>
      </w:r>
    </w:p>
    <w:p w14:paraId="43C427DF" w14:textId="77777777" w:rsidR="00556307" w:rsidRPr="003A76DC" w:rsidRDefault="00556307" w:rsidP="00556307">
      <w:pPr>
        <w:pStyle w:val="SingleTxtG"/>
        <w:rPr>
          <w:strike/>
          <w:color w:val="000000" w:themeColor="text1"/>
          <w:lang w:val="fr-FR"/>
        </w:rPr>
      </w:pPr>
      <w:r w:rsidRPr="003A76DC">
        <w:rPr>
          <w:strike/>
          <w:lang w:val="fr-FR"/>
        </w:rPr>
        <w:t>(…)</w:t>
      </w:r>
    </w:p>
    <w:p w14:paraId="573A765E" w14:textId="77777777" w:rsidR="00556307" w:rsidRPr="003A76DC" w:rsidRDefault="00556307" w:rsidP="00556307">
      <w:pPr>
        <w:pStyle w:val="SingleTxtG"/>
        <w:rPr>
          <w:strike/>
          <w:color w:val="000000" w:themeColor="text1"/>
          <w:lang w:val="fr-FR"/>
        </w:rPr>
      </w:pPr>
      <w:r w:rsidRPr="003A76DC">
        <w:rPr>
          <w:strike/>
          <w:lang w:val="fr-FR"/>
        </w:rPr>
        <w:t>Informations supplémentaires concernant le code RXSWIN :</w:t>
      </w:r>
    </w:p>
    <w:p w14:paraId="78DBE49D" w14:textId="77777777" w:rsidR="00556307" w:rsidRPr="003A76DC" w:rsidRDefault="00556307" w:rsidP="00556307">
      <w:pPr>
        <w:pStyle w:val="SingleTxtG"/>
        <w:tabs>
          <w:tab w:val="left" w:leader="dot" w:pos="8483"/>
        </w:tabs>
        <w:rPr>
          <w:strike/>
          <w:color w:val="000000" w:themeColor="text1"/>
          <w:lang w:val="fr-FR"/>
        </w:rPr>
      </w:pPr>
      <w:r w:rsidRPr="003A76DC">
        <w:rPr>
          <w:strike/>
          <w:lang w:val="fr-FR"/>
        </w:rPr>
        <w:t xml:space="preserve">Informations sur le moyen de lire le code RXSWIN ou la (les) version(s) du (des) logiciel(s) si le RXSWIN n’est pas présent sur le véhicule : </w:t>
      </w:r>
      <w:r w:rsidRPr="003A76DC">
        <w:rPr>
          <w:strike/>
          <w:lang w:val="fr-FR"/>
        </w:rPr>
        <w:tab/>
      </w:r>
    </w:p>
    <w:p w14:paraId="26DE4D87" w14:textId="600C259D" w:rsidR="00556307" w:rsidRPr="003A76DC" w:rsidRDefault="00556307" w:rsidP="00556307">
      <w:pPr>
        <w:pStyle w:val="SingleTxtG"/>
        <w:tabs>
          <w:tab w:val="left" w:leader="dot" w:pos="8483"/>
        </w:tabs>
        <w:rPr>
          <w:strike/>
          <w:color w:val="000000" w:themeColor="text1"/>
          <w:lang w:val="fr-FR"/>
        </w:rPr>
      </w:pPr>
      <w:r w:rsidRPr="003A76DC">
        <w:rPr>
          <w:strike/>
          <w:lang w:val="fr-FR"/>
        </w:rPr>
        <w:t>S’il y a lieu, énumérer les paramètres pertinents qui permettent d’identifier les véhicules pouvant être mis à jour avec le logiciel associé au code RXSWIN indiqué au point ci-dessus : </w:t>
      </w:r>
      <w:r w:rsidRPr="003A76DC">
        <w:rPr>
          <w:strike/>
          <w:lang w:val="fr-FR"/>
        </w:rPr>
        <w:tab/>
      </w:r>
    </w:p>
    <w:p w14:paraId="3950FC80" w14:textId="77777777" w:rsidR="00556307" w:rsidRPr="003A76DC" w:rsidRDefault="00556307" w:rsidP="00556307">
      <w:pPr>
        <w:pStyle w:val="SingleTxtG"/>
        <w:tabs>
          <w:tab w:val="left" w:leader="dot" w:pos="8483"/>
        </w:tabs>
        <w:jc w:val="right"/>
        <w:rPr>
          <w:b/>
          <w:bCs/>
          <w:color w:val="000000" w:themeColor="text1"/>
          <w:lang w:val="fr-FR"/>
        </w:rPr>
      </w:pPr>
      <w:r w:rsidRPr="003A76DC">
        <w:rPr>
          <w:color w:val="000000" w:themeColor="text1"/>
          <w:lang w:val="fr-FR"/>
        </w:rPr>
        <w:t>».</w:t>
      </w:r>
    </w:p>
    <w:p w14:paraId="72F386C6" w14:textId="77777777" w:rsidR="00556307" w:rsidRPr="003A76DC" w:rsidRDefault="00556307" w:rsidP="007A08FB">
      <w:pPr>
        <w:pStyle w:val="HChG"/>
        <w:rPr>
          <w:color w:val="000000" w:themeColor="text1"/>
          <w:lang w:val="fr-FR"/>
        </w:rPr>
      </w:pPr>
      <w:r w:rsidRPr="003A76DC">
        <w:rPr>
          <w:lang w:val="fr-FR"/>
        </w:rPr>
        <w:tab/>
        <w:t>II.</w:t>
      </w:r>
      <w:r w:rsidRPr="003A76DC">
        <w:rPr>
          <w:lang w:val="fr-FR"/>
        </w:rPr>
        <w:tab/>
        <w:t>Justification</w:t>
      </w:r>
    </w:p>
    <w:p w14:paraId="038656B0" w14:textId="324925F5" w:rsidR="00556307" w:rsidRPr="003A76DC" w:rsidRDefault="00556307" w:rsidP="007A08FB">
      <w:pPr>
        <w:pStyle w:val="SingleTxtG"/>
        <w:rPr>
          <w:color w:val="000000" w:themeColor="text1"/>
          <w:lang w:val="fr-FR"/>
        </w:rPr>
      </w:pPr>
      <w:r w:rsidRPr="003A76DC">
        <w:rPr>
          <w:lang w:val="fr-FR"/>
        </w:rPr>
        <w:t>1.</w:t>
      </w:r>
      <w:r w:rsidRPr="003A76DC">
        <w:rPr>
          <w:lang w:val="fr-FR"/>
        </w:rPr>
        <w:tab/>
        <w:t>Il est proposé d’inclure une référence à l’annexe 7 de la Résolution d’ensemble (R.E.3) dans les Règlements ONU relatifs à l’homologation des véhicules en ce qui concerne leurs systèmes afin de permettre l’identification, en circulation, du ou des logiciels correspondants à l’homologation pertinente. À l’heure actuelle, l’utilisation d’un code R</w:t>
      </w:r>
      <w:r w:rsidRPr="003A76DC">
        <w:rPr>
          <w:vertAlign w:val="subscript"/>
          <w:lang w:val="fr-FR"/>
        </w:rPr>
        <w:t>X</w:t>
      </w:r>
      <w:r w:rsidRPr="003A76DC">
        <w:rPr>
          <w:lang w:val="fr-FR"/>
        </w:rPr>
        <w:t>SWIN est laissée à la discrétion du constructeur, le Règlement ONU n</w:t>
      </w:r>
      <w:r w:rsidRPr="003A76DC">
        <w:rPr>
          <w:vertAlign w:val="superscript"/>
          <w:lang w:val="fr-FR"/>
        </w:rPr>
        <w:t>o</w:t>
      </w:r>
      <w:r w:rsidRPr="003A76DC">
        <w:rPr>
          <w:lang w:val="fr-FR"/>
        </w:rPr>
        <w:t xml:space="preserve"> 156 ne l’imposant pas. En outre, puisque le Règlement ONU </w:t>
      </w:r>
      <w:r w:rsidR="007A08FB" w:rsidRPr="003A76DC">
        <w:rPr>
          <w:rFonts w:eastAsia="MS Mincho"/>
          <w:lang w:val="fr-FR"/>
        </w:rPr>
        <w:t>n</w:t>
      </w:r>
      <w:r w:rsidR="007A08FB" w:rsidRPr="003A76DC">
        <w:rPr>
          <w:rFonts w:eastAsia="MS Mincho"/>
          <w:vertAlign w:val="superscript"/>
          <w:lang w:val="fr-FR"/>
        </w:rPr>
        <w:t>o</w:t>
      </w:r>
      <w:r w:rsidR="007A08FB" w:rsidRPr="003A76DC">
        <w:rPr>
          <w:lang w:val="fr-FR"/>
        </w:rPr>
        <w:t> </w:t>
      </w:r>
      <w:r w:rsidRPr="003A76DC">
        <w:rPr>
          <w:lang w:val="fr-FR"/>
        </w:rPr>
        <w:t>156 ne contient pas de prescriptions applicables au type de véhicule en tant que tel, si un code R</w:t>
      </w:r>
      <w:r w:rsidRPr="003A76DC">
        <w:rPr>
          <w:vertAlign w:val="subscript"/>
          <w:lang w:val="fr-FR"/>
        </w:rPr>
        <w:t>X</w:t>
      </w:r>
      <w:r w:rsidRPr="003A76DC">
        <w:rPr>
          <w:lang w:val="fr-FR"/>
        </w:rPr>
        <w:t xml:space="preserve">SWIN n’est pas utilisé, il n’existe aucun moyen d’identifier le logiciel correspondant. </w:t>
      </w:r>
    </w:p>
    <w:p w14:paraId="53B8620C" w14:textId="69C16184" w:rsidR="00556307" w:rsidRPr="003A76DC" w:rsidRDefault="00556307" w:rsidP="00556307">
      <w:pPr>
        <w:pStyle w:val="SingleTxtG"/>
        <w:rPr>
          <w:color w:val="000000" w:themeColor="text1"/>
          <w:lang w:val="fr-FR"/>
        </w:rPr>
      </w:pPr>
      <w:r w:rsidRPr="003A76DC">
        <w:rPr>
          <w:lang w:val="fr-FR"/>
        </w:rPr>
        <w:lastRenderedPageBreak/>
        <w:t>2.</w:t>
      </w:r>
      <w:r w:rsidRPr="003A76DC">
        <w:rPr>
          <w:lang w:val="fr-FR"/>
        </w:rPr>
        <w:tab/>
        <w:t>La possibilité de ne pas utiliser un code R</w:t>
      </w:r>
      <w:r w:rsidRPr="003A76DC">
        <w:rPr>
          <w:vertAlign w:val="subscript"/>
          <w:lang w:val="fr-FR"/>
        </w:rPr>
        <w:t>X</w:t>
      </w:r>
      <w:r w:rsidRPr="003A76DC">
        <w:rPr>
          <w:lang w:val="fr-FR"/>
        </w:rPr>
        <w:t>SWIN est maintenue dans le libellé actuel de la Résolution d’ensemble, ce qui limite la capacité des autorités à identifier les logiciels en pareil cas. Ce point faible avait été repéré dans le Règlement ONU n</w:t>
      </w:r>
      <w:r w:rsidRPr="003A76DC">
        <w:rPr>
          <w:vertAlign w:val="superscript"/>
          <w:lang w:val="fr-FR"/>
        </w:rPr>
        <w:t>o</w:t>
      </w:r>
      <w:r w:rsidRPr="003A76DC">
        <w:rPr>
          <w:lang w:val="fr-FR"/>
        </w:rPr>
        <w:t> 157, lequel reprenait initialement le libellé de la Résolution d’ensemble, avant d’être modifié de manière à rendre obligatoire l’utilisation d’un code R</w:t>
      </w:r>
      <w:r w:rsidRPr="003A76DC">
        <w:rPr>
          <w:vertAlign w:val="subscript"/>
          <w:lang w:val="fr-FR"/>
        </w:rPr>
        <w:t>X</w:t>
      </w:r>
      <w:r w:rsidRPr="003A76DC">
        <w:rPr>
          <w:lang w:val="fr-FR"/>
        </w:rPr>
        <w:t>SWIN. La modification du libellé de la Résolution d’ensemble visant à exiger l’utilisation d’un code R</w:t>
      </w:r>
      <w:r w:rsidRPr="003A76DC">
        <w:rPr>
          <w:vertAlign w:val="subscript"/>
          <w:lang w:val="fr-FR"/>
        </w:rPr>
        <w:t>X</w:t>
      </w:r>
      <w:r w:rsidRPr="003A76DC">
        <w:rPr>
          <w:lang w:val="fr-FR"/>
        </w:rPr>
        <w:t>SWIN ne rend pas cette dernière obligatoire dans toutes les circonstances, mais uniquement dans les Règlements qui y font référence. Le WP.29 a justement chargé les groupes de travail de déterminer pour quels Règlements ONU il est nécessaire de pouvoir identifier le(s) logiciel(s) pertinent(s). À</w:t>
      </w:r>
      <w:r w:rsidR="007A08FB" w:rsidRPr="003A76DC">
        <w:rPr>
          <w:lang w:val="fr-FR"/>
        </w:rPr>
        <w:t> </w:t>
      </w:r>
      <w:r w:rsidRPr="003A76DC">
        <w:rPr>
          <w:lang w:val="fr-FR"/>
        </w:rPr>
        <w:t>l’heure actuelle, les constructeurs peuvent utiliser, de manière facultative et harmonisée, un code R</w:t>
      </w:r>
      <w:r w:rsidRPr="003A76DC">
        <w:rPr>
          <w:vertAlign w:val="subscript"/>
          <w:lang w:val="fr-FR"/>
        </w:rPr>
        <w:t>X</w:t>
      </w:r>
      <w:r w:rsidRPr="003A76DC">
        <w:rPr>
          <w:lang w:val="fr-FR"/>
        </w:rPr>
        <w:t>SWIN sans faire référence à la Résolution d’ensemble, car toutes les dispositions qui s’y rapportent figurent dans le Règlement ONU n</w:t>
      </w:r>
      <w:r w:rsidRPr="003A76DC">
        <w:rPr>
          <w:vertAlign w:val="superscript"/>
          <w:lang w:val="fr-FR"/>
        </w:rPr>
        <w:t>o</w:t>
      </w:r>
      <w:r w:rsidRPr="003A76DC">
        <w:rPr>
          <w:lang w:val="fr-FR"/>
        </w:rPr>
        <w:t> 156. Par conséquent, il n’y a aucun intérêt à mettre à jour le texte de la Résolution d’ensemble et à y faire référence dans les Règlements pertinents, à moins d’imposer l’utilisation d’un tel code.</w:t>
      </w:r>
    </w:p>
    <w:p w14:paraId="63964478" w14:textId="77777777" w:rsidR="00556307" w:rsidRPr="003A76DC" w:rsidRDefault="00556307" w:rsidP="00556307">
      <w:pPr>
        <w:pStyle w:val="SingleTxtG"/>
        <w:rPr>
          <w:lang w:val="fr-FR"/>
        </w:rPr>
      </w:pPr>
      <w:r w:rsidRPr="003A76DC">
        <w:rPr>
          <w:lang w:val="fr-FR"/>
        </w:rPr>
        <w:t>3.</w:t>
      </w:r>
      <w:r w:rsidRPr="003A76DC">
        <w:rPr>
          <w:lang w:val="fr-FR"/>
        </w:rPr>
        <w:tab/>
        <w:t>Il convient de noter qu’un R</w:t>
      </w:r>
      <w:r w:rsidRPr="003A76DC">
        <w:rPr>
          <w:vertAlign w:val="subscript"/>
          <w:lang w:val="fr-FR"/>
        </w:rPr>
        <w:t>X</w:t>
      </w:r>
      <w:r w:rsidRPr="003A76DC">
        <w:rPr>
          <w:lang w:val="fr-FR"/>
        </w:rPr>
        <w:t>SWIN consiste simplement en un code unique et n’a pas besoin de suivre un format particulier (R</w:t>
      </w:r>
      <w:r w:rsidRPr="003A76DC">
        <w:rPr>
          <w:vertAlign w:val="subscript"/>
          <w:lang w:val="fr-FR"/>
        </w:rPr>
        <w:t>79</w:t>
      </w:r>
      <w:r w:rsidRPr="003A76DC">
        <w:rPr>
          <w:lang w:val="fr-FR"/>
        </w:rPr>
        <w:t>A̱ḆC̱ḎE̱, par exemple). Ainsi, le numéro d’identification du logiciel d’un module de gestion électronique ou d’un composant pourrait faire office de code R</w:t>
      </w:r>
      <w:r w:rsidRPr="003A76DC">
        <w:rPr>
          <w:vertAlign w:val="subscript"/>
          <w:lang w:val="fr-FR"/>
        </w:rPr>
        <w:t>X</w:t>
      </w:r>
      <w:r w:rsidRPr="003A76DC">
        <w:rPr>
          <w:lang w:val="fr-FR"/>
        </w:rPr>
        <w:t>SWIN. Il est toutefois entendu que cette situation est peu probable, étant donné que l’homologation de type d’un système porte souvent sur de nombreux modules de gestion électronique et logiciels. Quoi qu’il en soit, ce risque est écarté par la possibilité d’enregistrer le code R</w:t>
      </w:r>
      <w:r w:rsidRPr="003A76DC">
        <w:rPr>
          <w:vertAlign w:val="subscript"/>
          <w:lang w:val="fr-FR"/>
        </w:rPr>
        <w:t>X</w:t>
      </w:r>
      <w:r w:rsidRPr="003A76DC">
        <w:rPr>
          <w:lang w:val="fr-FR"/>
        </w:rPr>
        <w:t>SWIN sans le faire figurer sur le véhicule. Dans ce cas, le code R</w:t>
      </w:r>
      <w:r w:rsidRPr="003A76DC">
        <w:rPr>
          <w:vertAlign w:val="subscript"/>
          <w:lang w:val="fr-FR"/>
        </w:rPr>
        <w:t>X</w:t>
      </w:r>
      <w:r w:rsidRPr="003A76DC">
        <w:rPr>
          <w:lang w:val="fr-FR"/>
        </w:rPr>
        <w:t>SWIN unique renvoie à toutes les versions pertinentes du logiciel utilisées pour le véhicule ; le constructeur doit néanmoins renseigner la liste des versions relevant de ce R</w:t>
      </w:r>
      <w:r w:rsidRPr="003A76DC">
        <w:rPr>
          <w:vertAlign w:val="subscript"/>
          <w:lang w:val="fr-FR"/>
        </w:rPr>
        <w:t>X</w:t>
      </w:r>
      <w:r w:rsidRPr="003A76DC">
        <w:rPr>
          <w:lang w:val="fr-FR"/>
        </w:rPr>
        <w:t>SWIN dans le registre vérifiable. S’il utilise un système de gestion des mises à jour logicielles certifié, cette pratique devrait déjà avoir cours, car les autorités compétentes doivent être en mesure d’identifier le logiciel correspondant à une homologation donnée pour tout véhicule homologué conformément au Règlement ONU n</w:t>
      </w:r>
      <w:r w:rsidRPr="003A76DC">
        <w:rPr>
          <w:vertAlign w:val="superscript"/>
          <w:lang w:val="fr-FR"/>
        </w:rPr>
        <w:t>o</w:t>
      </w:r>
      <w:r w:rsidRPr="003A76DC">
        <w:rPr>
          <w:lang w:val="fr-FR"/>
        </w:rPr>
        <w:t> 156.</w:t>
      </w:r>
    </w:p>
    <w:p w14:paraId="40657298" w14:textId="16CD8ED5" w:rsidR="00F9573C" w:rsidRDefault="00556307" w:rsidP="00556307">
      <w:pPr>
        <w:pStyle w:val="SingleTxtG"/>
        <w:rPr>
          <w:lang w:val="fr-FR"/>
        </w:rPr>
      </w:pPr>
      <w:r w:rsidRPr="003A76DC">
        <w:rPr>
          <w:lang w:val="fr-FR"/>
        </w:rPr>
        <w:t>4.</w:t>
      </w:r>
      <w:r w:rsidRPr="003A76DC">
        <w:rPr>
          <w:lang w:val="fr-FR"/>
        </w:rPr>
        <w:tab/>
        <w:t>La présente proposition repose sur les modifications apportées dans le complément 2 au Règlement ONU n</w:t>
      </w:r>
      <w:r w:rsidRPr="003A76DC">
        <w:rPr>
          <w:vertAlign w:val="superscript"/>
          <w:lang w:val="fr-FR"/>
        </w:rPr>
        <w:t>o</w:t>
      </w:r>
      <w:r w:rsidRPr="003A76DC">
        <w:rPr>
          <w:lang w:val="fr-FR"/>
        </w:rPr>
        <w:t> 157, qui visaient à rendre obligatoire, en toutes circonstances, l’utilisation d’un code R</w:t>
      </w:r>
      <w:r w:rsidRPr="003A76DC">
        <w:rPr>
          <w:vertAlign w:val="subscript"/>
          <w:lang w:val="fr-FR"/>
        </w:rPr>
        <w:t>X</w:t>
      </w:r>
      <w:r w:rsidRPr="003A76DC">
        <w:rPr>
          <w:lang w:val="fr-FR"/>
        </w:rPr>
        <w:t>SWIN. Il est en outre proposé d’apporter des modifications à la fiche de communication, afin que les informations concernant le code R</w:t>
      </w:r>
      <w:r w:rsidRPr="003A76DC">
        <w:rPr>
          <w:vertAlign w:val="subscript"/>
          <w:lang w:val="fr-FR"/>
        </w:rPr>
        <w:t>X</w:t>
      </w:r>
      <w:r w:rsidRPr="003A76DC">
        <w:rPr>
          <w:lang w:val="fr-FR"/>
        </w:rPr>
        <w:t>SWIN soient clairement indiquées.</w:t>
      </w:r>
    </w:p>
    <w:p w14:paraId="29DAC0A1" w14:textId="0DE07FD3" w:rsidR="00556307" w:rsidRPr="00556307" w:rsidRDefault="00556307" w:rsidP="00556307">
      <w:pPr>
        <w:pStyle w:val="SingleTxtG"/>
        <w:spacing w:before="240" w:after="0"/>
        <w:jc w:val="center"/>
        <w:rPr>
          <w:u w:val="single"/>
        </w:rPr>
      </w:pPr>
      <w:r>
        <w:rPr>
          <w:u w:val="single"/>
        </w:rPr>
        <w:tab/>
      </w:r>
      <w:r>
        <w:rPr>
          <w:u w:val="single"/>
        </w:rPr>
        <w:tab/>
      </w:r>
      <w:r>
        <w:rPr>
          <w:u w:val="single"/>
        </w:rPr>
        <w:tab/>
      </w:r>
      <w:r>
        <w:rPr>
          <w:u w:val="single"/>
        </w:rPr>
        <w:tab/>
      </w:r>
    </w:p>
    <w:sectPr w:rsidR="00556307" w:rsidRPr="00556307" w:rsidSect="0055630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F8D16" w14:textId="77777777" w:rsidR="006244EE" w:rsidRDefault="006244EE" w:rsidP="00F95C08">
      <w:pPr>
        <w:spacing w:line="240" w:lineRule="auto"/>
      </w:pPr>
    </w:p>
  </w:endnote>
  <w:endnote w:type="continuationSeparator" w:id="0">
    <w:p w14:paraId="47563F90" w14:textId="77777777" w:rsidR="006244EE" w:rsidRPr="00AC3823" w:rsidRDefault="006244EE" w:rsidP="00AC3823">
      <w:pPr>
        <w:pStyle w:val="Pieddepage"/>
      </w:pPr>
    </w:p>
  </w:endnote>
  <w:endnote w:type="continuationNotice" w:id="1">
    <w:p w14:paraId="441D2B97" w14:textId="77777777" w:rsidR="006244EE" w:rsidRDefault="006244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65E43" w14:textId="77C7314D" w:rsidR="00556307" w:rsidRPr="00556307" w:rsidRDefault="00556307" w:rsidP="00556307">
    <w:pPr>
      <w:pStyle w:val="Pieddepage"/>
      <w:tabs>
        <w:tab w:val="right" w:pos="9638"/>
      </w:tabs>
    </w:pPr>
    <w:r w:rsidRPr="00556307">
      <w:rPr>
        <w:b/>
        <w:sz w:val="18"/>
      </w:rPr>
      <w:fldChar w:fldCharType="begin"/>
    </w:r>
    <w:r w:rsidRPr="00556307">
      <w:rPr>
        <w:b/>
        <w:sz w:val="18"/>
      </w:rPr>
      <w:instrText xml:space="preserve"> PAGE  \* MERGEFORMAT </w:instrText>
    </w:r>
    <w:r w:rsidRPr="00556307">
      <w:rPr>
        <w:b/>
        <w:sz w:val="18"/>
      </w:rPr>
      <w:fldChar w:fldCharType="separate"/>
    </w:r>
    <w:r w:rsidRPr="00556307">
      <w:rPr>
        <w:b/>
        <w:noProof/>
        <w:sz w:val="18"/>
      </w:rPr>
      <w:t>2</w:t>
    </w:r>
    <w:r w:rsidRPr="00556307">
      <w:rPr>
        <w:b/>
        <w:sz w:val="18"/>
      </w:rPr>
      <w:fldChar w:fldCharType="end"/>
    </w:r>
    <w:r>
      <w:rPr>
        <w:b/>
        <w:sz w:val="18"/>
      </w:rPr>
      <w:tab/>
    </w:r>
    <w:r>
      <w:t>GE.24-06602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14FBC" w14:textId="48736911" w:rsidR="00556307" w:rsidRPr="00556307" w:rsidRDefault="00556307" w:rsidP="00556307">
    <w:pPr>
      <w:pStyle w:val="Pieddepage"/>
      <w:tabs>
        <w:tab w:val="right" w:pos="9638"/>
      </w:tabs>
      <w:rPr>
        <w:b/>
        <w:sz w:val="18"/>
      </w:rPr>
    </w:pPr>
    <w:r>
      <w:t>GE.24-06602</w:t>
    </w:r>
    <w:r>
      <w:tab/>
    </w:r>
    <w:r w:rsidRPr="00556307">
      <w:rPr>
        <w:b/>
        <w:sz w:val="18"/>
      </w:rPr>
      <w:fldChar w:fldCharType="begin"/>
    </w:r>
    <w:r w:rsidRPr="00556307">
      <w:rPr>
        <w:b/>
        <w:sz w:val="18"/>
      </w:rPr>
      <w:instrText xml:space="preserve"> PAGE  \* MERGEFORMAT </w:instrText>
    </w:r>
    <w:r w:rsidRPr="00556307">
      <w:rPr>
        <w:b/>
        <w:sz w:val="18"/>
      </w:rPr>
      <w:fldChar w:fldCharType="separate"/>
    </w:r>
    <w:r w:rsidRPr="00556307">
      <w:rPr>
        <w:b/>
        <w:noProof/>
        <w:sz w:val="18"/>
      </w:rPr>
      <w:t>3</w:t>
    </w:r>
    <w:r w:rsidRPr="005563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E8B00" w14:textId="515E4D9A" w:rsidR="007F20FA" w:rsidRPr="00556307" w:rsidRDefault="00556307" w:rsidP="0055630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583F27D" wp14:editId="5A2E402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24-06602  (F)</w:t>
    </w:r>
    <w:r>
      <w:rPr>
        <w:noProof/>
        <w:sz w:val="20"/>
      </w:rPr>
      <w:drawing>
        <wp:anchor distT="0" distB="0" distL="114300" distR="114300" simplePos="0" relativeHeight="251660288" behindDoc="0" locked="0" layoutInCell="1" allowOverlap="1" wp14:anchorId="2FF0C46F" wp14:editId="669FBE30">
          <wp:simplePos x="0" y="0"/>
          <wp:positionH relativeFrom="margin">
            <wp:posOffset>5489575</wp:posOffset>
          </wp:positionH>
          <wp:positionV relativeFrom="margin">
            <wp:posOffset>8891905</wp:posOffset>
          </wp:positionV>
          <wp:extent cx="628650" cy="628650"/>
          <wp:effectExtent l="0" t="0" r="0" b="0"/>
          <wp:wrapNone/>
          <wp:docPr id="18912031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090524    090524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901B" w14:textId="77777777" w:rsidR="006244EE" w:rsidRPr="00AC3823" w:rsidRDefault="006244EE" w:rsidP="00AC3823">
      <w:pPr>
        <w:pStyle w:val="Pieddepage"/>
        <w:tabs>
          <w:tab w:val="right" w:pos="2155"/>
        </w:tabs>
        <w:spacing w:after="80" w:line="240" w:lineRule="atLeast"/>
        <w:ind w:left="680"/>
        <w:rPr>
          <w:u w:val="single"/>
        </w:rPr>
      </w:pPr>
      <w:r>
        <w:rPr>
          <w:u w:val="single"/>
        </w:rPr>
        <w:tab/>
      </w:r>
    </w:p>
  </w:footnote>
  <w:footnote w:type="continuationSeparator" w:id="0">
    <w:p w14:paraId="35C3DA39" w14:textId="77777777" w:rsidR="006244EE" w:rsidRPr="00AC3823" w:rsidRDefault="006244EE" w:rsidP="00AC3823">
      <w:pPr>
        <w:pStyle w:val="Pieddepage"/>
        <w:tabs>
          <w:tab w:val="right" w:pos="2155"/>
        </w:tabs>
        <w:spacing w:after="80" w:line="240" w:lineRule="atLeast"/>
        <w:ind w:left="680"/>
        <w:rPr>
          <w:u w:val="single"/>
        </w:rPr>
      </w:pPr>
      <w:r>
        <w:rPr>
          <w:u w:val="single"/>
        </w:rPr>
        <w:tab/>
      </w:r>
    </w:p>
  </w:footnote>
  <w:footnote w:type="continuationNotice" w:id="1">
    <w:p w14:paraId="10D988AB" w14:textId="77777777" w:rsidR="006244EE" w:rsidRPr="00AC3823" w:rsidRDefault="006244EE">
      <w:pPr>
        <w:spacing w:line="240" w:lineRule="auto"/>
        <w:rPr>
          <w:sz w:val="2"/>
          <w:szCs w:val="2"/>
        </w:rPr>
      </w:pPr>
    </w:p>
  </w:footnote>
  <w:footnote w:id="2">
    <w:p w14:paraId="411E56FA" w14:textId="77777777" w:rsidR="00556307" w:rsidRDefault="00556307" w:rsidP="00556307">
      <w:pPr>
        <w:pStyle w:val="Notedebasdepage"/>
        <w:rPr>
          <w:lang w:val="fr-FR"/>
        </w:rPr>
      </w:pPr>
      <w:r>
        <w:rPr>
          <w:lang w:val="fr-FR"/>
        </w:rPr>
        <w:tab/>
      </w:r>
      <w:r w:rsidRPr="007F3532">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556B2F19" w14:textId="77777777" w:rsidR="007F3532" w:rsidRPr="00003D9D" w:rsidRDefault="007F3532" w:rsidP="00556307">
      <w:pPr>
        <w:pStyle w:val="Notedebasdepage"/>
        <w:rPr>
          <w:lang w:val="fr-FR"/>
        </w:rPr>
      </w:pPr>
    </w:p>
  </w:footnote>
  <w:footnote w:id="3">
    <w:p w14:paraId="43FB7CAD" w14:textId="77777777" w:rsidR="00556307" w:rsidRPr="003B4AE7" w:rsidRDefault="00556307" w:rsidP="00556307">
      <w:pPr>
        <w:pStyle w:val="Notedebasdepage"/>
        <w:rPr>
          <w:rStyle w:val="Appelnotedebasdep"/>
          <w:strike/>
          <w:lang w:val="fr-FR"/>
        </w:rPr>
      </w:pPr>
      <w:r w:rsidRPr="00003D9D">
        <w:rPr>
          <w:rStyle w:val="Appelnotedebasdep"/>
          <w:lang w:val="fr-FR"/>
        </w:rPr>
        <w:tab/>
      </w:r>
      <w:r w:rsidRPr="003B4AE7">
        <w:rPr>
          <w:rStyle w:val="Appelnotedebasdep"/>
          <w:strike/>
        </w:rPr>
        <w:footnoteRef/>
      </w:r>
      <w:r w:rsidRPr="003B4AE7">
        <w:rPr>
          <w:rStyle w:val="Appelnotedebasdep"/>
          <w:strike/>
          <w:lang w:val="fr-FR"/>
        </w:rPr>
        <w:tab/>
      </w:r>
      <w:r w:rsidRPr="003B4AE7">
        <w:rPr>
          <w:rStyle w:val="Appelnotedebasdep"/>
          <w:strike/>
          <w:vertAlign w:val="baseline"/>
        </w:rPr>
        <w:t>Numéro distinctif du pays qui a délivré/étendu/refusé/retiré l’homologation (voir les dispositions du Règlement relatives à l’homologation</w:t>
      </w:r>
      <w:r w:rsidRPr="003B4AE7">
        <w:rPr>
          <w:rStyle w:val="Appelnotedebasdep"/>
          <w:strike/>
          <w:vertAlign w:val="baseline"/>
          <w:lang w:val="fr-FR"/>
        </w:rPr>
        <w:t>).</w:t>
      </w:r>
    </w:p>
  </w:footnote>
  <w:footnote w:id="4">
    <w:p w14:paraId="21EADA1B" w14:textId="77777777" w:rsidR="00556307" w:rsidRPr="003A767D" w:rsidRDefault="00556307" w:rsidP="00556307">
      <w:pPr>
        <w:pStyle w:val="Notedebasdepage"/>
        <w:rPr>
          <w:rStyle w:val="Appelnotedebasdep"/>
          <w:lang w:val="fr-FR"/>
        </w:rPr>
      </w:pPr>
      <w:r>
        <w:rPr>
          <w:rStyle w:val="Appelnotedebasdep"/>
          <w:lang w:val="fr-FR"/>
        </w:rPr>
        <w:tab/>
      </w:r>
      <w:r w:rsidRPr="003A767D">
        <w:rPr>
          <w:rStyle w:val="Appelnotedebasdep"/>
        </w:rPr>
        <w:footnoteRef/>
      </w:r>
      <w:r>
        <w:rPr>
          <w:lang w:val="fr-FR"/>
        </w:rPr>
        <w:tab/>
      </w:r>
      <w:r>
        <w:rPr>
          <w:strike/>
          <w:lang w:val="fr-FR"/>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6AC0E" w14:textId="740D5B9A" w:rsidR="00556307" w:rsidRPr="00556307" w:rsidRDefault="00556307">
    <w:pPr>
      <w:pStyle w:val="En-tte"/>
    </w:pPr>
    <w:fldSimple w:instr=" TITLE  \* MERGEFORMAT ">
      <w:r>
        <w:t>ECE/TRANS/WP.29/GRVA/2024/20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4559C" w14:textId="5E4E6D5A" w:rsidR="00556307" w:rsidRPr="00556307" w:rsidRDefault="00556307" w:rsidP="00556307">
    <w:pPr>
      <w:pStyle w:val="En-tte"/>
      <w:jc w:val="right"/>
    </w:pPr>
    <w:fldSimple w:instr=" TITLE  \* MERGEFORMAT ">
      <w:r>
        <w:t>ECE/TRANS/WP.29/GRVA/2024/20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57128580">
    <w:abstractNumId w:val="12"/>
  </w:num>
  <w:num w:numId="2" w16cid:durableId="535965582">
    <w:abstractNumId w:val="11"/>
  </w:num>
  <w:num w:numId="3" w16cid:durableId="1081610202">
    <w:abstractNumId w:val="10"/>
  </w:num>
  <w:num w:numId="4" w16cid:durableId="2038850356">
    <w:abstractNumId w:val="8"/>
  </w:num>
  <w:num w:numId="5" w16cid:durableId="1381444551">
    <w:abstractNumId w:val="3"/>
  </w:num>
  <w:num w:numId="6" w16cid:durableId="1334071013">
    <w:abstractNumId w:val="2"/>
  </w:num>
  <w:num w:numId="7" w16cid:durableId="1089740713">
    <w:abstractNumId w:val="1"/>
  </w:num>
  <w:num w:numId="8" w16cid:durableId="319697049">
    <w:abstractNumId w:val="0"/>
  </w:num>
  <w:num w:numId="9" w16cid:durableId="197620381">
    <w:abstractNumId w:val="9"/>
  </w:num>
  <w:num w:numId="10" w16cid:durableId="1444499758">
    <w:abstractNumId w:val="7"/>
  </w:num>
  <w:num w:numId="11" w16cid:durableId="90398726">
    <w:abstractNumId w:val="6"/>
  </w:num>
  <w:num w:numId="12" w16cid:durableId="1541628826">
    <w:abstractNumId w:val="5"/>
  </w:num>
  <w:num w:numId="13" w16cid:durableId="285429515">
    <w:abstractNumId w:val="4"/>
  </w:num>
  <w:num w:numId="14" w16cid:durableId="1622222403">
    <w:abstractNumId w:val="12"/>
  </w:num>
  <w:num w:numId="15" w16cid:durableId="1582909775">
    <w:abstractNumId w:val="11"/>
  </w:num>
  <w:num w:numId="16" w16cid:durableId="649135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E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E7811"/>
    <w:rsid w:val="00305801"/>
    <w:rsid w:val="003916DE"/>
    <w:rsid w:val="003A76DC"/>
    <w:rsid w:val="003B4AE7"/>
    <w:rsid w:val="00421996"/>
    <w:rsid w:val="00441C3B"/>
    <w:rsid w:val="00446FE5"/>
    <w:rsid w:val="00452396"/>
    <w:rsid w:val="00477EB2"/>
    <w:rsid w:val="004837D8"/>
    <w:rsid w:val="004E2EED"/>
    <w:rsid w:val="004E468C"/>
    <w:rsid w:val="005505B7"/>
    <w:rsid w:val="00556307"/>
    <w:rsid w:val="00573BE5"/>
    <w:rsid w:val="00586ED3"/>
    <w:rsid w:val="00596AA9"/>
    <w:rsid w:val="006244EE"/>
    <w:rsid w:val="0071601D"/>
    <w:rsid w:val="007A08FB"/>
    <w:rsid w:val="007A62E6"/>
    <w:rsid w:val="007F20FA"/>
    <w:rsid w:val="007F3532"/>
    <w:rsid w:val="0080684C"/>
    <w:rsid w:val="00871C75"/>
    <w:rsid w:val="008776DC"/>
    <w:rsid w:val="008D5EF9"/>
    <w:rsid w:val="009446C0"/>
    <w:rsid w:val="009705C8"/>
    <w:rsid w:val="009C1CF4"/>
    <w:rsid w:val="009C626B"/>
    <w:rsid w:val="009F6B74"/>
    <w:rsid w:val="00A10EA8"/>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6765D"/>
    <w:rsid w:val="00D7622E"/>
    <w:rsid w:val="00DB1831"/>
    <w:rsid w:val="00DD3BFD"/>
    <w:rsid w:val="00DF6678"/>
    <w:rsid w:val="00E0299A"/>
    <w:rsid w:val="00E85C74"/>
    <w:rsid w:val="00E87C35"/>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19A15"/>
  <w15:docId w15:val="{BAC69DDB-E93E-43C9-922F-FC7BB6C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7F3532"/>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56307"/>
    <w:rPr>
      <w:rFonts w:ascii="Times New Roman" w:eastAsiaTheme="minorHAnsi" w:hAnsi="Times New Roman" w:cs="Times New Roman"/>
      <w:sz w:val="20"/>
      <w:szCs w:val="20"/>
      <w:lang w:eastAsia="en-US"/>
    </w:rPr>
  </w:style>
  <w:style w:type="character" w:customStyle="1" w:styleId="HChGChar">
    <w:name w:val="_ H _Ch_G Char"/>
    <w:link w:val="HChG"/>
    <w:qFormat/>
    <w:rsid w:val="00556307"/>
    <w:rPr>
      <w:rFonts w:ascii="Times New Roman" w:eastAsiaTheme="minorHAnsi" w:hAnsi="Times New Roman" w:cs="Times New Roman"/>
      <w:b/>
      <w:sz w:val="28"/>
      <w:szCs w:val="20"/>
      <w:lang w:eastAsia="en-US"/>
    </w:rPr>
  </w:style>
  <w:style w:type="character" w:customStyle="1" w:styleId="H1GChar">
    <w:name w:val="_ H_1_G Char"/>
    <w:link w:val="H1G"/>
    <w:rsid w:val="0055630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416D3-3E82-4389-A588-7A4B422FBE38}"/>
</file>

<file path=customXml/itemProps2.xml><?xml version="1.0" encoding="utf-8"?>
<ds:datastoreItem xmlns:ds="http://schemas.openxmlformats.org/officeDocument/2006/customXml" ds:itemID="{DFD541E4-1ED0-4E14-9CB3-189B96A519E1}"/>
</file>

<file path=docProps/app.xml><?xml version="1.0" encoding="utf-8"?>
<Properties xmlns="http://schemas.openxmlformats.org/officeDocument/2006/extended-properties" xmlns:vt="http://schemas.openxmlformats.org/officeDocument/2006/docPropsVTypes">
  <Template>ECE_TRANS.dotm</Template>
  <TotalTime>0</TotalTime>
  <Pages>6</Pages>
  <Words>1774</Words>
  <Characters>12422</Characters>
  <Application>Microsoft Office Word</Application>
  <DocSecurity>0</DocSecurity>
  <Lines>1035</Lines>
  <Paragraphs>567</Paragraphs>
  <ScaleCrop>false</ScaleCrop>
  <HeadingPairs>
    <vt:vector size="2" baseType="variant">
      <vt:variant>
        <vt:lpstr>Titre</vt:lpstr>
      </vt:variant>
      <vt:variant>
        <vt:i4>1</vt:i4>
      </vt:variant>
    </vt:vector>
  </HeadingPairs>
  <TitlesOfParts>
    <vt:vector size="1" baseType="lpstr">
      <vt:lpstr>ECE/TRANS/WP.29/GRVA/2024/20</vt:lpstr>
    </vt:vector>
  </TitlesOfParts>
  <Company>DCM</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ECE/TRANS/WP.29/GRVA/2024/20</dc:title>
  <dc:subject/>
  <dc:creator>Nathalie VITTOZ</dc:creator>
  <cp:keywords/>
  <cp:lastModifiedBy>Nathalie VITTOZ</cp:lastModifiedBy>
  <cp:revision>2</cp:revision>
  <cp:lastPrinted>2014-05-14T10:59:00Z</cp:lastPrinted>
  <dcterms:created xsi:type="dcterms:W3CDTF">2024-05-09T11:41:00Z</dcterms:created>
  <dcterms:modified xsi:type="dcterms:W3CDTF">2024-05-09T11:41:00Z</dcterms:modified>
</cp:coreProperties>
</file>