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03672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7FF0E8" w14:textId="77777777" w:rsidR="002D5AAC" w:rsidRDefault="002D5AAC" w:rsidP="004A7A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49E8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749EF9" w14:textId="73DC44EA" w:rsidR="002D5AAC" w:rsidRDefault="004A7A48" w:rsidP="004A7A48">
            <w:pPr>
              <w:jc w:val="right"/>
            </w:pPr>
            <w:r w:rsidRPr="004A7A48">
              <w:rPr>
                <w:sz w:val="40"/>
              </w:rPr>
              <w:t>ECE</w:t>
            </w:r>
            <w:r>
              <w:t>/TRANS/WP.29/GRVA/2024/19</w:t>
            </w:r>
          </w:p>
        </w:tc>
      </w:tr>
      <w:tr w:rsidR="002D5AAC" w:rsidRPr="004A7A48" w14:paraId="04243D1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996C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D14DCE" wp14:editId="6AA2A5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DBDEA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6EC499" w14:textId="77777777" w:rsidR="002D5AAC" w:rsidRDefault="004A7A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A1E516" w14:textId="77777777" w:rsidR="004A7A48" w:rsidRDefault="004A7A48" w:rsidP="004A7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2C84742C" w14:textId="77777777" w:rsidR="004A7A48" w:rsidRDefault="004A7A48" w:rsidP="004A7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F94DA2" w14:textId="18E5A808" w:rsidR="004A7A48" w:rsidRPr="008D53B6" w:rsidRDefault="004A7A48" w:rsidP="004A7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47300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05B105" w14:textId="77777777" w:rsidR="004A7A48" w:rsidRPr="00100A15" w:rsidRDefault="004A7A48" w:rsidP="004A7A48">
      <w:pPr>
        <w:spacing w:before="120"/>
        <w:rPr>
          <w:sz w:val="28"/>
          <w:szCs w:val="28"/>
        </w:rPr>
      </w:pPr>
      <w:r w:rsidRPr="00100A15">
        <w:rPr>
          <w:sz w:val="28"/>
          <w:szCs w:val="28"/>
        </w:rPr>
        <w:t>Комитет по внутреннему транспорту</w:t>
      </w:r>
    </w:p>
    <w:p w14:paraId="7D64D173" w14:textId="77777777" w:rsidR="004A7A48" w:rsidRPr="00100A15" w:rsidRDefault="004A7A48" w:rsidP="004A7A48">
      <w:pPr>
        <w:spacing w:before="120"/>
        <w:rPr>
          <w:b/>
          <w:sz w:val="24"/>
          <w:szCs w:val="24"/>
        </w:rPr>
      </w:pPr>
      <w:r w:rsidRPr="00100A15">
        <w:rPr>
          <w:b/>
          <w:bCs/>
          <w:sz w:val="24"/>
          <w:szCs w:val="24"/>
        </w:rPr>
        <w:t>Всемирный форум для согласования правил</w:t>
      </w:r>
      <w:r w:rsidRPr="00100A15">
        <w:rPr>
          <w:b/>
          <w:bCs/>
          <w:sz w:val="24"/>
          <w:szCs w:val="24"/>
        </w:rPr>
        <w:br/>
        <w:t>в области транспортных средств</w:t>
      </w:r>
    </w:p>
    <w:p w14:paraId="1FC4114E" w14:textId="77777777" w:rsidR="004A7A48" w:rsidRPr="00100A15" w:rsidRDefault="004A7A48" w:rsidP="004A7A48">
      <w:pPr>
        <w:spacing w:before="120"/>
        <w:rPr>
          <w:b/>
        </w:rPr>
      </w:pPr>
      <w:r w:rsidRPr="00100A15">
        <w:rPr>
          <w:b/>
          <w:bCs/>
        </w:rPr>
        <w:t xml:space="preserve">Рабочая группа по автоматизированным/автономным </w:t>
      </w:r>
      <w:r w:rsidRPr="00100A15">
        <w:rPr>
          <w:b/>
          <w:bCs/>
        </w:rPr>
        <w:br/>
        <w:t>и подключенным транспортным средствам</w:t>
      </w:r>
    </w:p>
    <w:p w14:paraId="3FD89FCC" w14:textId="77777777" w:rsidR="004A7A48" w:rsidRPr="00100A15" w:rsidRDefault="004A7A48" w:rsidP="004A7A48">
      <w:pPr>
        <w:spacing w:before="120"/>
        <w:rPr>
          <w:b/>
        </w:rPr>
      </w:pPr>
      <w:r w:rsidRPr="00100A15">
        <w:rPr>
          <w:b/>
          <w:bCs/>
        </w:rPr>
        <w:t>Девятнадцатая сессия</w:t>
      </w:r>
    </w:p>
    <w:p w14:paraId="7477335E" w14:textId="77777777" w:rsidR="004A7A48" w:rsidRPr="00100A15" w:rsidRDefault="004A7A48" w:rsidP="004A7A48">
      <w:r w:rsidRPr="00100A15">
        <w:t>Женева, 25 июня 2024 года</w:t>
      </w:r>
    </w:p>
    <w:p w14:paraId="1BFA8A52" w14:textId="77777777" w:rsidR="004A7A48" w:rsidRPr="00100A15" w:rsidRDefault="004A7A48" w:rsidP="004A7A48">
      <w:r w:rsidRPr="00100A15">
        <w:t>Пункт 7 предварительной повестки дня</w:t>
      </w:r>
    </w:p>
    <w:p w14:paraId="7599384A" w14:textId="77777777" w:rsidR="004A7A48" w:rsidRPr="00100A15" w:rsidRDefault="004A7A48" w:rsidP="004A7A48">
      <w:pPr>
        <w:rPr>
          <w:b/>
          <w:bCs/>
        </w:rPr>
      </w:pPr>
      <w:r w:rsidRPr="00100A15">
        <w:rPr>
          <w:b/>
          <w:bCs/>
        </w:rPr>
        <w:t>Система автоматического экстренного торможения</w:t>
      </w:r>
    </w:p>
    <w:p w14:paraId="12115A2F" w14:textId="7E2EA7C6" w:rsidR="004A7A48" w:rsidRPr="00100A15" w:rsidRDefault="004A7A48" w:rsidP="004A7A48">
      <w:pPr>
        <w:pStyle w:val="HChG"/>
      </w:pPr>
      <w:r w:rsidRPr="00100A15">
        <w:tab/>
      </w:r>
      <w:r w:rsidRPr="00100A15">
        <w:tab/>
      </w:r>
      <w:r w:rsidRPr="00100A15">
        <w:rPr>
          <w:bCs/>
        </w:rPr>
        <w:t xml:space="preserve">Предложение по дополнению к поправкам серии 01 </w:t>
      </w:r>
      <w:r>
        <w:rPr>
          <w:bCs/>
        </w:rPr>
        <w:br/>
      </w:r>
      <w:r w:rsidRPr="00100A15">
        <w:rPr>
          <w:bCs/>
        </w:rPr>
        <w:t>к Правилам № 152 ООН (система автоматического экстренного торможения для транспортных средств категорий M</w:t>
      </w:r>
      <w:r w:rsidRPr="00100A15">
        <w:rPr>
          <w:bCs/>
          <w:vertAlign w:val="subscript"/>
        </w:rPr>
        <w:t>1</w:t>
      </w:r>
      <w:r w:rsidRPr="00100A15">
        <w:rPr>
          <w:bCs/>
        </w:rPr>
        <w:t xml:space="preserve"> и N</w:t>
      </w:r>
      <w:r w:rsidRPr="00100A15">
        <w:rPr>
          <w:bCs/>
          <w:vertAlign w:val="subscript"/>
        </w:rPr>
        <w:t>1</w:t>
      </w:r>
      <w:r w:rsidRPr="00100A15">
        <w:rPr>
          <w:bCs/>
        </w:rPr>
        <w:t>)</w:t>
      </w:r>
    </w:p>
    <w:p w14:paraId="3EBD74BF" w14:textId="77777777" w:rsidR="004A7A48" w:rsidRPr="004A7A48" w:rsidRDefault="004A7A48" w:rsidP="004A7A48">
      <w:pPr>
        <w:pStyle w:val="H1G"/>
        <w:rPr>
          <w:b w:val="0"/>
          <w:bCs/>
          <w:sz w:val="18"/>
          <w:szCs w:val="18"/>
        </w:rPr>
      </w:pPr>
      <w:r w:rsidRPr="00100A15">
        <w:tab/>
      </w:r>
      <w:r w:rsidRPr="00100A15">
        <w:tab/>
      </w:r>
      <w:r w:rsidRPr="00100A15">
        <w:rPr>
          <w:bCs/>
        </w:rPr>
        <w:t>Представлено экспертом от Франции</w:t>
      </w:r>
      <w:r w:rsidRPr="004A7A48">
        <w:rPr>
          <w:rStyle w:val="aa"/>
          <w:b w:val="0"/>
          <w:bCs/>
          <w:szCs w:val="18"/>
          <w:vertAlign w:val="baseline"/>
        </w:rPr>
        <w:footnoteReference w:customMarkFollows="1" w:id="1"/>
        <w:t>*</w:t>
      </w:r>
    </w:p>
    <w:p w14:paraId="05349BA8" w14:textId="77777777" w:rsidR="004A7A48" w:rsidRPr="00100A15" w:rsidRDefault="004A7A48" w:rsidP="004A7A48">
      <w:pPr>
        <w:pStyle w:val="SingleTxtG"/>
      </w:pPr>
      <w:r w:rsidRPr="00100A15">
        <w:tab/>
        <w:t>Воспроизведенный ниже текст был подготовлен экспертом от Франции с целью включить в Правила № 152 ООН положения по использованию виртуальных испытаний в качестве альтернативы физическим испытаниям. В его основу положен неофициальный документ GRVA-18-24. Изменения к существующему тексту Правил выделены жирным шрифтом в случае новых или зачеркиванием — в случае исключенных элементов.</w:t>
      </w:r>
    </w:p>
    <w:p w14:paraId="4E442E75" w14:textId="77777777" w:rsidR="004A7A48" w:rsidRPr="00100A15" w:rsidRDefault="004A7A48" w:rsidP="004A7A48">
      <w:pPr>
        <w:suppressAutoHyphens w:val="0"/>
        <w:spacing w:line="240" w:lineRule="auto"/>
        <w:rPr>
          <w:b/>
          <w:sz w:val="28"/>
        </w:rPr>
      </w:pPr>
      <w:r w:rsidRPr="00100A15">
        <w:br w:type="page"/>
      </w:r>
    </w:p>
    <w:p w14:paraId="28B721B6" w14:textId="7EF9AE56" w:rsidR="004A7A48" w:rsidRPr="00100A15" w:rsidRDefault="004A7A48" w:rsidP="004A7A48">
      <w:pPr>
        <w:pStyle w:val="HChG"/>
        <w:ind w:right="522"/>
      </w:pPr>
      <w:r>
        <w:rPr>
          <w:bCs/>
        </w:rPr>
        <w:lastRenderedPageBreak/>
        <w:tab/>
      </w:r>
      <w:r w:rsidRPr="00100A15">
        <w:rPr>
          <w:bCs/>
        </w:rPr>
        <w:t>I.</w:t>
      </w:r>
      <w:r w:rsidRPr="00100A15">
        <w:tab/>
      </w:r>
      <w:r w:rsidRPr="00100A15">
        <w:rPr>
          <w:bCs/>
        </w:rPr>
        <w:t>Предложение</w:t>
      </w:r>
    </w:p>
    <w:p w14:paraId="1495097A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rPr>
          <w:rFonts w:eastAsia="Times New Roman"/>
          <w:i/>
          <w:iCs/>
        </w:rPr>
      </w:pPr>
      <w:r w:rsidRPr="00100A15">
        <w:rPr>
          <w:i/>
          <w:iCs/>
        </w:rPr>
        <w:t xml:space="preserve">Включить новый пункт 2.18 </w:t>
      </w:r>
      <w:r w:rsidRPr="00100A15">
        <w:t>следующего содержания:</w:t>
      </w:r>
    </w:p>
    <w:p w14:paraId="3499564D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926392">
        <w:t>«</w:t>
      </w:r>
      <w:r w:rsidRPr="00100A15">
        <w:rPr>
          <w:b/>
          <w:bCs/>
        </w:rPr>
        <w:t>2.18</w:t>
      </w:r>
      <w:r w:rsidRPr="00100A15">
        <w:rPr>
          <w:b/>
          <w:bCs/>
        </w:rPr>
        <w:tab/>
        <w:t>“виртуальное испытание” — это процесс испытания системы с использованием одной или нескольких имитационных моделей</w:t>
      </w:r>
      <w:r w:rsidRPr="00926392">
        <w:t>».</w:t>
      </w:r>
    </w:p>
    <w:p w14:paraId="79909EA9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rPr>
          <w:rFonts w:eastAsia="Times New Roman"/>
          <w:i/>
          <w:iCs/>
        </w:rPr>
      </w:pPr>
      <w:r w:rsidRPr="00100A15">
        <w:rPr>
          <w:i/>
          <w:iCs/>
        </w:rPr>
        <w:t xml:space="preserve">Включить новый пункт 6.7 </w:t>
      </w:r>
      <w:r w:rsidRPr="00100A15">
        <w:t>следующего содержания:</w:t>
      </w:r>
    </w:p>
    <w:p w14:paraId="3C23BFAB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926392">
        <w:t>«</w:t>
      </w:r>
      <w:r w:rsidRPr="00100A15">
        <w:rPr>
          <w:b/>
          <w:bCs/>
        </w:rPr>
        <w:t>6.7</w:t>
      </w:r>
      <w:r w:rsidRPr="00100A15">
        <w:rPr>
          <w:b/>
          <w:bCs/>
        </w:rPr>
        <w:tab/>
        <w:t>Виртуальное проведение динамических испытаний</w:t>
      </w:r>
    </w:p>
    <w:p w14:paraId="427CC9C7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6.7.1</w:t>
      </w:r>
      <w:r w:rsidRPr="00100A15">
        <w:rPr>
          <w:b/>
          <w:bCs/>
        </w:rPr>
        <w:tab/>
        <w:t>По просьбе изготовителя транспортного средства в качестве альтернативы испытаниям, описанным в пунктах 6.4–6.6, могут использоваться виртуальные испытания.</w:t>
      </w:r>
      <w:r w:rsidRPr="00100A15">
        <w:t xml:space="preserve"> </w:t>
      </w:r>
      <w:r w:rsidRPr="00100A15">
        <w:rPr>
          <w:b/>
          <w:bCs/>
        </w:rPr>
        <w:t>Проверка и валидация предоставленных результатов виртуального испытания, а также их использование осуществляются в соответствии с приложением 4.</w:t>
      </w:r>
    </w:p>
    <w:p w14:paraId="4855BC25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6.7.2</w:t>
      </w:r>
      <w:r w:rsidRPr="00100A15">
        <w:tab/>
      </w:r>
      <w:r w:rsidRPr="00100A15">
        <w:rPr>
          <w:b/>
          <w:bCs/>
        </w:rPr>
        <w:t>Виртуальные испытания могут использоваться в ходе оценки испытаний на предупреждение и включение в соответствии с пунктом 1.8 приложения 3 и приложением 8 к пересмотру 3 Соглашения 1958 года.</w:t>
      </w:r>
    </w:p>
    <w:p w14:paraId="1C1FC404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[6.7.3</w:t>
      </w:r>
      <w:r w:rsidRPr="00100A15">
        <w:tab/>
      </w:r>
      <w:r w:rsidRPr="00100A15">
        <w:rPr>
          <w:b/>
          <w:bCs/>
        </w:rPr>
        <w:t>Кроме того, помимо результатов моделирования, по запросу органа по официальному утверждению типа и технической службы в качестве физических испытаний [используются/могут использоваться] моделируемые испытательные прогоны.</w:t>
      </w:r>
      <w:r w:rsidRPr="00100A15">
        <w:rPr>
          <w:rFonts w:eastAsia="Times New Roman"/>
          <w:b/>
          <w:bCs/>
          <w:lang w:eastAsia="fr-FR"/>
        </w:rPr>
        <w:t>]</w:t>
      </w:r>
    </w:p>
    <w:p w14:paraId="09AF8880" w14:textId="77777777" w:rsidR="004A7A48" w:rsidRPr="00100A15" w:rsidRDefault="004A7A48" w:rsidP="004A7A48">
      <w:pPr>
        <w:adjustRightInd w:val="0"/>
        <w:snapToGrid w:val="0"/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6.7.4</w:t>
      </w:r>
      <w:r w:rsidRPr="00100A15">
        <w:rPr>
          <w:b/>
          <w:bCs/>
        </w:rPr>
        <w:tab/>
        <w:t>Если изготовитель выбрал проведении виртуальных испытаний, то к протоколу испытаний прикладывается отдельный отчет, содержащий по меньшей мере дополнительные сведения, указанные в пункте 1.5 приложения 4</w:t>
      </w:r>
      <w:r w:rsidRPr="00926392">
        <w:t>».</w:t>
      </w:r>
    </w:p>
    <w:p w14:paraId="2E144F13" w14:textId="77777777" w:rsidR="004A7A48" w:rsidRPr="00100A15" w:rsidRDefault="004A7A48" w:rsidP="004A7A48">
      <w:pPr>
        <w:ind w:left="1134" w:right="1133"/>
        <w:rPr>
          <w:rFonts w:eastAsia="Times New Roman"/>
          <w:i/>
          <w:iCs/>
        </w:rPr>
      </w:pPr>
      <w:r w:rsidRPr="00100A15">
        <w:rPr>
          <w:i/>
          <w:iCs/>
        </w:rPr>
        <w:t xml:space="preserve">Включить новое приложение 4 </w:t>
      </w:r>
      <w:r w:rsidRPr="00100A15">
        <w:t>следующего содержания:</w:t>
      </w:r>
    </w:p>
    <w:p w14:paraId="5C2A44B2" w14:textId="77777777" w:rsidR="004A7A48" w:rsidRPr="00100A15" w:rsidRDefault="004A7A48" w:rsidP="004A7A48">
      <w:pPr>
        <w:pStyle w:val="HChG"/>
        <w:rPr>
          <w:rStyle w:val="HChGChar"/>
          <w:b/>
        </w:rPr>
      </w:pPr>
      <w:r w:rsidRPr="00926392">
        <w:rPr>
          <w:b w:val="0"/>
          <w:sz w:val="20"/>
        </w:rPr>
        <w:t>«</w:t>
      </w:r>
      <w:r w:rsidRPr="00100A15">
        <w:rPr>
          <w:bCs/>
        </w:rPr>
        <w:t>Приложение 4</w:t>
      </w:r>
    </w:p>
    <w:p w14:paraId="5C9A54BA" w14:textId="77777777" w:rsidR="004A7A48" w:rsidRPr="00100A15" w:rsidRDefault="004A7A48" w:rsidP="004A7A48">
      <w:pPr>
        <w:pStyle w:val="HChG"/>
      </w:pPr>
      <w:r w:rsidRPr="00100A15">
        <w:tab/>
      </w:r>
      <w:r w:rsidRPr="00100A15">
        <w:tab/>
      </w:r>
      <w:r w:rsidRPr="00100A15">
        <w:rPr>
          <w:bCs/>
        </w:rPr>
        <w:t>Виртуальное проведение динамических испытаний</w:t>
      </w:r>
    </w:p>
    <w:p w14:paraId="27B14B46" w14:textId="77777777" w:rsidR="004A7A48" w:rsidRPr="00100A15" w:rsidRDefault="004A7A48" w:rsidP="004A7A48">
      <w:pPr>
        <w:adjustRightInd w:val="0"/>
        <w:snapToGrid w:val="0"/>
        <w:spacing w:after="120" w:line="240" w:lineRule="auto"/>
        <w:ind w:right="1134"/>
        <w:jc w:val="both"/>
        <w:rPr>
          <w:rFonts w:eastAsia="MS Mincho"/>
        </w:rPr>
      </w:pPr>
      <w:r w:rsidRPr="00100A15">
        <w:tab/>
      </w:r>
      <w:r w:rsidRPr="00100A15">
        <w:tab/>
      </w:r>
      <w:r w:rsidRPr="00100A15">
        <w:rPr>
          <w:b/>
          <w:bCs/>
        </w:rPr>
        <w:t>0.</w:t>
      </w:r>
      <w:r w:rsidRPr="00100A15">
        <w:rPr>
          <w:b/>
          <w:bCs/>
        </w:rPr>
        <w:tab/>
      </w:r>
      <w:r w:rsidRPr="00100A15">
        <w:rPr>
          <w:b/>
          <w:bCs/>
        </w:rPr>
        <w:tab/>
        <w:t>Введение (только для информации)</w:t>
      </w:r>
    </w:p>
    <w:p w14:paraId="57A17EE4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В настоящем приложении описывается метод, который может быть использован для того, чтобы по просьбе изготовителя анализировать виртуальные испытания в качестве альтернативы физическим испытаниям.</w:t>
      </w:r>
    </w:p>
    <w:p w14:paraId="698DCF16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Данный метод в основном базируется на двух отдельных компонентах:</w:t>
      </w:r>
    </w:p>
    <w:p w14:paraId="004E6C2B" w14:textId="77777777" w:rsidR="004A7A48" w:rsidRPr="00100A15" w:rsidRDefault="004A7A48" w:rsidP="00926392">
      <w:pPr>
        <w:suppressAutoHyphens w:val="0"/>
        <w:adjustRightInd w:val="0"/>
        <w:snapToGrid w:val="0"/>
        <w:spacing w:after="120" w:line="240" w:lineRule="auto"/>
        <w:ind w:left="2835" w:right="1134" w:hanging="567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a)</w:t>
      </w:r>
      <w:r w:rsidRPr="00100A15">
        <w:tab/>
      </w:r>
      <w:r w:rsidRPr="00100A15">
        <w:rPr>
          <w:b/>
          <w:bCs/>
        </w:rPr>
        <w:t>компонент 1: проверка достоверности метода виртуальных испытаний посредством сопоставления его результатов с результатами физических испытаний;</w:t>
      </w:r>
    </w:p>
    <w:p w14:paraId="5B9853AF" w14:textId="77777777" w:rsidR="004A7A48" w:rsidRPr="00100A15" w:rsidRDefault="004A7A48" w:rsidP="00926392">
      <w:pPr>
        <w:suppressAutoHyphens w:val="0"/>
        <w:adjustRightInd w:val="0"/>
        <w:snapToGrid w:val="0"/>
        <w:spacing w:after="120" w:line="240" w:lineRule="auto"/>
        <w:ind w:left="2835" w:right="1134" w:hanging="567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b)</w:t>
      </w:r>
      <w:r w:rsidRPr="00100A15">
        <w:tab/>
      </w:r>
      <w:r w:rsidRPr="00100A15">
        <w:rPr>
          <w:b/>
          <w:bCs/>
        </w:rPr>
        <w:t>компонент 2: использование результатов виртуального испытания в рамках процедуры официального утверждения.</w:t>
      </w:r>
    </w:p>
    <w:p w14:paraId="13934277" w14:textId="77777777" w:rsidR="004A7A48" w:rsidRPr="00100A15" w:rsidRDefault="004A7A48" w:rsidP="004A7A48">
      <w:pPr>
        <w:pStyle w:val="af3"/>
        <w:numPr>
          <w:ilvl w:val="0"/>
          <w:numId w:val="23"/>
        </w:numPr>
        <w:suppressAutoHyphens w:val="0"/>
        <w:spacing w:after="160" w:line="256" w:lineRule="auto"/>
        <w:ind w:right="1133"/>
        <w:jc w:val="both"/>
        <w:rPr>
          <w:rFonts w:eastAsia="Times New Roman"/>
          <w:b/>
          <w:bCs/>
          <w:lang w:val="ru-RU"/>
        </w:rPr>
      </w:pPr>
      <w:r w:rsidRPr="00100A15">
        <w:rPr>
          <w:b/>
          <w:bCs/>
          <w:lang w:val="ru-RU"/>
        </w:rPr>
        <w:t>Проверка достоверности метода виртуальных испытаний (компонент 1)</w:t>
      </w:r>
    </w:p>
    <w:p w14:paraId="13697C1E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1.1</w:t>
      </w:r>
      <w:r w:rsidRPr="00100A15">
        <w:tab/>
      </w:r>
      <w:r w:rsidRPr="00100A15">
        <w:rPr>
          <w:b/>
          <w:bCs/>
        </w:rPr>
        <w:t>Общие технические требования</w:t>
      </w:r>
    </w:p>
    <w:p w14:paraId="50CB36CE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1.1.1</w:t>
      </w:r>
      <w:r w:rsidRPr="00100A15">
        <w:tab/>
      </w:r>
      <w:r w:rsidRPr="00100A15">
        <w:rPr>
          <w:b/>
          <w:bCs/>
        </w:rPr>
        <w:t>Производитель предоставляет документацию, подтверждающую достоверность результатов виртуального испытания.</w:t>
      </w:r>
    </w:p>
    <w:p w14:paraId="1F02679C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  <w:strike/>
        </w:rPr>
      </w:pPr>
      <w:r w:rsidRPr="00100A15">
        <w:rPr>
          <w:b/>
          <w:bCs/>
        </w:rPr>
        <w:t>1.1.2</w:t>
      </w:r>
      <w:r w:rsidRPr="00100A15">
        <w:tab/>
      </w:r>
      <w:r w:rsidRPr="00100A15">
        <w:rPr>
          <w:b/>
          <w:bCs/>
        </w:rPr>
        <w:t xml:space="preserve">Изготовитель транспортного средства определяет область применимости, в которой будет применяться виртуальное </w:t>
      </w:r>
      <w:r w:rsidRPr="00100A15">
        <w:rPr>
          <w:b/>
          <w:bCs/>
        </w:rPr>
        <w:lastRenderedPageBreak/>
        <w:t>испытание.</w:t>
      </w:r>
      <w:r w:rsidRPr="00100A15">
        <w:t xml:space="preserve"> </w:t>
      </w:r>
      <w:r w:rsidRPr="00100A15">
        <w:rPr>
          <w:b/>
          <w:bCs/>
        </w:rPr>
        <w:t>Данное приложение действует только в пределах этой области применимости.</w:t>
      </w:r>
    </w:p>
    <w:p w14:paraId="3A4D9F4B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1.1.3</w:t>
      </w:r>
      <w:r w:rsidRPr="00100A15">
        <w:tab/>
      </w:r>
      <w:r w:rsidRPr="00100A15">
        <w:rPr>
          <w:b/>
          <w:bCs/>
        </w:rPr>
        <w:t>Изготовитель транспортного средства должен продемонстрировать органу по официальному утверждению типа и технической службе надежность виртуального инструментария, используемого для виртуальных испытаний.</w:t>
      </w:r>
    </w:p>
    <w:p w14:paraId="4EE4CEFF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При этом необходимо принимать во внимание следующие пять критериев:</w:t>
      </w:r>
    </w:p>
    <w:p w14:paraId="3AE5E2CE" w14:textId="77777777" w:rsidR="004A7A48" w:rsidRPr="00926392" w:rsidRDefault="004A7A48" w:rsidP="00926392">
      <w:pPr>
        <w:suppressAutoHyphens w:val="0"/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100A15">
        <w:rPr>
          <w:b/>
          <w:bCs/>
        </w:rPr>
        <w:t>a)</w:t>
      </w:r>
      <w:r w:rsidRPr="00926392">
        <w:rPr>
          <w:b/>
          <w:bCs/>
        </w:rPr>
        <w:tab/>
      </w:r>
      <w:r w:rsidRPr="00100A15">
        <w:rPr>
          <w:b/>
          <w:bCs/>
        </w:rPr>
        <w:t>функциональные возможности — чего можно достичь с помощью виртуального инструментария и какие риски связаны с его использованием;</w:t>
      </w:r>
    </w:p>
    <w:p w14:paraId="203ACE55" w14:textId="77777777" w:rsidR="004A7A48" w:rsidRPr="00926392" w:rsidRDefault="004A7A48" w:rsidP="00926392">
      <w:pPr>
        <w:suppressAutoHyphens w:val="0"/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100A15">
        <w:rPr>
          <w:b/>
          <w:bCs/>
        </w:rPr>
        <w:t>b)</w:t>
      </w:r>
      <w:r w:rsidRPr="00926392">
        <w:rPr>
          <w:b/>
          <w:bCs/>
        </w:rPr>
        <w:tab/>
      </w:r>
      <w:r w:rsidRPr="00100A15">
        <w:rPr>
          <w:b/>
          <w:bCs/>
        </w:rPr>
        <w:t>точность — насколько эффективно виртуальный инструментарий позволяет воспроизвести целевые данные;</w:t>
      </w:r>
    </w:p>
    <w:p w14:paraId="0B0A5006" w14:textId="77777777" w:rsidR="004A7A48" w:rsidRPr="00926392" w:rsidRDefault="004A7A48" w:rsidP="00926392">
      <w:pPr>
        <w:suppressAutoHyphens w:val="0"/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100A15">
        <w:rPr>
          <w:b/>
          <w:bCs/>
        </w:rPr>
        <w:t>c)</w:t>
      </w:r>
      <w:r w:rsidRPr="00926392">
        <w:rPr>
          <w:b/>
          <w:bCs/>
        </w:rPr>
        <w:tab/>
      </w:r>
      <w:r w:rsidRPr="00100A15">
        <w:rPr>
          <w:b/>
          <w:bCs/>
        </w:rPr>
        <w:t>корректность — насколько надежны и устойчивы данные и алгоритмы, используемые в инструментальных средствах;</w:t>
      </w:r>
    </w:p>
    <w:p w14:paraId="25ACB20D" w14:textId="57D89744" w:rsidR="004A7A48" w:rsidRPr="007561E0" w:rsidRDefault="004A7A48" w:rsidP="00926392">
      <w:pPr>
        <w:suppressAutoHyphens w:val="0"/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100A15">
        <w:rPr>
          <w:b/>
          <w:bCs/>
        </w:rPr>
        <w:t>d)</w:t>
      </w:r>
      <w:r w:rsidRPr="00926392">
        <w:rPr>
          <w:b/>
          <w:bCs/>
        </w:rPr>
        <w:tab/>
      </w:r>
      <w:r w:rsidRPr="00100A15">
        <w:rPr>
          <w:b/>
          <w:bCs/>
        </w:rPr>
        <w:t>соответствие назначению — насколько виртуальный инструментарий подходит для проведения оценки в пределах его области применимости (например, моделирование динамических характеристик транспортного средства, моделирование датчиков, моделирование управления системой, моделирование окружающих условий, моделирование на основе сценариев, моделирование целевых показателей и т. д.)</w:t>
      </w:r>
      <w:r w:rsidR="007561E0">
        <w:rPr>
          <w:b/>
          <w:bCs/>
        </w:rPr>
        <w:t>;</w:t>
      </w:r>
    </w:p>
    <w:p w14:paraId="6D375537" w14:textId="77777777" w:rsidR="004A7A48" w:rsidRPr="00926392" w:rsidRDefault="004A7A48" w:rsidP="00926392">
      <w:pPr>
        <w:suppressAutoHyphens w:val="0"/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100A15">
        <w:rPr>
          <w:b/>
          <w:bCs/>
        </w:rPr>
        <w:t>e)</w:t>
      </w:r>
      <w:r w:rsidRPr="00926392">
        <w:rPr>
          <w:b/>
          <w:bCs/>
        </w:rPr>
        <w:tab/>
      </w:r>
      <w:r w:rsidRPr="00100A15">
        <w:rPr>
          <w:b/>
          <w:bCs/>
        </w:rPr>
        <w:t>удобство использования — какая профессиональная подготовка и опыт необходимы и каким должно быть качество процесса управления пользованием этим инструментарием.</w:t>
      </w:r>
    </w:p>
    <w:p w14:paraId="7ECD1D88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1.2</w:t>
      </w:r>
      <w:r w:rsidRPr="00100A15">
        <w:tab/>
      </w:r>
      <w:r w:rsidRPr="00100A15">
        <w:rPr>
          <w:b/>
          <w:bCs/>
        </w:rPr>
        <w:t>Физические испытания для проверки достоверности</w:t>
      </w:r>
    </w:p>
    <w:p w14:paraId="1DF2E2AB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1.2.1</w:t>
      </w:r>
      <w:r w:rsidRPr="00100A15">
        <w:tab/>
      </w:r>
      <w:r w:rsidRPr="00100A15">
        <w:rPr>
          <w:b/>
          <w:bCs/>
        </w:rPr>
        <w:t>По просьбе технической службы в дополнение к документации, предоставленной изготовителем транспортного средства, для подтверждения точности соответствия между результатами физических испытаний и результатами моделирования должны быть проведены или засвидетельствованы физические испытания.</w:t>
      </w:r>
    </w:p>
    <w:p w14:paraId="09EE8221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1.2.1.1</w:t>
      </w:r>
      <w:r w:rsidRPr="00100A15">
        <w:tab/>
      </w:r>
      <w:r w:rsidRPr="00100A15">
        <w:rPr>
          <w:b/>
          <w:bCs/>
        </w:rPr>
        <w:t>Количество физических испытаний, подлежащих проверке, определяется по соглашению между изготовителем и технической службой, чтобы обеспечить достаточный охват области применимости, указанной изготовителем транспортного средства.</w:t>
      </w:r>
    </w:p>
    <w:p w14:paraId="1E02F4D2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1.2.2</w:t>
      </w:r>
      <w:r w:rsidRPr="00100A15">
        <w:tab/>
      </w:r>
      <w:r w:rsidRPr="00100A15">
        <w:rPr>
          <w:b/>
          <w:bCs/>
        </w:rPr>
        <w:t>Количество проведенных испытаний должно обеспечивать возможность статистического сопоставления результатов физических испытаний и результатов моделирования.</w:t>
      </w:r>
    </w:p>
    <w:p w14:paraId="7276E50B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bookmarkStart w:id="0" w:name="A9_S2"/>
      <w:r w:rsidRPr="00100A15">
        <w:rPr>
          <w:b/>
          <w:bCs/>
        </w:rPr>
        <w:t>1.3</w:t>
      </w:r>
      <w:r w:rsidRPr="00100A15">
        <w:tab/>
      </w:r>
      <w:r w:rsidRPr="00100A15">
        <w:rPr>
          <w:b/>
          <w:bCs/>
        </w:rPr>
        <w:t>Имитационная модель</w:t>
      </w:r>
      <w:bookmarkEnd w:id="0"/>
    </w:p>
    <w:p w14:paraId="563DBF25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1.3.1</w:t>
      </w:r>
      <w:r w:rsidRPr="00100A15">
        <w:tab/>
      </w:r>
      <w:r w:rsidRPr="00100A15">
        <w:rPr>
          <w:b/>
          <w:bCs/>
        </w:rPr>
        <w:t>Имитационное моделирование (включая разработку модели) проводиться под руководством изготовителя транспортного средства.</w:t>
      </w:r>
      <w:r w:rsidRPr="00100A15">
        <w:t xml:space="preserve"> </w:t>
      </w:r>
      <w:r w:rsidRPr="00100A15">
        <w:rPr>
          <w:b/>
          <w:bCs/>
        </w:rPr>
        <w:t>Оно должно отражать архитектуры транспортного средства, системы и компонентов, подлежащих проверке, касающейся требований действующих правил в пределах области применимости.</w:t>
      </w:r>
    </w:p>
    <w:p w14:paraId="19DADADE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1.3.2</w:t>
      </w:r>
      <w:r w:rsidRPr="00100A15">
        <w:tab/>
      </w:r>
      <w:r w:rsidRPr="00100A15">
        <w:rPr>
          <w:b/>
          <w:bCs/>
        </w:rPr>
        <w:t>Разработанные и проверяемые модели должны обеспечивать возможность точного воспроизведения соответствующих аспектов моделируемой физической САЭТ.</w:t>
      </w:r>
      <w:r w:rsidRPr="00100A15">
        <w:t xml:space="preserve"> </w:t>
      </w:r>
      <w:r w:rsidRPr="00100A15">
        <w:rPr>
          <w:b/>
          <w:bCs/>
        </w:rPr>
        <w:t>Модели используются в инструментах, а инструменты входят в инструментарии, которые с надлежащей точностью имитируют общее физическое поведение САЭТ в рамках заявленной области применимости.</w:t>
      </w:r>
    </w:p>
    <w:p w14:paraId="7C0B23C0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1.4</w:t>
      </w:r>
      <w:r w:rsidRPr="00100A15">
        <w:tab/>
      </w:r>
      <w:r w:rsidRPr="00100A15">
        <w:rPr>
          <w:b/>
          <w:bCs/>
        </w:rPr>
        <w:t>Процедура проверки достоверности имитационной модели</w:t>
      </w:r>
    </w:p>
    <w:p w14:paraId="52678A4A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lastRenderedPageBreak/>
        <w:t>1.4.1</w:t>
      </w:r>
      <w:r w:rsidRPr="00100A15">
        <w:tab/>
      </w:r>
      <w:r w:rsidRPr="00100A15">
        <w:rPr>
          <w:b/>
          <w:bCs/>
        </w:rPr>
        <w:t>Достоверность имитационной модели подтверждают посредством ее сопоставления с физическими испытаниями для проверки достоверности, проведенными в соответствии с пунктом 1.2, причем сопоставимость результатов этих испытаний должна быть доказана.</w:t>
      </w:r>
    </w:p>
    <w:p w14:paraId="6931175D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1.4.2</w:t>
      </w:r>
      <w:r w:rsidRPr="00100A15">
        <w:tab/>
      </w:r>
      <w:r w:rsidRPr="00100A15">
        <w:tab/>
      </w:r>
      <w:r w:rsidRPr="00100A15">
        <w:rPr>
          <w:b/>
          <w:bCs/>
        </w:rPr>
        <w:t>Стратегия проверки достоверности должна быть основана на научных методах, определена изготовителем транспортного средства и согласована с органом по официальному утверждению типа и технической службой.</w:t>
      </w:r>
    </w:p>
    <w:p w14:paraId="1B5A4CDD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1.4.3</w:t>
      </w:r>
      <w:r w:rsidRPr="00100A15">
        <w:tab/>
      </w:r>
      <w:r w:rsidRPr="00100A15">
        <w:rPr>
          <w:b/>
          <w:bCs/>
        </w:rPr>
        <w:t>При проверке достоверности оцениваются такие ключевые показатели эффективности, как время до столкновения, остаточное расстояние или скорость в момент удара.</w:t>
      </w:r>
    </w:p>
    <w:p w14:paraId="72437A59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</w:t>
      </w:r>
      <w:r w:rsidRPr="00100A15">
        <w:tab/>
      </w:r>
      <w:r w:rsidRPr="00100A15">
        <w:rPr>
          <w:b/>
          <w:bCs/>
        </w:rPr>
        <w:t>Дополнительные данные и дополнительная информация</w:t>
      </w:r>
    </w:p>
    <w:p w14:paraId="21B98DCA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Для этих целей в дополнение к данным и чертежам, перечисленным в пункте 3.2 настоящих Правил, органу по официальному утверждению и технической службе представляется нижеследующая информация.</w:t>
      </w:r>
    </w:p>
    <w:p w14:paraId="66812FC2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1.5.1</w:t>
      </w:r>
      <w:r w:rsidRPr="00100A15">
        <w:tab/>
      </w:r>
      <w:r w:rsidRPr="00100A15">
        <w:rPr>
          <w:b/>
          <w:bCs/>
        </w:rPr>
        <w:t>Описание использованного метода моделирования с указанием модели, применяемого для анализа программного обеспечения, его изготовителя, коммерческого наименования, версии и контактных данных разработчика.</w:t>
      </w:r>
    </w:p>
    <w:p w14:paraId="05121A38" w14:textId="2B2FF0DC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1.5.2</w:t>
      </w:r>
      <w:r w:rsidRPr="00100A15">
        <w:tab/>
      </w:r>
      <w:r w:rsidRPr="00100A15">
        <w:rPr>
          <w:b/>
          <w:bCs/>
        </w:rPr>
        <w:t>Описание входных параметров</w:t>
      </w:r>
    </w:p>
    <w:p w14:paraId="228489AC" w14:textId="6937E3A3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1.5.3</w:t>
      </w:r>
      <w:r w:rsidRPr="00100A15">
        <w:tab/>
      </w:r>
      <w:r w:rsidRPr="00100A15">
        <w:rPr>
          <w:b/>
          <w:bCs/>
        </w:rPr>
        <w:t>Описание области применимости с учетом факторов, влияющих на эффективность САЭТ</w:t>
      </w:r>
    </w:p>
    <w:p w14:paraId="51A24F38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1.5.4</w:t>
      </w:r>
      <w:r w:rsidRPr="00100A15">
        <w:tab/>
      </w:r>
      <w:r w:rsidRPr="00100A15">
        <w:rPr>
          <w:b/>
          <w:bCs/>
        </w:rPr>
        <w:t>Изготовитель предоставляет описание всех элементов из набора инструментов для моделирования, таких как взаимосвязанные модули и инструменты моделирования.</w:t>
      </w:r>
    </w:p>
    <w:p w14:paraId="5AC5F8F9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1.5.5</w:t>
      </w:r>
      <w:r w:rsidRPr="00100A15">
        <w:tab/>
      </w:r>
      <w:r w:rsidRPr="00100A15">
        <w:rPr>
          <w:b/>
          <w:bCs/>
        </w:rPr>
        <w:t>В протоколе с результатами моделирования описывается методология, использованная для получения физических данных для проверки достоверности, в частности оборудование для регистрации данных, порядок обработки данных и расчета скалярных значений.</w:t>
      </w:r>
    </w:p>
    <w:p w14:paraId="77ED5C4B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1.5.6</w:t>
      </w:r>
      <w:r w:rsidRPr="00100A15">
        <w:tab/>
      </w:r>
      <w:r w:rsidRPr="00100A15">
        <w:rPr>
          <w:b/>
          <w:bCs/>
        </w:rPr>
        <w:t>Изготовитель предоставляет описание системы управления данными.</w:t>
      </w:r>
    </w:p>
    <w:p w14:paraId="67FAA267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1.5.7</w:t>
      </w:r>
      <w:r w:rsidRPr="00100A15">
        <w:tab/>
      </w:r>
      <w:r w:rsidRPr="00100A15">
        <w:tab/>
      </w:r>
      <w:r w:rsidRPr="00100A15">
        <w:rPr>
          <w:b/>
          <w:bCs/>
        </w:rPr>
        <w:t>Изготовитель предоставляет описание процедуры управления версиями и процедуры пересмотра в случае внесения изменений в набор инструментов для моделирования.</w:t>
      </w:r>
    </w:p>
    <w:p w14:paraId="15353EAF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2.</w:t>
      </w:r>
      <w:r w:rsidRPr="00100A15">
        <w:rPr>
          <w:b/>
          <w:bCs/>
        </w:rPr>
        <w:tab/>
        <w:t>Использование результатов виртуального испытания в рамках процедуры официального утверждения (компонент 2)</w:t>
      </w:r>
    </w:p>
    <w:p w14:paraId="36B27D51" w14:textId="0A8FEE49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2.1</w:t>
      </w:r>
      <w:r w:rsidRPr="00100A15">
        <w:rPr>
          <w:b/>
          <w:bCs/>
        </w:rPr>
        <w:tab/>
      </w:r>
      <w:r w:rsidRPr="00100A15">
        <w:rPr>
          <w:b/>
          <w:bCs/>
        </w:rPr>
        <w:tab/>
        <w:t>Соответствие системы автоматического экстренного торможения требованиям к рабочим характеристикам, определенным в пунктах</w:t>
      </w:r>
      <w:r w:rsidR="00926392">
        <w:rPr>
          <w:b/>
          <w:bCs/>
          <w:lang w:val="en-US"/>
        </w:rPr>
        <w:t> </w:t>
      </w:r>
      <w:r w:rsidRPr="00100A15">
        <w:rPr>
          <w:b/>
          <w:bCs/>
        </w:rPr>
        <w:t xml:space="preserve">5.2.1–5.2.3 настоящих Правил, может быть продемонстрировано изготовителем транспортного средства органу по официальному утверждению типа или технической службе с помощью виртуальных испытаний динамических маневров, предусмотренных в пунктах 6.5–6.7 настоящих Правил. </w:t>
      </w:r>
    </w:p>
    <w:p w14:paraId="787E59AC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  <w:strike/>
        </w:rPr>
      </w:pPr>
      <w:r w:rsidRPr="00100A15">
        <w:rPr>
          <w:b/>
          <w:bCs/>
        </w:rPr>
        <w:t>2.2</w:t>
      </w:r>
      <w:r w:rsidRPr="00100A15">
        <w:tab/>
      </w:r>
      <w:r w:rsidRPr="00100A15">
        <w:rPr>
          <w:b/>
          <w:bCs/>
        </w:rPr>
        <w:t>Все результаты моделирования, предоставляемые изготовителем в заявке на официальное утверждение в соответствии с пунктом 4 настоящих Правил, должны относиться к методу, который был оценен и достоверность которого была подтверждена согласно пункту 1 настоящего приложения.</w:t>
      </w:r>
      <w:r w:rsidRPr="00100A15">
        <w:t xml:space="preserve"> </w:t>
      </w:r>
    </w:p>
    <w:p w14:paraId="7B72E632" w14:textId="77777777" w:rsidR="007561E0" w:rsidRDefault="007561E0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  <w:bCs/>
        </w:rPr>
      </w:pPr>
      <w:r>
        <w:rPr>
          <w:b/>
          <w:bCs/>
        </w:rPr>
        <w:br w:type="page"/>
      </w:r>
    </w:p>
    <w:p w14:paraId="2243261B" w14:textId="6C75BA24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lastRenderedPageBreak/>
        <w:t>2.3</w:t>
      </w:r>
      <w:r w:rsidRPr="00100A15">
        <w:tab/>
      </w:r>
      <w:r w:rsidRPr="00100A15">
        <w:rPr>
          <w:b/>
          <w:bCs/>
        </w:rPr>
        <w:t>Дополнительные данные и дополнительная информация</w:t>
      </w:r>
      <w:r w:rsidRPr="00100A15">
        <w:t xml:space="preserve"> </w:t>
      </w:r>
    </w:p>
    <w:p w14:paraId="05198EC9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Для этих целей в дополнение к данным и чертежам, перечисленным в пункте 3.2 настоящих Правил, технической службе представляется нижеследующая информация.</w:t>
      </w:r>
    </w:p>
    <w:p w14:paraId="4087789B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2.3.1</w:t>
      </w:r>
      <w:r w:rsidRPr="00100A15">
        <w:tab/>
      </w:r>
      <w:r w:rsidRPr="00100A15">
        <w:rPr>
          <w:b/>
          <w:bCs/>
        </w:rPr>
        <w:t>Описание использованного метода моделирования с указанием модели, применяемого для анализа программного обеспечения, его изготовителя, коммерческого наименования, версии и контактных данных разработчика.</w:t>
      </w:r>
    </w:p>
    <w:p w14:paraId="282AA601" w14:textId="4EB50F81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2.3.2</w:t>
      </w:r>
      <w:r w:rsidRPr="00100A15">
        <w:tab/>
      </w:r>
      <w:r w:rsidRPr="00100A15">
        <w:rPr>
          <w:b/>
          <w:bCs/>
        </w:rPr>
        <w:t>Описание входных параметров</w:t>
      </w:r>
    </w:p>
    <w:p w14:paraId="072F4A16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2.3.3</w:t>
      </w:r>
      <w:r w:rsidRPr="00100A15">
        <w:tab/>
      </w:r>
      <w:r w:rsidRPr="00100A15">
        <w:rPr>
          <w:b/>
          <w:bCs/>
        </w:rPr>
        <w:t>Ссылка на метод моделирования, достоверность которого подтверждена и который использовался во исполнение пункта 1 настоящего приложения.</w:t>
      </w:r>
    </w:p>
    <w:p w14:paraId="3C39D9AD" w14:textId="77777777" w:rsidR="004A7A48" w:rsidRPr="00100A15" w:rsidRDefault="004A7A48" w:rsidP="004A7A48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Times New Roman"/>
          <w:b/>
          <w:bCs/>
        </w:rPr>
      </w:pPr>
      <w:r w:rsidRPr="00100A15">
        <w:rPr>
          <w:b/>
          <w:bCs/>
        </w:rPr>
        <w:t>2.3.4</w:t>
      </w:r>
      <w:r w:rsidRPr="00100A15">
        <w:rPr>
          <w:b/>
          <w:bCs/>
        </w:rPr>
        <w:tab/>
        <w:t>Изготовитель предоставляет описание всех элементов из набора инструментов для моделирования, таких как взаимосвязанные модули и инструменты моделирования</w:t>
      </w:r>
      <w:r w:rsidRPr="00926392">
        <w:t>».</w:t>
      </w:r>
    </w:p>
    <w:p w14:paraId="126097B8" w14:textId="77777777" w:rsidR="004A7A48" w:rsidRPr="00100A15" w:rsidRDefault="004A7A48" w:rsidP="004A7A48">
      <w:pPr>
        <w:pStyle w:val="HChG"/>
        <w:ind w:right="522"/>
      </w:pPr>
      <w:r w:rsidRPr="00100A15">
        <w:rPr>
          <w:bCs/>
        </w:rPr>
        <w:tab/>
        <w:t>II.</w:t>
      </w:r>
      <w:r w:rsidRPr="00100A15">
        <w:tab/>
      </w:r>
      <w:r w:rsidRPr="00100A15">
        <w:rPr>
          <w:bCs/>
        </w:rPr>
        <w:t>Обоснование</w:t>
      </w:r>
    </w:p>
    <w:p w14:paraId="1EA92777" w14:textId="77777777" w:rsidR="004A7A48" w:rsidRPr="00100A15" w:rsidRDefault="004A7A48" w:rsidP="004A7A48">
      <w:pPr>
        <w:pStyle w:val="SingleTxtG"/>
        <w:ind w:right="1133"/>
      </w:pPr>
      <w:r w:rsidRPr="00100A15">
        <w:t>1.</w:t>
      </w:r>
      <w:r w:rsidRPr="00100A15">
        <w:tab/>
        <w:t>Цель настоящего предложения заключается в том, чтобы предоставить заявителю возможность использовать метод виртуальных испытаний в качестве альтернативы физическим испытаниям. Для этого необходимо провести предварительную оценку используемой методологии, которая на уровне Европейского союза уже определена в правилах официального утверждения комплектного транспортного средства (МОУТКТС), в других правилах и рассмотрена неофициальной рабочей группы по методам валидации для автоматизированного вождения (ВМАД) и ее подгруппой 2.</w:t>
      </w:r>
    </w:p>
    <w:p w14:paraId="5A5BCDDB" w14:textId="77777777" w:rsidR="004A7A48" w:rsidRPr="00100A15" w:rsidRDefault="004A7A48" w:rsidP="004A7A48">
      <w:pPr>
        <w:pStyle w:val="SingleTxtG"/>
        <w:ind w:right="1133"/>
      </w:pPr>
      <w:r w:rsidRPr="00100A15">
        <w:t>2.</w:t>
      </w:r>
      <w:r w:rsidRPr="00100A15">
        <w:tab/>
        <w:t>В данном предложении определен практический подход, позволяющий зафиксировать основные принципы обеспечения безопасности, предоставляя при этом заявителю гибкость в выборе используемых виртуальных инструментов.</w:t>
      </w:r>
    </w:p>
    <w:p w14:paraId="0EF52B4B" w14:textId="77777777" w:rsidR="004A7A48" w:rsidRPr="00100A15" w:rsidRDefault="004A7A48" w:rsidP="004A7A48">
      <w:pPr>
        <w:pStyle w:val="SingleTxtG"/>
        <w:ind w:right="1133"/>
      </w:pPr>
      <w:r w:rsidRPr="00100A15">
        <w:t>3.</w:t>
      </w:r>
      <w:r w:rsidRPr="00100A15">
        <w:tab/>
        <w:t>Пример применения этого подхода представлен в неофициальном документе GRVA-15-20.</w:t>
      </w:r>
    </w:p>
    <w:p w14:paraId="6E8AA2D3" w14:textId="77777777" w:rsidR="004A7A48" w:rsidRPr="00100A15" w:rsidRDefault="004A7A48" w:rsidP="004A7A48">
      <w:pPr>
        <w:pStyle w:val="SingleTxtG"/>
        <w:ind w:right="1133"/>
      </w:pPr>
      <w:r w:rsidRPr="00100A15">
        <w:t xml:space="preserve">Примечание секретариата: в случае принятия данного предложения в качестве дополнения к поправкам серии 02 потребуется изменить нумерацию пункта 6.11, поскольку в поправках серии 02 уже содержится пункт 6.7, сформулированный следующим образом: </w:t>
      </w:r>
    </w:p>
    <w:p w14:paraId="57957CE6" w14:textId="77777777" w:rsidR="004A7A48" w:rsidRPr="00100A15" w:rsidRDefault="004A7A48" w:rsidP="004A7A48">
      <w:pPr>
        <w:pStyle w:val="SingleTxtG"/>
        <w:ind w:right="1133"/>
      </w:pPr>
      <w:r w:rsidRPr="00100A15">
        <w:t>«6.7</w:t>
      </w:r>
      <w:r w:rsidRPr="00100A15">
        <w:tab/>
        <w:t>Испытание на предупреждение и включение в случае объекта-велосипеда».</w:t>
      </w:r>
    </w:p>
    <w:p w14:paraId="29AC55CB" w14:textId="77777777" w:rsidR="004A7A48" w:rsidRPr="00100A15" w:rsidRDefault="004A7A48" w:rsidP="004A7A48">
      <w:pPr>
        <w:spacing w:before="60"/>
        <w:jc w:val="center"/>
        <w:rPr>
          <w:rFonts w:asciiTheme="majorBidi" w:hAnsiTheme="majorBidi"/>
          <w:u w:val="single"/>
        </w:rPr>
      </w:pPr>
      <w:r w:rsidRPr="00100A15">
        <w:rPr>
          <w:u w:val="single"/>
        </w:rPr>
        <w:tab/>
      </w:r>
      <w:r w:rsidRPr="00100A15">
        <w:rPr>
          <w:u w:val="single"/>
        </w:rPr>
        <w:tab/>
      </w:r>
      <w:r w:rsidRPr="00100A15">
        <w:rPr>
          <w:u w:val="single"/>
        </w:rPr>
        <w:tab/>
      </w:r>
    </w:p>
    <w:p w14:paraId="7754F495" w14:textId="77777777" w:rsidR="00E12C5F" w:rsidRPr="008D53B6" w:rsidRDefault="00E12C5F" w:rsidP="00D9145B"/>
    <w:sectPr w:rsidR="00E12C5F" w:rsidRPr="008D53B6" w:rsidSect="004A7A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5EC1" w14:textId="77777777" w:rsidR="00F974D9" w:rsidRPr="00A312BC" w:rsidRDefault="00F974D9" w:rsidP="00A312BC"/>
  </w:endnote>
  <w:endnote w:type="continuationSeparator" w:id="0">
    <w:p w14:paraId="550F8311" w14:textId="77777777" w:rsidR="00F974D9" w:rsidRPr="00A312BC" w:rsidRDefault="00F974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375" w14:textId="49C8E865" w:rsidR="004A7A48" w:rsidRPr="004A7A48" w:rsidRDefault="004A7A48">
    <w:pPr>
      <w:pStyle w:val="a8"/>
    </w:pPr>
    <w:r w:rsidRPr="004A7A48">
      <w:rPr>
        <w:b/>
        <w:sz w:val="18"/>
      </w:rPr>
      <w:fldChar w:fldCharType="begin"/>
    </w:r>
    <w:r w:rsidRPr="004A7A48">
      <w:rPr>
        <w:b/>
        <w:sz w:val="18"/>
      </w:rPr>
      <w:instrText xml:space="preserve"> PAGE  \* MERGEFORMAT </w:instrText>
    </w:r>
    <w:r w:rsidRPr="004A7A48">
      <w:rPr>
        <w:b/>
        <w:sz w:val="18"/>
      </w:rPr>
      <w:fldChar w:fldCharType="separate"/>
    </w:r>
    <w:r w:rsidRPr="004A7A48">
      <w:rPr>
        <w:b/>
        <w:noProof/>
        <w:sz w:val="18"/>
      </w:rPr>
      <w:t>2</w:t>
    </w:r>
    <w:r w:rsidRPr="004A7A48">
      <w:rPr>
        <w:b/>
        <w:sz w:val="18"/>
      </w:rPr>
      <w:fldChar w:fldCharType="end"/>
    </w:r>
    <w:r>
      <w:rPr>
        <w:b/>
        <w:sz w:val="18"/>
      </w:rPr>
      <w:tab/>
    </w:r>
    <w:r>
      <w:t>GE.24-06609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2633" w14:textId="4DE16D57" w:rsidR="004A7A48" w:rsidRPr="004A7A48" w:rsidRDefault="004A7A48" w:rsidP="004A7A48">
    <w:pPr>
      <w:pStyle w:val="a8"/>
      <w:tabs>
        <w:tab w:val="clear" w:pos="9639"/>
        <w:tab w:val="right" w:pos="9638"/>
      </w:tabs>
      <w:rPr>
        <w:b/>
        <w:sz w:val="18"/>
      </w:rPr>
    </w:pPr>
    <w:r>
      <w:t>GE.24-06609</w:t>
    </w:r>
    <w:r>
      <w:tab/>
    </w:r>
    <w:r w:rsidRPr="004A7A48">
      <w:rPr>
        <w:b/>
        <w:sz w:val="18"/>
      </w:rPr>
      <w:fldChar w:fldCharType="begin"/>
    </w:r>
    <w:r w:rsidRPr="004A7A48">
      <w:rPr>
        <w:b/>
        <w:sz w:val="18"/>
      </w:rPr>
      <w:instrText xml:space="preserve"> PAGE  \* MERGEFORMAT </w:instrText>
    </w:r>
    <w:r w:rsidRPr="004A7A48">
      <w:rPr>
        <w:b/>
        <w:sz w:val="18"/>
      </w:rPr>
      <w:fldChar w:fldCharType="separate"/>
    </w:r>
    <w:r w:rsidRPr="004A7A48">
      <w:rPr>
        <w:b/>
        <w:noProof/>
        <w:sz w:val="18"/>
      </w:rPr>
      <w:t>3</w:t>
    </w:r>
    <w:r w:rsidRPr="004A7A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B272" w14:textId="644772DA" w:rsidR="00042B72" w:rsidRPr="004A7A48" w:rsidRDefault="004A7A48" w:rsidP="004A7A4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2D6AD7" wp14:editId="3B6DF8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24-06609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F37D3F" wp14:editId="32B56A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090524  100524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C0DB" w14:textId="77777777" w:rsidR="00F974D9" w:rsidRPr="001075E9" w:rsidRDefault="00F974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912A85" w14:textId="77777777" w:rsidR="00F974D9" w:rsidRDefault="00F974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6404B7" w14:textId="770981D2" w:rsidR="004A7A48" w:rsidRPr="006C5434" w:rsidRDefault="004A7A48" w:rsidP="004A7A48">
      <w:pPr>
        <w:pStyle w:val="ad"/>
      </w:pPr>
      <w:r>
        <w:tab/>
      </w:r>
      <w:r w:rsidRPr="00926392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926392"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 w:rsidR="00926392"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89FD" w14:textId="4BC150FD" w:rsidR="004A7A48" w:rsidRPr="004A7A48" w:rsidRDefault="004A7A48">
    <w:pPr>
      <w:pStyle w:val="a5"/>
    </w:pPr>
    <w:fldSimple w:instr=" TITLE  \* MERGEFORMAT ">
      <w:r w:rsidR="009F6A5B">
        <w:t>ECE/TRANS/WP.29/GRVA/2024/19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9F41" w14:textId="6630D7C5" w:rsidR="004A7A48" w:rsidRPr="004A7A48" w:rsidRDefault="004A7A48" w:rsidP="004A7A48">
    <w:pPr>
      <w:pStyle w:val="a5"/>
      <w:jc w:val="right"/>
    </w:pPr>
    <w:fldSimple w:instr=" TITLE  \* MERGEFORMAT ">
      <w:r w:rsidR="009F6A5B">
        <w:t>ECE/TRANS/WP.29/GRVA/2024/19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E4F7924"/>
    <w:multiLevelType w:val="hybridMultilevel"/>
    <w:tmpl w:val="E7A0A432"/>
    <w:lvl w:ilvl="0" w:tplc="63D2E0F6">
      <w:start w:val="1"/>
      <w:numFmt w:val="decimal"/>
      <w:lvlText w:val="%1."/>
      <w:lvlJc w:val="left"/>
      <w:pPr>
        <w:ind w:left="2274" w:hanging="114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966164294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 w16cid:durableId="910429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D9"/>
    <w:rsid w:val="00033EE1"/>
    <w:rsid w:val="00042B72"/>
    <w:rsid w:val="00047EA6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831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0201"/>
    <w:rsid w:val="00452493"/>
    <w:rsid w:val="00453318"/>
    <w:rsid w:val="00454AF2"/>
    <w:rsid w:val="00454E07"/>
    <w:rsid w:val="00472C5C"/>
    <w:rsid w:val="00485F8A"/>
    <w:rsid w:val="004A7A4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1E0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392"/>
    <w:rsid w:val="00951972"/>
    <w:rsid w:val="009608F3"/>
    <w:rsid w:val="009A24AC"/>
    <w:rsid w:val="009C59D7"/>
    <w:rsid w:val="009C6FE6"/>
    <w:rsid w:val="009D7E7D"/>
    <w:rsid w:val="009F6A5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4D9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042EF"/>
  <w15:docId w15:val="{F1C6A4B2-E6D5-4565-B7A0-47B480CE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A7A48"/>
    <w:rPr>
      <w:lang w:val="ru-RU" w:eastAsia="en-US"/>
    </w:rPr>
  </w:style>
  <w:style w:type="paragraph" w:customStyle="1" w:styleId="Level1">
    <w:name w:val="Level 1"/>
    <w:basedOn w:val="a"/>
    <w:rsid w:val="004A7A48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qFormat/>
    <w:rsid w:val="004A7A48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4A7A48"/>
    <w:pPr>
      <w:ind w:left="720"/>
      <w:contextualSpacing/>
    </w:pPr>
    <w:rPr>
      <w:rFonts w:eastAsiaTheme="minorEastAsia" w:cs="Times New Roman"/>
      <w:szCs w:val="20"/>
      <w:lang w:val="en-GB"/>
    </w:rPr>
  </w:style>
  <w:style w:type="character" w:customStyle="1" w:styleId="H1GChar">
    <w:name w:val="_ H_1_G Char"/>
    <w:link w:val="H1G"/>
    <w:rsid w:val="004A7A4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B1BAC-C1CC-4EC2-99D2-4AE3B89BA9BC}"/>
</file>

<file path=customXml/itemProps2.xml><?xml version="1.0" encoding="utf-8"?>
<ds:datastoreItem xmlns:ds="http://schemas.openxmlformats.org/officeDocument/2006/customXml" ds:itemID="{FF5A2B1B-2B7E-436D-A497-8A729D7F311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1213</Words>
  <Characters>9368</Characters>
  <Application>Microsoft Office Word</Application>
  <DocSecurity>0</DocSecurity>
  <Lines>217</Lines>
  <Paragraphs>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ECE/TRANS/WP.29/GRVA/2024/19</vt:lpstr>
      <vt:lpstr>A/</vt:lpstr>
      <vt:lpstr>A/</vt:lpstr>
    </vt:vector>
  </TitlesOfParts>
  <Company>DCM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ECE/TRANS/WP.29/GRVA/2024/19</dc:title>
  <dc:subject/>
  <dc:creator>Elena IZOTOVA</dc:creator>
  <cp:keywords/>
  <cp:lastModifiedBy>Elena Izotova</cp:lastModifiedBy>
  <cp:revision>4</cp:revision>
  <cp:lastPrinted>2024-05-10T07:02:00Z</cp:lastPrinted>
  <dcterms:created xsi:type="dcterms:W3CDTF">2024-05-10T07:02:00Z</dcterms:created>
  <dcterms:modified xsi:type="dcterms:W3CDTF">2024-05-10T07:04:00Z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