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5A64366C" w:rsidR="00687FE8" w:rsidRPr="0035122C" w:rsidRDefault="00687FE8" w:rsidP="005176DB">
            <w:pPr>
              <w:jc w:val="right"/>
            </w:pPr>
            <w:r w:rsidRPr="0035122C">
              <w:rPr>
                <w:sz w:val="40"/>
              </w:rPr>
              <w:t>ECE</w:t>
            </w:r>
            <w:r w:rsidRPr="0035122C">
              <w:t>/TRANS/WP.29/GRVA/202</w:t>
            </w:r>
            <w:r w:rsidR="006D1700" w:rsidRPr="0035122C">
              <w:t>4</w:t>
            </w:r>
            <w:r w:rsidRPr="0035122C">
              <w:t>/</w:t>
            </w:r>
            <w:r w:rsidR="00BD0827">
              <w:t>1</w:t>
            </w:r>
            <w:r w:rsidR="005E0B5B">
              <w:t>9</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1A8F2AE2" w:rsidR="00687FE8" w:rsidRPr="0035122C" w:rsidRDefault="00BF5B1D" w:rsidP="005176DB">
            <w:pPr>
              <w:spacing w:line="240" w:lineRule="exact"/>
            </w:pPr>
            <w:r w:rsidRPr="0035122C">
              <w:t>1</w:t>
            </w:r>
            <w:r w:rsidR="006D1011">
              <w:t>1</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1B350F2D" w:rsidR="0088344D" w:rsidRPr="004E6CD9" w:rsidRDefault="00357AE9" w:rsidP="00357AE9">
      <w:r w:rsidRPr="00E561D4">
        <w:t xml:space="preserve">Item </w:t>
      </w:r>
      <w:r w:rsidR="00EF7E44">
        <w:t>7</w:t>
      </w:r>
      <w:r w:rsidRPr="00BF5B1D">
        <w:t xml:space="preserve"> of</w:t>
      </w:r>
      <w:r w:rsidRPr="00E561D4">
        <w:t xml:space="preserve"> the provisional agenda</w:t>
      </w:r>
    </w:p>
    <w:p w14:paraId="54627F91" w14:textId="3787D924" w:rsidR="00357AE9" w:rsidRPr="004E6CD9" w:rsidRDefault="00EF7E44" w:rsidP="00EF7E44">
      <w:pPr>
        <w:rPr>
          <w:b/>
          <w:bCs/>
        </w:rPr>
      </w:pPr>
      <w:r>
        <w:rPr>
          <w:b/>
          <w:bCs/>
        </w:rPr>
        <w:t>Advanced Emergency Braking System</w:t>
      </w:r>
    </w:p>
    <w:p w14:paraId="57F4570E" w14:textId="1CA486E8" w:rsidR="00687FE8" w:rsidRPr="004E6CD9" w:rsidRDefault="00687FE8" w:rsidP="00357AE9">
      <w:pPr>
        <w:pStyle w:val="HChG"/>
      </w:pPr>
      <w:r w:rsidRPr="004E6CD9">
        <w:tab/>
      </w:r>
      <w:r w:rsidRPr="004E6CD9">
        <w:tab/>
      </w:r>
      <w:bookmarkEnd w:id="1"/>
      <w:r w:rsidR="006B3A0D" w:rsidRPr="006B3A0D">
        <w:t>Proposal for a supplement to 01 series of amendments to UN</w:t>
      </w:r>
      <w:r w:rsidR="006B3A0D">
        <w:t> </w:t>
      </w:r>
      <w:r w:rsidR="006B3A0D" w:rsidRPr="006B3A0D">
        <w:t>Regulation No. 152 (Advanced Emergency Braking System for M</w:t>
      </w:r>
      <w:r w:rsidR="006B3A0D" w:rsidRPr="006B3A0D">
        <w:rPr>
          <w:vertAlign w:val="subscript"/>
        </w:rPr>
        <w:t>1</w:t>
      </w:r>
      <w:r w:rsidR="006B3A0D" w:rsidRPr="006B3A0D">
        <w:t xml:space="preserve"> and N</w:t>
      </w:r>
      <w:r w:rsidR="006B3A0D" w:rsidRPr="006B3A0D">
        <w:rPr>
          <w:vertAlign w:val="subscript"/>
        </w:rPr>
        <w:t>1</w:t>
      </w:r>
      <w:r w:rsidR="006B3A0D" w:rsidRPr="006B3A0D">
        <w:t xml:space="preserve"> vehicles)</w:t>
      </w:r>
    </w:p>
    <w:p w14:paraId="53BC9677" w14:textId="31F78C6C"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EF7E44">
        <w:t xml:space="preserve">Submitted by the expert from </w:t>
      </w:r>
      <w:r w:rsidR="00DA2149" w:rsidRPr="00EF7E44">
        <w:t>France</w:t>
      </w:r>
      <w:r w:rsidR="009523A3" w:rsidRPr="004E6CD9">
        <w:rPr>
          <w:rStyle w:val="FootnoteReference"/>
          <w:sz w:val="20"/>
          <w:vertAlign w:val="baseline"/>
        </w:rPr>
        <w:footnoteReference w:customMarkFollows="1" w:id="2"/>
        <w:t>*</w:t>
      </w:r>
    </w:p>
    <w:p w14:paraId="0BAD078C" w14:textId="13747524" w:rsidR="004E6CD9" w:rsidRPr="004E6CD9" w:rsidRDefault="006A3B40" w:rsidP="00990599">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C91AC0">
        <w:rPr>
          <w:snapToGrid w:val="0"/>
        </w:rPr>
        <w:t xml:space="preserve">France, </w:t>
      </w:r>
      <w:r w:rsidR="00A51AD3" w:rsidRPr="00E561D4">
        <w:t xml:space="preserve">with the aim </w:t>
      </w:r>
      <w:r w:rsidR="00A84102" w:rsidRPr="00E561D4">
        <w:t>to</w:t>
      </w:r>
      <w:r w:rsidR="00E561D4" w:rsidRPr="00E561D4">
        <w:t xml:space="preserve"> </w:t>
      </w:r>
      <w:r w:rsidR="00C91AC0">
        <w:t xml:space="preserve">introduce </w:t>
      </w:r>
      <w:r w:rsidR="00C15115">
        <w:t xml:space="preserve">provisions for using virtual testing as an alternative to physical tests in </w:t>
      </w:r>
      <w:r w:rsidR="004572EA">
        <w:rPr>
          <w:bCs/>
          <w:szCs w:val="14"/>
          <w:lang w:val="en-US"/>
        </w:rPr>
        <w:t xml:space="preserve">UN Regulation No. </w:t>
      </w:r>
      <w:r w:rsidR="00C15115">
        <w:rPr>
          <w:bCs/>
          <w:szCs w:val="14"/>
          <w:lang w:val="en-US"/>
        </w:rPr>
        <w:t>152</w:t>
      </w:r>
      <w:r w:rsidR="00687FE8" w:rsidRPr="00AF68A2">
        <w:t>.</w:t>
      </w:r>
      <w:r w:rsidR="00990599">
        <w:t xml:space="preserve"> </w:t>
      </w:r>
      <w:r w:rsidR="00EC1EF0" w:rsidRPr="00AF68A2">
        <w:t>It is based on informal document GRVA-</w:t>
      </w:r>
      <w:r w:rsidR="00A51AD3" w:rsidRPr="00AF68A2">
        <w:t>1</w:t>
      </w:r>
      <w:r w:rsidR="005E0B5B">
        <w:t>8</w:t>
      </w:r>
      <w:r w:rsidR="00E561D4" w:rsidRPr="00AF68A2">
        <w:t>-</w:t>
      </w:r>
      <w:r w:rsidR="005E0B5B">
        <w:t>24</w:t>
      </w:r>
      <w:r w:rsidR="00EC1EF0" w:rsidRPr="00AF68A2">
        <w:t xml:space="preserve">. </w:t>
      </w:r>
      <w:r w:rsidR="00B91F8E" w:rsidRPr="00AF68A2">
        <w:t>The modifications to the existing text of the</w:t>
      </w:r>
      <w:r w:rsidR="00B91F8E" w:rsidRPr="00E561D4">
        <w:t xml:space="preserve"> Regulation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6E6F9683" w14:textId="77777777"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2.18.,</w:t>
      </w:r>
      <w:r>
        <w:rPr>
          <w:rFonts w:eastAsia="Times New Roman"/>
          <w:lang w:eastAsia="fr-FR"/>
        </w:rPr>
        <w:t xml:space="preserve"> amend to read:</w:t>
      </w:r>
    </w:p>
    <w:p w14:paraId="49EE20FE" w14:textId="77777777" w:rsidR="00DD451D" w:rsidRDefault="00DD451D" w:rsidP="00BB1FA6">
      <w:pPr>
        <w:adjustRightInd w:val="0"/>
        <w:snapToGrid w:val="0"/>
        <w:spacing w:after="120"/>
        <w:ind w:left="2268" w:right="1134" w:hanging="1134"/>
        <w:jc w:val="both"/>
        <w:rPr>
          <w:rFonts w:eastAsia="Times New Roman"/>
          <w:lang w:eastAsia="fr-FR"/>
        </w:rPr>
      </w:pPr>
      <w:r>
        <w:rPr>
          <w:rFonts w:eastAsia="Times New Roman"/>
          <w:lang w:eastAsia="fr-FR"/>
        </w:rPr>
        <w:t>“</w:t>
      </w:r>
      <w:r>
        <w:rPr>
          <w:rFonts w:eastAsia="Times New Roman"/>
          <w:b/>
          <w:bCs/>
          <w:lang w:eastAsia="fr-FR"/>
        </w:rPr>
        <w:t>2.18.</w:t>
      </w:r>
      <w:r>
        <w:rPr>
          <w:rFonts w:eastAsia="Times New Roman"/>
          <w:b/>
          <w:bCs/>
          <w:lang w:eastAsia="fr-FR"/>
        </w:rPr>
        <w:tab/>
        <w:t>“</w:t>
      </w:r>
      <w:r w:rsidRPr="00B24360">
        <w:rPr>
          <w:rFonts w:eastAsia="Times New Roman"/>
          <w:b/>
          <w:bCs/>
          <w:i/>
          <w:iCs/>
          <w:lang w:eastAsia="fr-FR"/>
        </w:rPr>
        <w:t>Virtual testing</w:t>
      </w:r>
      <w:r>
        <w:rPr>
          <w:rFonts w:eastAsia="Times New Roman"/>
          <w:b/>
          <w:bCs/>
          <w:lang w:eastAsia="fr-FR"/>
        </w:rPr>
        <w:t>” is the process of testing a system using one or more simulation models.</w:t>
      </w:r>
      <w:r>
        <w:rPr>
          <w:rFonts w:eastAsia="Times New Roman"/>
          <w:lang w:eastAsia="fr-FR"/>
        </w:rPr>
        <w:t>”</w:t>
      </w:r>
    </w:p>
    <w:p w14:paraId="4322E062" w14:textId="77777777"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6.7.,</w:t>
      </w:r>
      <w:r>
        <w:rPr>
          <w:rFonts w:eastAsia="Times New Roman"/>
          <w:lang w:eastAsia="fr-FR"/>
        </w:rPr>
        <w:t xml:space="preserve"> amend to read:</w:t>
      </w:r>
    </w:p>
    <w:p w14:paraId="2C06DFB4" w14:textId="77777777"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lang w:eastAsia="fr-FR"/>
        </w:rPr>
        <w:t>“</w:t>
      </w:r>
      <w:r>
        <w:rPr>
          <w:rFonts w:eastAsia="Times New Roman"/>
          <w:b/>
          <w:bCs/>
          <w:lang w:eastAsia="fr-FR"/>
        </w:rPr>
        <w:t>6.7.</w:t>
      </w:r>
      <w:r>
        <w:rPr>
          <w:rFonts w:eastAsia="Times New Roman"/>
          <w:b/>
          <w:bCs/>
          <w:lang w:eastAsia="fr-FR"/>
        </w:rPr>
        <w:tab/>
        <w:t>Virtual testing of dynamic tests</w:t>
      </w:r>
    </w:p>
    <w:p w14:paraId="1EC0B68A" w14:textId="185FD6E3"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6.7.1.</w:t>
      </w:r>
      <w:r>
        <w:rPr>
          <w:rFonts w:eastAsia="Times New Roman"/>
          <w:b/>
          <w:bCs/>
          <w:lang w:eastAsia="fr-FR"/>
        </w:rPr>
        <w:tab/>
        <w:t xml:space="preserve">Virtual testing may be used by request of the vehicle manufacturer as an alternative for the tests described in paragraphs 6.4. to 6.6. The provided virtual testing shall be verified and validated according to and are used in accordance with </w:t>
      </w:r>
      <w:r w:rsidR="00B24360">
        <w:rPr>
          <w:rFonts w:eastAsia="Times New Roman"/>
          <w:b/>
          <w:bCs/>
          <w:lang w:eastAsia="fr-FR"/>
        </w:rPr>
        <w:t>A</w:t>
      </w:r>
      <w:r>
        <w:rPr>
          <w:rFonts w:eastAsia="Times New Roman"/>
          <w:b/>
          <w:bCs/>
          <w:lang w:eastAsia="fr-FR"/>
        </w:rPr>
        <w:t>nnex 4.</w:t>
      </w:r>
    </w:p>
    <w:p w14:paraId="62277DCF" w14:textId="77777777"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6.7.2.</w:t>
      </w:r>
      <w:r>
        <w:rPr>
          <w:rFonts w:eastAsia="Times New Roman"/>
          <w:b/>
          <w:bCs/>
          <w:lang w:eastAsia="fr-FR"/>
        </w:rPr>
        <w:tab/>
        <w:t>Virtual testing may be used in the evaluation of the warning and activation tests in accordance with paragraph 1.8. of Schedule 3 and Schedule 8 of Revision 3 of the 1958 Agreement.</w:t>
      </w:r>
    </w:p>
    <w:p w14:paraId="20125873" w14:textId="77777777"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[6.7.3.</w:t>
      </w:r>
      <w:r>
        <w:rPr>
          <w:rFonts w:eastAsia="Times New Roman"/>
          <w:b/>
          <w:bCs/>
          <w:lang w:eastAsia="fr-FR"/>
        </w:rPr>
        <w:tab/>
        <w:t xml:space="preserve">In addition to the simulation results, simulated test runs [shall / may] be conducted as physical tests as well on the request of the </w:t>
      </w:r>
      <w:proofErr w:type="gramStart"/>
      <w:r>
        <w:rPr>
          <w:rFonts w:eastAsia="Times New Roman"/>
          <w:b/>
          <w:bCs/>
          <w:lang w:eastAsia="fr-FR"/>
        </w:rPr>
        <w:t>type</w:t>
      </w:r>
      <w:proofErr w:type="gramEnd"/>
      <w:r>
        <w:rPr>
          <w:rFonts w:eastAsia="Times New Roman"/>
          <w:b/>
          <w:bCs/>
          <w:lang w:eastAsia="fr-FR"/>
        </w:rPr>
        <w:t xml:space="preserve"> approval authority and technical service.]</w:t>
      </w:r>
    </w:p>
    <w:p w14:paraId="4B1114C8" w14:textId="057C41A8" w:rsidR="00DD451D" w:rsidRPr="00E4481F" w:rsidRDefault="00DD451D" w:rsidP="00E4481F">
      <w:pPr>
        <w:adjustRightInd w:val="0"/>
        <w:snapToGrid w:val="0"/>
        <w:spacing w:after="120"/>
        <w:ind w:left="2268" w:right="1134" w:hanging="1134"/>
        <w:jc w:val="both"/>
        <w:rPr>
          <w:rFonts w:eastAsia="Times New Roman"/>
          <w:lang w:eastAsia="fr-FR"/>
        </w:rPr>
      </w:pPr>
      <w:r>
        <w:rPr>
          <w:rFonts w:eastAsia="Times New Roman"/>
          <w:b/>
          <w:bCs/>
          <w:lang w:eastAsia="fr-FR"/>
        </w:rPr>
        <w:t>6.7.4.</w:t>
      </w:r>
      <w:r>
        <w:rPr>
          <w:rFonts w:eastAsia="Times New Roman"/>
          <w:b/>
          <w:bCs/>
          <w:lang w:eastAsia="fr-FR"/>
        </w:rPr>
        <w:tab/>
        <w:t>In case of virtual testing is chosen by the manufacturer, a separated report including at least the additional data information specified in annex 4 paragraph 1.5. shall be annexed to the test report.</w:t>
      </w:r>
      <w:r>
        <w:rPr>
          <w:rFonts w:eastAsia="Times New Roman"/>
          <w:lang w:eastAsia="fr-FR"/>
        </w:rPr>
        <w:t>”</w:t>
      </w:r>
    </w:p>
    <w:p w14:paraId="69571033" w14:textId="77777777" w:rsidR="00DD451D" w:rsidRDefault="00DD451D" w:rsidP="00DD451D">
      <w:pPr>
        <w:ind w:left="1134" w:right="1133"/>
        <w:rPr>
          <w:rFonts w:eastAsia="Times New Roman"/>
          <w:i/>
          <w:iCs/>
          <w:lang w:eastAsia="fr-FR"/>
        </w:rPr>
      </w:pPr>
      <w:r>
        <w:rPr>
          <w:rFonts w:eastAsia="Times New Roman"/>
          <w:i/>
          <w:iCs/>
          <w:lang w:eastAsia="fr-FR"/>
        </w:rPr>
        <w:t xml:space="preserve">Add a new Annex 4, </w:t>
      </w:r>
      <w:r>
        <w:rPr>
          <w:rFonts w:eastAsia="Times New Roman"/>
          <w:lang w:eastAsia="fr-FR"/>
        </w:rPr>
        <w:t>to read:</w:t>
      </w:r>
    </w:p>
    <w:p w14:paraId="1068880F" w14:textId="77777777" w:rsidR="00E4481F" w:rsidRDefault="00DD451D" w:rsidP="00E4481F">
      <w:pPr>
        <w:pStyle w:val="HChG"/>
        <w:rPr>
          <w:rStyle w:val="HChGChar"/>
          <w:b/>
        </w:rPr>
      </w:pPr>
      <w:r w:rsidRPr="00E4481F">
        <w:t>“</w:t>
      </w:r>
      <w:r w:rsidRPr="00E4481F">
        <w:rPr>
          <w:rStyle w:val="HChGChar"/>
          <w:b/>
        </w:rPr>
        <w:t>Annex 4</w:t>
      </w:r>
    </w:p>
    <w:p w14:paraId="4C1562AC" w14:textId="2C8998D8" w:rsidR="00DD451D" w:rsidRPr="00E4481F" w:rsidRDefault="00E4481F" w:rsidP="00E4481F">
      <w:pPr>
        <w:pStyle w:val="HChG"/>
      </w:pPr>
      <w:r>
        <w:rPr>
          <w:rStyle w:val="HChGChar"/>
          <w:b/>
        </w:rPr>
        <w:tab/>
      </w:r>
      <w:r>
        <w:rPr>
          <w:rStyle w:val="HChGChar"/>
          <w:b/>
        </w:rPr>
        <w:tab/>
      </w:r>
      <w:r w:rsidR="00DD451D" w:rsidRPr="00E4481F">
        <w:rPr>
          <w:rStyle w:val="HChGChar"/>
          <w:b/>
        </w:rPr>
        <w:t>Virtual testing of dynamic tests</w:t>
      </w:r>
    </w:p>
    <w:p w14:paraId="6B773AC5" w14:textId="509EF317" w:rsidR="00DD451D" w:rsidRDefault="00DD451D" w:rsidP="00DD451D">
      <w:pPr>
        <w:pStyle w:val="HChG"/>
        <w:ind w:right="1133"/>
        <w:rPr>
          <w:rFonts w:eastAsia="MS Mincho"/>
          <w:sz w:val="20"/>
          <w:lang w:eastAsia="fr-FR"/>
        </w:rPr>
      </w:pPr>
      <w:r>
        <w:rPr>
          <w:sz w:val="20"/>
        </w:rPr>
        <w:tab/>
      </w:r>
      <w:r>
        <w:rPr>
          <w:sz w:val="20"/>
        </w:rPr>
        <w:tab/>
      </w:r>
      <w:r w:rsidR="001A2E6A">
        <w:rPr>
          <w:sz w:val="20"/>
        </w:rPr>
        <w:t>0.</w:t>
      </w:r>
      <w:r w:rsidR="001A2E6A">
        <w:rPr>
          <w:sz w:val="20"/>
        </w:rPr>
        <w:tab/>
      </w:r>
      <w:r w:rsidR="001A2E6A">
        <w:rPr>
          <w:sz w:val="20"/>
        </w:rPr>
        <w:tab/>
      </w:r>
      <w:r>
        <w:rPr>
          <w:sz w:val="20"/>
        </w:rPr>
        <w:t>Introduction (for information only)</w:t>
      </w:r>
    </w:p>
    <w:p w14:paraId="5816930C"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t>This annex describes the method that can be used to consider virtual testing as an alternative to physical testing, based on the manufacturer request.</w:t>
      </w:r>
    </w:p>
    <w:p w14:paraId="75141A62"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t>This method is mainly based on 2 separate pillars:</w:t>
      </w:r>
    </w:p>
    <w:p w14:paraId="38C75DD3" w14:textId="6BB3F3A7"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(a)</w:t>
      </w:r>
      <w:r>
        <w:rPr>
          <w:rFonts w:eastAsia="Times New Roman"/>
          <w:b/>
          <w:bCs/>
          <w:lang w:eastAsia="fr-FR"/>
        </w:rPr>
        <w:tab/>
      </w:r>
      <w:r w:rsidR="00DD451D" w:rsidRPr="00E4481F">
        <w:rPr>
          <w:rFonts w:eastAsia="Times New Roman"/>
          <w:b/>
          <w:bCs/>
          <w:lang w:eastAsia="fr-FR"/>
        </w:rPr>
        <w:t>Pillar 1: the validation of the virtual testing method by comparison with physical results and,</w:t>
      </w:r>
    </w:p>
    <w:p w14:paraId="53673906" w14:textId="7197489F"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Pr>
          <w:rFonts w:eastAsia="Times New Roman"/>
          <w:b/>
          <w:bCs/>
          <w:lang w:eastAsia="fr-FR"/>
        </w:rPr>
        <w:tab/>
      </w:r>
      <w:r w:rsidR="00DD451D" w:rsidRPr="00E4481F">
        <w:rPr>
          <w:rFonts w:eastAsia="Times New Roman"/>
          <w:b/>
          <w:bCs/>
          <w:lang w:eastAsia="fr-FR"/>
        </w:rPr>
        <w:t>Pillar 2: the virtual testing results for approval process.</w:t>
      </w:r>
    </w:p>
    <w:p w14:paraId="3A037F0F" w14:textId="77777777" w:rsidR="00DD451D" w:rsidRDefault="00DD451D" w:rsidP="00DD451D">
      <w:pPr>
        <w:ind w:left="284" w:right="1133"/>
        <w:jc w:val="center"/>
        <w:rPr>
          <w:rFonts w:asciiTheme="minorHAnsi" w:hAnsiTheme="minorHAnsi" w:cstheme="minorBidi"/>
        </w:rPr>
      </w:pPr>
    </w:p>
    <w:p w14:paraId="332E4129" w14:textId="77777777" w:rsidR="00DD451D" w:rsidRDefault="00DD451D" w:rsidP="00DD451D">
      <w:pPr>
        <w:pStyle w:val="ListParagraph"/>
        <w:numPr>
          <w:ilvl w:val="0"/>
          <w:numId w:val="44"/>
        </w:numPr>
        <w:suppressAutoHyphens w:val="0"/>
        <w:spacing w:after="160" w:line="256" w:lineRule="auto"/>
        <w:ind w:right="1133"/>
        <w:jc w:val="both"/>
        <w:rPr>
          <w:rFonts w:eastAsia="Times New Roman"/>
          <w:b/>
          <w:bCs/>
          <w:lang w:eastAsia="fr-FR"/>
        </w:rPr>
      </w:pPr>
      <w:r>
        <w:rPr>
          <w:rFonts w:eastAsia="Times New Roman"/>
          <w:b/>
          <w:bCs/>
          <w:lang w:eastAsia="fr-FR"/>
        </w:rPr>
        <w:t>Validation of the virtual testing method (pillar 1)</w:t>
      </w:r>
    </w:p>
    <w:p w14:paraId="14BB67DF"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w:t>
      </w:r>
      <w:r>
        <w:rPr>
          <w:rFonts w:eastAsia="Times New Roman"/>
          <w:b/>
          <w:bCs/>
          <w:lang w:eastAsia="fr-FR"/>
        </w:rPr>
        <w:tab/>
        <w:t>General specifications</w:t>
      </w:r>
    </w:p>
    <w:p w14:paraId="748C963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1.1.1.</w:t>
      </w:r>
      <w:r>
        <w:rPr>
          <w:rFonts w:eastAsia="Times New Roman"/>
          <w:b/>
          <w:bCs/>
          <w:lang w:eastAsia="fr-FR"/>
        </w:rPr>
        <w:tab/>
        <w:t>The manufacturer shall provide documentation to prove the credibility of the virtual testing results.</w:t>
      </w:r>
    </w:p>
    <w:p w14:paraId="506BFC19" w14:textId="77777777"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1.1.2.</w:t>
      </w:r>
      <w:r>
        <w:rPr>
          <w:rFonts w:eastAsia="Times New Roman"/>
          <w:b/>
          <w:bCs/>
          <w:lang w:eastAsia="fr-FR"/>
        </w:rPr>
        <w:tab/>
        <w:t>The vehicle manufacturer shall define the validity domain on which the virtual testing will be applicable. This annex only applies within this validity domain.</w:t>
      </w:r>
    </w:p>
    <w:p w14:paraId="59B31A6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1.1.3.</w:t>
      </w:r>
      <w:r>
        <w:rPr>
          <w:rFonts w:eastAsia="Times New Roman"/>
          <w:b/>
          <w:bCs/>
          <w:lang w:eastAsia="fr-FR"/>
        </w:rPr>
        <w:tab/>
        <w:t>Credibility of the virtual toolchain that is used for the virtual testing shall be demonstrated by the vehicle manufacturer to the Type Approval Authority and Technical Service.</w:t>
      </w:r>
    </w:p>
    <w:p w14:paraId="4709D583" w14:textId="53C9FECF"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the following five criteria shall be considered:</w:t>
      </w:r>
    </w:p>
    <w:p w14:paraId="5F50DD7A" w14:textId="07413F91"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lastRenderedPageBreak/>
        <w:t>(a)</w:t>
      </w:r>
      <w:r w:rsidR="00535AE8">
        <w:rPr>
          <w:rFonts w:eastAsia="Times New Roman"/>
          <w:b/>
          <w:bCs/>
          <w:lang w:eastAsia="fr-FR"/>
        </w:rPr>
        <w:tab/>
      </w:r>
      <w:r>
        <w:rPr>
          <w:rFonts w:eastAsia="Times New Roman"/>
          <w:b/>
          <w:bCs/>
          <w:lang w:eastAsia="fr-FR"/>
        </w:rPr>
        <w:t xml:space="preserve">Capability – what virtual toolchain can do, and what are the associated </w:t>
      </w:r>
      <w:proofErr w:type="gramStart"/>
      <w:r>
        <w:rPr>
          <w:rFonts w:eastAsia="Times New Roman"/>
          <w:b/>
          <w:bCs/>
          <w:lang w:eastAsia="fr-FR"/>
        </w:rPr>
        <w:t>risks;</w:t>
      </w:r>
      <w:proofErr w:type="gramEnd"/>
    </w:p>
    <w:p w14:paraId="3C4D77D3" w14:textId="6D305485"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sidR="00535AE8">
        <w:rPr>
          <w:rFonts w:eastAsia="Times New Roman"/>
          <w:b/>
          <w:bCs/>
          <w:lang w:eastAsia="fr-FR"/>
        </w:rPr>
        <w:tab/>
      </w:r>
      <w:r>
        <w:rPr>
          <w:rFonts w:eastAsia="Times New Roman"/>
          <w:b/>
          <w:bCs/>
          <w:lang w:eastAsia="fr-FR"/>
        </w:rPr>
        <w:t xml:space="preserve">Accuracy – how well virtual toolchain does reproduce the target </w:t>
      </w:r>
      <w:proofErr w:type="gramStart"/>
      <w:r>
        <w:rPr>
          <w:rFonts w:eastAsia="Times New Roman"/>
          <w:b/>
          <w:bCs/>
          <w:lang w:eastAsia="fr-FR"/>
        </w:rPr>
        <w:t>data;</w:t>
      </w:r>
      <w:proofErr w:type="gramEnd"/>
    </w:p>
    <w:p w14:paraId="02FA9FB7" w14:textId="187521C8"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(c)</w:t>
      </w:r>
      <w:r w:rsidR="00535AE8">
        <w:rPr>
          <w:rFonts w:eastAsia="Times New Roman"/>
          <w:b/>
          <w:bCs/>
          <w:lang w:eastAsia="fr-FR"/>
        </w:rPr>
        <w:tab/>
      </w:r>
      <w:r>
        <w:rPr>
          <w:rFonts w:eastAsia="Times New Roman"/>
          <w:b/>
          <w:bCs/>
          <w:lang w:eastAsia="fr-FR"/>
        </w:rPr>
        <w:t xml:space="preserve">Correctness – how sound &amp; robust is the used data and the algorithm in the </w:t>
      </w:r>
      <w:proofErr w:type="gramStart"/>
      <w:r>
        <w:rPr>
          <w:rFonts w:eastAsia="Times New Roman"/>
          <w:b/>
          <w:bCs/>
          <w:lang w:eastAsia="fr-FR"/>
        </w:rPr>
        <w:t>tools;</w:t>
      </w:r>
      <w:proofErr w:type="gramEnd"/>
    </w:p>
    <w:p w14:paraId="63CDDC96" w14:textId="1EEC46CE"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(d)</w:t>
      </w:r>
      <w:r w:rsidR="00535AE8">
        <w:rPr>
          <w:rFonts w:eastAsia="Times New Roman"/>
          <w:b/>
          <w:bCs/>
          <w:lang w:eastAsia="fr-FR"/>
        </w:rPr>
        <w:tab/>
      </w:r>
      <w:r>
        <w:rPr>
          <w:rFonts w:eastAsia="Times New Roman"/>
          <w:b/>
          <w:bCs/>
          <w:lang w:eastAsia="fr-FR"/>
        </w:rPr>
        <w:t>Fit for Purpose – how suitable is the virtual toolchain for the assessment (</w:t>
      </w:r>
      <w:proofErr w:type="gramStart"/>
      <w:r>
        <w:rPr>
          <w:rFonts w:eastAsia="Times New Roman"/>
          <w:b/>
          <w:bCs/>
          <w:lang w:eastAsia="fr-FR"/>
        </w:rPr>
        <w:t>e.g.</w:t>
      </w:r>
      <w:proofErr w:type="gramEnd"/>
      <w:r>
        <w:rPr>
          <w:rFonts w:eastAsia="Times New Roman"/>
          <w:b/>
          <w:bCs/>
          <w:lang w:eastAsia="fr-FR"/>
        </w:rPr>
        <w:t xml:space="preserve"> vehicle dynamic model, sensor model, system control model, environment model, scenario model, targets model, …) within its validity domain.</w:t>
      </w:r>
    </w:p>
    <w:p w14:paraId="6B944DAB" w14:textId="661F8853"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(e)</w:t>
      </w:r>
      <w:r w:rsidR="00535AE8">
        <w:rPr>
          <w:rFonts w:eastAsia="Times New Roman"/>
          <w:b/>
          <w:bCs/>
          <w:lang w:eastAsia="fr-FR"/>
        </w:rPr>
        <w:tab/>
      </w:r>
      <w:r>
        <w:rPr>
          <w:rFonts w:eastAsia="Times New Roman"/>
          <w:b/>
          <w:bCs/>
          <w:lang w:eastAsia="fr-FR"/>
        </w:rPr>
        <w:t>Usability – What training and experience is needed and what is the quality of the process that manage its use.</w:t>
      </w:r>
    </w:p>
    <w:p w14:paraId="33748E8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w:t>
      </w:r>
      <w:r>
        <w:rPr>
          <w:rFonts w:eastAsia="Times New Roman"/>
          <w:b/>
          <w:bCs/>
          <w:lang w:eastAsia="fr-FR"/>
        </w:rPr>
        <w:tab/>
        <w:t>Physical validation tests</w:t>
      </w:r>
    </w:p>
    <w:p w14:paraId="198CE9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w:t>
      </w:r>
      <w:r>
        <w:rPr>
          <w:rFonts w:eastAsia="Times New Roman"/>
          <w:b/>
          <w:bCs/>
          <w:lang w:eastAsia="fr-FR"/>
        </w:rPr>
        <w:tab/>
        <w:t>At the request of the technical service, in addition to the documentation provided by the vehicle manufacturer, physical tests shall be performed or witnessed to confirm the accuracy between the physical and the simulation results.</w:t>
      </w:r>
    </w:p>
    <w:p w14:paraId="4DE785A8" w14:textId="7021B1D5"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1.2.1.1</w:t>
      </w:r>
      <w:r w:rsidR="006D1011">
        <w:rPr>
          <w:rFonts w:eastAsia="Times New Roman"/>
          <w:b/>
          <w:bCs/>
          <w:lang w:eastAsia="fr-FR"/>
        </w:rPr>
        <w:t>.</w:t>
      </w:r>
      <w:r>
        <w:rPr>
          <w:rFonts w:eastAsia="Times New Roman"/>
          <w:b/>
          <w:bCs/>
          <w:lang w:eastAsia="fr-FR"/>
        </w:rPr>
        <w:tab/>
        <w:t>The number of physical tests to be tested shall be defined in agreement between the manufacturer and the technical service in order to sufficiently cover the validity domain specified by the vehicle manufacturer.</w:t>
      </w:r>
    </w:p>
    <w:p w14:paraId="45FF5EE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1.2.2.</w:t>
      </w:r>
      <w:r>
        <w:rPr>
          <w:rFonts w:eastAsia="Times New Roman"/>
          <w:b/>
          <w:bCs/>
          <w:lang w:eastAsia="fr-FR"/>
        </w:rPr>
        <w:tab/>
        <w:t>The number of tests performed shall ensure a statistical comparison between physical and simulation results.</w:t>
      </w:r>
    </w:p>
    <w:p w14:paraId="70E90B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bookmarkStart w:id="2" w:name="A9_S2"/>
      <w:r>
        <w:rPr>
          <w:rFonts w:eastAsia="Times New Roman"/>
          <w:b/>
          <w:bCs/>
          <w:lang w:eastAsia="fr-FR"/>
        </w:rPr>
        <w:t>1.3.</w:t>
      </w:r>
      <w:r>
        <w:rPr>
          <w:rFonts w:eastAsia="Times New Roman"/>
          <w:b/>
          <w:bCs/>
          <w:lang w:eastAsia="fr-FR"/>
        </w:rPr>
        <w:tab/>
        <w:t>Simulation model</w:t>
      </w:r>
      <w:bookmarkEnd w:id="2"/>
    </w:p>
    <w:p w14:paraId="376C0FB0" w14:textId="25BDC592"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1.3.1.</w:t>
      </w:r>
      <w:r>
        <w:rPr>
          <w:rFonts w:eastAsia="Times New Roman"/>
          <w:b/>
          <w:bCs/>
          <w:lang w:eastAsia="fr-FR"/>
        </w:rPr>
        <w:tab/>
        <w:t>The simulations (including development of the model) shall be run under the responsibility of the vehicle manufacturer. It shall reflect the architecture of the vehicle, system and components to be tested in relation to the requirements of the current regulation on the specified validity domain.</w:t>
      </w:r>
    </w:p>
    <w:p w14:paraId="47A29E17" w14:textId="16A914F6"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1.3.2.</w:t>
      </w:r>
      <w:r>
        <w:rPr>
          <w:rFonts w:eastAsia="Times New Roman"/>
          <w:b/>
          <w:bCs/>
          <w:lang w:eastAsia="fr-FR"/>
        </w:rPr>
        <w:tab/>
        <w:t>The models that are developed and tested shall be capable of accurately representing the relevant aspects of the physical AEBS that is being modelled. The models are used in tools and the tools are incorporated into toolchains which emulate the overall physical behaviour of AEBS with the appropriate quality within the declared domain of validity.</w:t>
      </w:r>
    </w:p>
    <w:p w14:paraId="4497B950" w14:textId="77777777" w:rsidR="00DD451D" w:rsidRDefault="00DD451D" w:rsidP="00AA6237">
      <w:pPr>
        <w:adjustRightInd w:val="0"/>
        <w:snapToGrid w:val="0"/>
        <w:spacing w:after="120" w:line="240" w:lineRule="auto"/>
        <w:ind w:left="2268" w:right="1134" w:hanging="1134"/>
        <w:jc w:val="both"/>
        <w:rPr>
          <w:rFonts w:eastAsia="Times New Roman"/>
          <w:b/>
          <w:bCs/>
          <w:highlight w:val="yellow"/>
          <w:lang w:eastAsia="fr-FR"/>
        </w:rPr>
      </w:pPr>
      <w:r>
        <w:rPr>
          <w:rFonts w:eastAsia="Times New Roman"/>
          <w:b/>
          <w:bCs/>
          <w:lang w:eastAsia="fr-FR"/>
        </w:rPr>
        <w:t>1.4.</w:t>
      </w:r>
      <w:r>
        <w:rPr>
          <w:rFonts w:eastAsia="Times New Roman"/>
          <w:b/>
          <w:bCs/>
          <w:lang w:eastAsia="fr-FR"/>
        </w:rPr>
        <w:tab/>
        <w:t>Simulation model validation process</w:t>
      </w:r>
    </w:p>
    <w:p w14:paraId="0BAD0D8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1.4.1.</w:t>
      </w:r>
      <w:r>
        <w:rPr>
          <w:rFonts w:eastAsia="Times New Roman"/>
          <w:b/>
          <w:bCs/>
          <w:lang w:eastAsia="fr-FR"/>
        </w:rPr>
        <w:tab/>
        <w:t>The simulation model shall be validated in comparison with the physical validation tests performed under paragraph 1.2. and comparability of the test results shall be proven.</w:t>
      </w:r>
    </w:p>
    <w:p w14:paraId="08EDABC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1.4.2.</w:t>
      </w:r>
      <w:r>
        <w:rPr>
          <w:rFonts w:eastAsia="Times New Roman"/>
          <w:b/>
          <w:bCs/>
          <w:lang w:eastAsia="fr-FR"/>
        </w:rPr>
        <w:tab/>
      </w:r>
      <w:r>
        <w:rPr>
          <w:rFonts w:eastAsia="Times New Roman"/>
          <w:b/>
          <w:bCs/>
          <w:lang w:eastAsia="fr-FR"/>
        </w:rPr>
        <w:tab/>
        <w:t xml:space="preserve">The validation strategy shall be based on scientific methods, defined by the car manufacturer and agreed with the </w:t>
      </w:r>
      <w:proofErr w:type="gramStart"/>
      <w:r>
        <w:rPr>
          <w:rFonts w:eastAsia="Times New Roman"/>
          <w:b/>
          <w:bCs/>
          <w:lang w:eastAsia="fr-FR"/>
        </w:rPr>
        <w:t>type</w:t>
      </w:r>
      <w:proofErr w:type="gramEnd"/>
      <w:r>
        <w:rPr>
          <w:rFonts w:eastAsia="Times New Roman"/>
          <w:b/>
          <w:bCs/>
          <w:lang w:eastAsia="fr-FR"/>
        </w:rPr>
        <w:t xml:space="preserve"> approval authority and technical service.</w:t>
      </w:r>
    </w:p>
    <w:p w14:paraId="20E289D7"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1.4.3.</w:t>
      </w:r>
      <w:r>
        <w:rPr>
          <w:rFonts w:eastAsia="Times New Roman"/>
          <w:b/>
          <w:bCs/>
          <w:lang w:eastAsia="fr-FR"/>
        </w:rPr>
        <w:tab/>
        <w:t>For the validation, key performance indicators shall be assessed such as time to collision, remaining distance or impact speed.</w:t>
      </w:r>
    </w:p>
    <w:p w14:paraId="2DCED393"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w:t>
      </w:r>
      <w:r>
        <w:rPr>
          <w:rFonts w:eastAsia="Times New Roman"/>
          <w:b/>
          <w:bCs/>
          <w:lang w:eastAsia="fr-FR"/>
        </w:rPr>
        <w:tab/>
        <w:t>Additional data and information</w:t>
      </w:r>
    </w:p>
    <w:p w14:paraId="72977967"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application, the following information shall be supplied to the approval authority and technical service in addition to the data, and drawings listed in paragraph </w:t>
      </w:r>
      <w:hyperlink r:id="rId11" w:anchor="A0_S3_2" w:history="1">
        <w:r>
          <w:rPr>
            <w:rStyle w:val="Hyperlink"/>
            <w:rFonts w:eastAsia="Times New Roman"/>
            <w:b/>
            <w:bCs/>
            <w:lang w:eastAsia="fr-FR"/>
          </w:rPr>
          <w:t>3.2.</w:t>
        </w:r>
      </w:hyperlink>
      <w:r>
        <w:rPr>
          <w:rFonts w:eastAsia="Times New Roman"/>
          <w:b/>
          <w:bCs/>
          <w:lang w:eastAsia="fr-FR"/>
        </w:rPr>
        <w:t> of this Regulation.</w:t>
      </w:r>
    </w:p>
    <w:p w14:paraId="38195DCD" w14:textId="543B752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1.5.1.</w:t>
      </w:r>
      <w:r>
        <w:rPr>
          <w:rFonts w:eastAsia="Times New Roman"/>
          <w:b/>
          <w:bCs/>
          <w:lang w:eastAsia="fr-FR"/>
        </w:rPr>
        <w:tab/>
        <w:t>A description of the applied simulation method which has been used such as identification of the model, the analysis software, its producer, its commercial name, the version and contact details of the developer.</w:t>
      </w:r>
    </w:p>
    <w:p w14:paraId="40306534"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1.5.2.</w:t>
      </w:r>
      <w:r>
        <w:rPr>
          <w:rFonts w:eastAsia="Times New Roman"/>
          <w:b/>
          <w:bCs/>
          <w:lang w:eastAsia="fr-FR"/>
        </w:rPr>
        <w:tab/>
        <w:t>A description of the input parameters.</w:t>
      </w:r>
    </w:p>
    <w:p w14:paraId="1BA74CA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lastRenderedPageBreak/>
        <w:t>1.5.3.</w:t>
      </w:r>
      <w:r>
        <w:rPr>
          <w:rFonts w:eastAsia="Times New Roman"/>
          <w:b/>
          <w:bCs/>
          <w:lang w:eastAsia="fr-FR"/>
        </w:rPr>
        <w:tab/>
        <w:t>A description of the validity domain taking into account AEBS performance influencing factors.</w:t>
      </w:r>
    </w:p>
    <w:p w14:paraId="7C34E84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1.5.4.</w:t>
      </w:r>
      <w:r>
        <w:rPr>
          <w:rFonts w:eastAsia="Times New Roman"/>
          <w:b/>
          <w:bCs/>
          <w:lang w:eastAsia="fr-FR"/>
        </w:rPr>
        <w:tab/>
        <w:t>All parts of the simulation toolchain such as interlinked simulation modules and tools shall be described by the manufacturer</w:t>
      </w:r>
      <w:r>
        <w:rPr>
          <w:rFonts w:eastAsia="Times New Roman"/>
          <w:b/>
          <w:bCs/>
          <w:strike/>
          <w:lang w:eastAsia="fr-FR"/>
        </w:rPr>
        <w:t>.</w:t>
      </w:r>
    </w:p>
    <w:p w14:paraId="14BEDEEE" w14:textId="1DBD0A1F"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1.5.5.</w:t>
      </w:r>
      <w:r>
        <w:rPr>
          <w:rFonts w:eastAsia="Times New Roman"/>
          <w:b/>
          <w:bCs/>
          <w:lang w:eastAsia="fr-FR"/>
        </w:rPr>
        <w:tab/>
        <w:t xml:space="preserve">The methodology used to generate physical validation data, such as data recording equipment, data processing, calculation of scalar </w:t>
      </w:r>
      <w:r w:rsidR="00145B0F">
        <w:rPr>
          <w:rFonts w:eastAsia="Times New Roman"/>
          <w:b/>
          <w:bCs/>
          <w:lang w:eastAsia="fr-FR"/>
        </w:rPr>
        <w:t>values shall</w:t>
      </w:r>
      <w:r>
        <w:rPr>
          <w:rFonts w:eastAsia="Times New Roman"/>
          <w:b/>
          <w:bCs/>
          <w:lang w:eastAsia="fr-FR"/>
        </w:rPr>
        <w:t xml:space="preserve"> be documented in the simulation report.</w:t>
      </w:r>
    </w:p>
    <w:p w14:paraId="797B17B7" w14:textId="0CEE8766"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1.5.6.</w:t>
      </w:r>
      <w:r>
        <w:rPr>
          <w:rFonts w:eastAsia="Times New Roman"/>
          <w:b/>
          <w:bCs/>
          <w:lang w:eastAsia="fr-FR"/>
        </w:rPr>
        <w:tab/>
        <w:t>A description of the data management system shall be provided by the manufacturer.</w:t>
      </w:r>
    </w:p>
    <w:p w14:paraId="0249BDB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1.5.7.</w:t>
      </w:r>
      <w:r>
        <w:rPr>
          <w:rFonts w:eastAsia="Times New Roman"/>
          <w:b/>
          <w:bCs/>
          <w:lang w:eastAsia="fr-FR"/>
        </w:rPr>
        <w:tab/>
      </w:r>
      <w:r>
        <w:rPr>
          <w:rFonts w:eastAsia="Times New Roman"/>
          <w:b/>
          <w:bCs/>
          <w:lang w:eastAsia="fr-FR"/>
        </w:rPr>
        <w:tab/>
        <w:t>A description of the versions control and the review processes in case of modification within the simulation toolchain shall be provided by the manufacturer.</w:t>
      </w:r>
    </w:p>
    <w:p w14:paraId="3630449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w:t>
      </w:r>
      <w:r>
        <w:rPr>
          <w:rFonts w:eastAsia="Times New Roman"/>
          <w:b/>
          <w:bCs/>
          <w:lang w:eastAsia="fr-FR"/>
        </w:rPr>
        <w:tab/>
        <w:t>Virtual testing results for approval process (pillar 2)</w:t>
      </w:r>
    </w:p>
    <w:p w14:paraId="74C319D5" w14:textId="7B9D1550"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2.1.</w:t>
      </w:r>
      <w:r>
        <w:rPr>
          <w:rFonts w:eastAsia="Times New Roman"/>
          <w:b/>
          <w:bCs/>
          <w:lang w:eastAsia="fr-FR"/>
        </w:rPr>
        <w:tab/>
      </w:r>
      <w:r>
        <w:rPr>
          <w:rFonts w:eastAsia="Times New Roman"/>
          <w:b/>
          <w:bCs/>
          <w:lang w:eastAsia="fr-FR"/>
        </w:rPr>
        <w:tab/>
      </w:r>
      <w:r>
        <w:rPr>
          <w:rFonts w:eastAsia="MS Mincho"/>
          <w:b/>
          <w:lang w:val="en-US" w:eastAsia="fr-FR"/>
        </w:rPr>
        <w:t xml:space="preserve">Compliance of the Advanced Emergency Braking System with the performance requirements as defined in </w:t>
      </w:r>
      <w:r w:rsidR="006D1011">
        <w:rPr>
          <w:rFonts w:eastAsia="MS Mincho"/>
          <w:b/>
          <w:lang w:val="en-US" w:eastAsia="fr-FR"/>
        </w:rPr>
        <w:t>p</w:t>
      </w:r>
      <w:r>
        <w:rPr>
          <w:rFonts w:eastAsia="MS Mincho"/>
          <w:b/>
          <w:lang w:val="en-US" w:eastAsia="fr-FR"/>
        </w:rPr>
        <w:t>aragraphs 5.2.1 to 5.2.3</w:t>
      </w:r>
      <w:r w:rsidR="006518EF">
        <w:rPr>
          <w:rFonts w:eastAsia="MS Mincho"/>
          <w:b/>
          <w:lang w:val="en-US" w:eastAsia="fr-FR"/>
        </w:rPr>
        <w:t>.</w:t>
      </w:r>
      <w:r>
        <w:rPr>
          <w:rFonts w:eastAsia="MS Mincho"/>
          <w:b/>
          <w:lang w:val="en-US" w:eastAsia="fr-FR"/>
        </w:rPr>
        <w:t xml:space="preserve"> of this </w:t>
      </w:r>
      <w:r w:rsidR="006D1011">
        <w:rPr>
          <w:rFonts w:eastAsia="MS Mincho"/>
          <w:b/>
          <w:lang w:val="en-US" w:eastAsia="fr-FR"/>
        </w:rPr>
        <w:t>R</w:t>
      </w:r>
      <w:r>
        <w:rPr>
          <w:rFonts w:eastAsia="MS Mincho"/>
          <w:b/>
          <w:lang w:val="en-US" w:eastAsia="fr-FR"/>
        </w:rPr>
        <w:t>egulation may be demonstrated by the vehicle manufacturer to the Type Approval Authority or Technical Service by making use of virtual testing of the dynamic maneuvers of the paragraph(s) 6.5</w:t>
      </w:r>
      <w:r w:rsidR="006D1011">
        <w:rPr>
          <w:rFonts w:eastAsia="MS Mincho"/>
          <w:b/>
          <w:lang w:val="en-US" w:eastAsia="fr-FR"/>
        </w:rPr>
        <w:t>.</w:t>
      </w:r>
      <w:r>
        <w:rPr>
          <w:rFonts w:eastAsia="MS Mincho"/>
          <w:b/>
          <w:lang w:val="en-US" w:eastAsia="fr-FR"/>
        </w:rPr>
        <w:t xml:space="preserve"> to 6.7</w:t>
      </w:r>
      <w:r w:rsidR="006D1011">
        <w:rPr>
          <w:rFonts w:eastAsia="MS Mincho"/>
          <w:b/>
          <w:lang w:val="en-US" w:eastAsia="fr-FR"/>
        </w:rPr>
        <w:t>.</w:t>
      </w:r>
      <w:r>
        <w:rPr>
          <w:rFonts w:eastAsia="MS Mincho"/>
          <w:b/>
          <w:lang w:val="en-US" w:eastAsia="fr-FR"/>
        </w:rPr>
        <w:t xml:space="preserve"> of this Regulation</w:t>
      </w:r>
      <w:r>
        <w:rPr>
          <w:lang w:val="en-US"/>
        </w:rPr>
        <w:t>.</w:t>
      </w:r>
    </w:p>
    <w:p w14:paraId="7BC2F231" w14:textId="544799D8"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2.2.</w:t>
      </w:r>
      <w:r>
        <w:rPr>
          <w:rFonts w:eastAsia="Times New Roman"/>
          <w:b/>
          <w:bCs/>
          <w:lang w:eastAsia="fr-FR"/>
        </w:rPr>
        <w:tab/>
        <w:t>All simulation results provided by the manufacturer in applying for an approval in accordance with paragraph 4. of this regulation shall refer to the method evaluated and validated according to paragraph 1</w:t>
      </w:r>
      <w:r w:rsidR="006D1011">
        <w:rPr>
          <w:rFonts w:eastAsia="Times New Roman"/>
          <w:b/>
          <w:bCs/>
          <w:lang w:eastAsia="fr-FR"/>
        </w:rPr>
        <w:t>.</w:t>
      </w:r>
      <w:r>
        <w:rPr>
          <w:rFonts w:eastAsia="Times New Roman"/>
          <w:b/>
          <w:bCs/>
          <w:lang w:eastAsia="fr-FR"/>
        </w:rPr>
        <w:t xml:space="preserve"> of this annex. </w:t>
      </w:r>
    </w:p>
    <w:p w14:paraId="00D23EB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w:t>
      </w:r>
      <w:r>
        <w:rPr>
          <w:rFonts w:eastAsia="Times New Roman"/>
          <w:b/>
          <w:bCs/>
          <w:lang w:eastAsia="fr-FR"/>
        </w:rPr>
        <w:tab/>
        <w:t xml:space="preserve">Additional data and information </w:t>
      </w:r>
    </w:p>
    <w:p w14:paraId="1CBC77CE"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application, the following information shall be supplied to the technical service in addition to the data, and drawings listed in paragraph </w:t>
      </w:r>
      <w:hyperlink r:id="rId12" w:anchor="A0_S3_2" w:history="1">
        <w:r>
          <w:rPr>
            <w:rStyle w:val="Hyperlink"/>
            <w:rFonts w:eastAsia="Times New Roman"/>
            <w:b/>
            <w:bCs/>
            <w:lang w:eastAsia="fr-FR"/>
          </w:rPr>
          <w:t>3.2.</w:t>
        </w:r>
      </w:hyperlink>
      <w:r>
        <w:rPr>
          <w:rFonts w:eastAsia="Times New Roman"/>
          <w:b/>
          <w:bCs/>
          <w:lang w:eastAsia="fr-FR"/>
        </w:rPr>
        <w:t> of this Regulation.</w:t>
      </w:r>
    </w:p>
    <w:p w14:paraId="054CC958"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2.3.1.</w:t>
      </w:r>
      <w:r>
        <w:rPr>
          <w:rFonts w:eastAsia="Times New Roman"/>
          <w:b/>
          <w:bCs/>
          <w:lang w:eastAsia="fr-FR"/>
        </w:rPr>
        <w:tab/>
        <w:t>A description of the applied simulation method which has been used such as identification of model, the analysis software, its producer, its commercial name, the version and contact details of the developer.</w:t>
      </w:r>
    </w:p>
    <w:p w14:paraId="6DD4FA1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2.3.2.</w:t>
      </w:r>
      <w:r>
        <w:rPr>
          <w:rFonts w:eastAsia="Times New Roman"/>
          <w:b/>
          <w:bCs/>
          <w:lang w:eastAsia="fr-FR"/>
        </w:rPr>
        <w:tab/>
        <w:t>A description of the input parameters</w:t>
      </w:r>
      <w:r>
        <w:rPr>
          <w:rFonts w:eastAsia="Times New Roman"/>
          <w:b/>
          <w:bCs/>
          <w:strike/>
          <w:lang w:eastAsia="fr-FR"/>
        </w:rPr>
        <w:t>.</w:t>
      </w:r>
    </w:p>
    <w:p w14:paraId="1E8B20A2"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2.3.3.</w:t>
      </w:r>
      <w:r>
        <w:rPr>
          <w:rFonts w:eastAsia="Times New Roman"/>
          <w:b/>
          <w:bCs/>
          <w:lang w:eastAsia="fr-FR"/>
        </w:rPr>
        <w:tab/>
        <w:t>A reference to the validated simulation method used in application of paragraph 1 of the current annex.</w:t>
      </w:r>
    </w:p>
    <w:p w14:paraId="773DEC3C" w14:textId="499BB6B2" w:rsidR="001004CC" w:rsidRPr="00AA6237" w:rsidRDefault="00DD451D" w:rsidP="00AA6237">
      <w:pPr>
        <w:adjustRightInd w:val="0"/>
        <w:snapToGrid w:val="0"/>
        <w:spacing w:after="120" w:line="240" w:lineRule="auto"/>
        <w:ind w:left="2268" w:right="1134" w:hanging="1134"/>
        <w:jc w:val="both"/>
        <w:rPr>
          <w:rFonts w:eastAsia="Times New Roman"/>
          <w:lang w:eastAsia="fr-FR"/>
        </w:rPr>
      </w:pPr>
      <w:r>
        <w:rPr>
          <w:rFonts w:eastAsia="Times New Roman"/>
          <w:b/>
          <w:bCs/>
          <w:lang w:eastAsia="fr-FR"/>
        </w:rPr>
        <w:t>2.3.4.</w:t>
      </w:r>
      <w:r>
        <w:rPr>
          <w:rFonts w:eastAsia="Times New Roman"/>
          <w:b/>
          <w:bCs/>
          <w:lang w:eastAsia="fr-FR"/>
        </w:rPr>
        <w:tab/>
        <w:t>All parts of the simulation toolchain such as interlinked simulation modules and tools shall be described by the manufacturer.</w:t>
      </w:r>
      <w:r>
        <w:rPr>
          <w:rFonts w:eastAsia="Times New Roman"/>
          <w:lang w:eastAsia="fr-FR"/>
        </w:rPr>
        <w:t>”</w:t>
      </w:r>
    </w:p>
    <w:p w14:paraId="3432E3C5" w14:textId="02EEF194" w:rsidR="001004CC" w:rsidRPr="004E6CD9" w:rsidRDefault="001004CC" w:rsidP="001004CC">
      <w:pPr>
        <w:pStyle w:val="HChG"/>
        <w:ind w:right="522"/>
      </w:pPr>
      <w:r w:rsidRPr="004E6CD9">
        <w:tab/>
        <w:t>I</w:t>
      </w:r>
      <w:r w:rsidR="006D1700">
        <w:t>I</w:t>
      </w:r>
      <w:r w:rsidRPr="004E6CD9">
        <w:t>.</w:t>
      </w:r>
      <w:r w:rsidRPr="004E6CD9">
        <w:tab/>
      </w:r>
      <w:r>
        <w:t>Justification</w:t>
      </w:r>
    </w:p>
    <w:p w14:paraId="407808F9" w14:textId="10FE3034" w:rsidR="00D461B0" w:rsidRDefault="00D461B0" w:rsidP="00D461B0">
      <w:pPr>
        <w:pStyle w:val="SingleTxtG"/>
        <w:ind w:right="1133"/>
        <w:rPr>
          <w:lang w:eastAsia="fr-FR"/>
        </w:rPr>
      </w:pPr>
      <w:bookmarkStart w:id="3" w:name="_Hlk19813127"/>
      <w:r>
        <w:t>1.</w:t>
      </w:r>
      <w:r>
        <w:tab/>
        <w:t xml:space="preserve">This proposal </w:t>
      </w:r>
      <w:r w:rsidR="00A55182">
        <w:t>aims to allow</w:t>
      </w:r>
      <w:r>
        <w:t xml:space="preserve"> </w:t>
      </w:r>
      <w:r w:rsidR="00A55182">
        <w:t xml:space="preserve">the approval </w:t>
      </w:r>
      <w:r>
        <w:t xml:space="preserve">applicant to use </w:t>
      </w:r>
      <w:r w:rsidR="00A55182">
        <w:t xml:space="preserve">a </w:t>
      </w:r>
      <w:r>
        <w:t xml:space="preserve">virtual testing methodology as </w:t>
      </w:r>
      <w:r w:rsidR="00A55182">
        <w:t xml:space="preserve">an </w:t>
      </w:r>
      <w:r>
        <w:t xml:space="preserve">alternative to physical tests. </w:t>
      </w:r>
      <w:r w:rsidR="009559DE">
        <w:t>This requires a preliminary assessment of the methodology to be used</w:t>
      </w:r>
      <w:r w:rsidR="005D14F3">
        <w:t>, as</w:t>
      </w:r>
      <w:r>
        <w:t xml:space="preserve"> already defined at European Union </w:t>
      </w:r>
      <w:r w:rsidR="005D14F3">
        <w:t xml:space="preserve">level in the </w:t>
      </w:r>
      <w:r>
        <w:t>Whole Vehicle Type Approval (WVTA)</w:t>
      </w:r>
      <w:r w:rsidR="00DB6FEC">
        <w:t xml:space="preserve"> regulation</w:t>
      </w:r>
      <w:r>
        <w:t xml:space="preserve">, in other regulations </w:t>
      </w:r>
      <w:r w:rsidR="00DB6FEC">
        <w:t xml:space="preserve">and as </w:t>
      </w:r>
      <w:r w:rsidR="00C73D5D">
        <w:t xml:space="preserve">considered </w:t>
      </w:r>
      <w:r>
        <w:t xml:space="preserve">by the Informal Working Group on Validation Method for Automated Driving (VMAD) </w:t>
      </w:r>
      <w:r w:rsidR="00DB6FEC">
        <w:t xml:space="preserve">and its </w:t>
      </w:r>
      <w:r>
        <w:t>Subgroup 2</w:t>
      </w:r>
      <w:r w:rsidR="00DB6FEC">
        <w:t>.</w:t>
      </w:r>
    </w:p>
    <w:p w14:paraId="57FD1212" w14:textId="5C09308C" w:rsidR="00D461B0" w:rsidRDefault="00D461B0" w:rsidP="00D461B0">
      <w:pPr>
        <w:pStyle w:val="SingleTxtG"/>
        <w:ind w:right="1133"/>
      </w:pPr>
      <w:r>
        <w:t>2.</w:t>
      </w:r>
      <w:r>
        <w:tab/>
        <w:t xml:space="preserve">This proposal defines a practical approach to </w:t>
      </w:r>
      <w:r w:rsidR="00CF15F2">
        <w:t xml:space="preserve">anker </w:t>
      </w:r>
      <w:r w:rsidR="00071D1E">
        <w:t>the</w:t>
      </w:r>
      <w:r>
        <w:t xml:space="preserve"> main </w:t>
      </w:r>
      <w:r w:rsidR="00071D1E">
        <w:t xml:space="preserve">safety relevant </w:t>
      </w:r>
      <w:r>
        <w:t xml:space="preserve">principles </w:t>
      </w:r>
      <w:r w:rsidR="00071D1E">
        <w:t xml:space="preserve">while </w:t>
      </w:r>
      <w:r>
        <w:t xml:space="preserve">letting the flexibility to the applicant in </w:t>
      </w:r>
      <w:r w:rsidR="00071D1E">
        <w:t xml:space="preserve">selecting </w:t>
      </w:r>
      <w:r>
        <w:t>the virtual tools to be used.</w:t>
      </w:r>
    </w:p>
    <w:p w14:paraId="22AB1FAC" w14:textId="77777777" w:rsidR="00D461B0" w:rsidRDefault="00D461B0" w:rsidP="00D461B0">
      <w:pPr>
        <w:pStyle w:val="SingleTxtG"/>
        <w:ind w:right="1133"/>
      </w:pPr>
      <w:r>
        <w:t>3.</w:t>
      </w:r>
      <w:r>
        <w:tab/>
        <w:t>An example of the application is presented in informal document GRVA-15-20.</w:t>
      </w:r>
    </w:p>
    <w:p w14:paraId="19EAC8E0" w14:textId="32748DE0" w:rsidR="00D461B0" w:rsidRPr="00450E2F" w:rsidRDefault="00D461B0" w:rsidP="00D461B0">
      <w:pPr>
        <w:pStyle w:val="SingleTxtG"/>
        <w:ind w:right="1133"/>
      </w:pPr>
      <w:r w:rsidRPr="00450E2F">
        <w:t>Note by the secretariat: this amendment proposal, if adopted as supplement to the 02 series of amendments, would require adjustments</w:t>
      </w:r>
      <w:r w:rsidR="007563B5">
        <w:t xml:space="preserve"> in the paragraph numbering</w:t>
      </w:r>
      <w:r w:rsidR="00EF7E44">
        <w:t xml:space="preserve"> (6.11.)</w:t>
      </w:r>
      <w:r w:rsidR="007563B5">
        <w:t xml:space="preserve">, </w:t>
      </w:r>
      <w:r w:rsidRPr="00450E2F">
        <w:t>as para. 6.7. already exist in the 02 series of amendments, reading:</w:t>
      </w:r>
    </w:p>
    <w:p w14:paraId="4D04B29B" w14:textId="1DD262FC" w:rsidR="001004CC" w:rsidRDefault="00D461B0" w:rsidP="00F96ECC">
      <w:pPr>
        <w:pStyle w:val="SingleTxtG"/>
        <w:ind w:right="1133"/>
      </w:pPr>
      <w:r w:rsidRPr="00450E2F">
        <w:t>“6.7.</w:t>
      </w:r>
      <w:r w:rsidRPr="00450E2F">
        <w:tab/>
        <w:t>Warning and Activation Test with a Bicycle Target”</w:t>
      </w:r>
    </w:p>
    <w:bookmarkEnd w:id="3"/>
    <w:p w14:paraId="6295087F" w14:textId="59E5D001" w:rsidR="005D61D8" w:rsidRPr="004E6CD9" w:rsidRDefault="001004CC" w:rsidP="006D1011">
      <w:pPr>
        <w:spacing w:before="60"/>
        <w:jc w:val="center"/>
        <w:rPr>
          <w:rFonts w:asciiTheme="majorBidi" w:hAnsiTheme="majorBidi"/>
          <w:u w:val="single"/>
        </w:rPr>
      </w:pPr>
      <w:r w:rsidRPr="00237C70">
        <w:rPr>
          <w:u w:val="single"/>
        </w:rPr>
        <w:tab/>
      </w:r>
      <w:r w:rsidRPr="00237C70">
        <w:rPr>
          <w:u w:val="single"/>
        </w:rPr>
        <w:tab/>
      </w:r>
      <w:r w:rsidR="00020CA9">
        <w:rPr>
          <w:u w:val="single"/>
        </w:rPr>
        <w:tab/>
      </w:r>
    </w:p>
    <w:sectPr w:rsidR="005D61D8" w:rsidRPr="004E6CD9" w:rsidSect="00CE679B">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DD80" w14:textId="77777777" w:rsidR="00DD3D8A" w:rsidRDefault="00DD3D8A"/>
  </w:endnote>
  <w:endnote w:type="continuationSeparator" w:id="0">
    <w:p w14:paraId="57000623" w14:textId="77777777" w:rsidR="00DD3D8A" w:rsidRDefault="00DD3D8A"/>
  </w:endnote>
  <w:endnote w:type="continuationNotice" w:id="1">
    <w:p w14:paraId="6EB19C01" w14:textId="77777777" w:rsidR="00DD3D8A" w:rsidRDefault="00DD3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9A68" w14:textId="562957F8" w:rsidR="00D61CEB" w:rsidRDefault="00D61CEB" w:rsidP="00D61CEB">
    <w:pPr>
      <w:pStyle w:val="Footer"/>
    </w:pPr>
    <w:r w:rsidRPr="0027112F">
      <w:rPr>
        <w:noProof/>
        <w:lang w:val="en-US"/>
      </w:rPr>
      <w:drawing>
        <wp:anchor distT="0" distB="0" distL="114300" distR="114300" simplePos="0" relativeHeight="251659264" behindDoc="0" locked="1" layoutInCell="1" allowOverlap="1" wp14:anchorId="0B20B6EA" wp14:editId="0115DF1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5C4F27" w14:textId="55E4B568" w:rsidR="00D61CEB" w:rsidRPr="00D61CEB" w:rsidRDefault="00D61CEB" w:rsidP="00D61CEB">
    <w:pPr>
      <w:pStyle w:val="Footer"/>
      <w:ind w:right="1134"/>
      <w:rPr>
        <w:sz w:val="20"/>
      </w:rPr>
    </w:pPr>
    <w:r>
      <w:rPr>
        <w:sz w:val="20"/>
      </w:rPr>
      <w:t>GE.24-</w:t>
    </w:r>
    <w:proofErr w:type="gramStart"/>
    <w:r>
      <w:rPr>
        <w:sz w:val="20"/>
      </w:rPr>
      <w:t>06609  (</w:t>
    </w:r>
    <w:proofErr w:type="gramEnd"/>
    <w:r>
      <w:rPr>
        <w:sz w:val="20"/>
      </w:rPr>
      <w:t>E)</w:t>
    </w:r>
    <w:r>
      <w:rPr>
        <w:noProof/>
        <w:sz w:val="20"/>
      </w:rPr>
      <w:drawing>
        <wp:anchor distT="0" distB="0" distL="114300" distR="114300" simplePos="0" relativeHeight="251660288" behindDoc="0" locked="0" layoutInCell="1" allowOverlap="1" wp14:anchorId="51CC6C31" wp14:editId="73AF80A8">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2F59" w14:textId="77777777" w:rsidR="00DD3D8A" w:rsidRPr="000B175B" w:rsidRDefault="00DD3D8A" w:rsidP="000B175B">
      <w:pPr>
        <w:tabs>
          <w:tab w:val="right" w:pos="2155"/>
        </w:tabs>
        <w:spacing w:after="80"/>
        <w:ind w:left="680"/>
        <w:rPr>
          <w:u w:val="single"/>
        </w:rPr>
      </w:pPr>
      <w:r>
        <w:rPr>
          <w:u w:val="single"/>
        </w:rPr>
        <w:tab/>
      </w:r>
    </w:p>
  </w:footnote>
  <w:footnote w:type="continuationSeparator" w:id="0">
    <w:p w14:paraId="2F1FA8CE" w14:textId="77777777" w:rsidR="00DD3D8A" w:rsidRPr="00FC68B7" w:rsidRDefault="00DD3D8A" w:rsidP="00FC68B7">
      <w:pPr>
        <w:tabs>
          <w:tab w:val="left" w:pos="2155"/>
        </w:tabs>
        <w:spacing w:after="80"/>
        <w:ind w:left="680"/>
        <w:rPr>
          <w:u w:val="single"/>
        </w:rPr>
      </w:pPr>
      <w:r>
        <w:rPr>
          <w:u w:val="single"/>
        </w:rPr>
        <w:tab/>
      </w:r>
    </w:p>
  </w:footnote>
  <w:footnote w:type="continuationNotice" w:id="1">
    <w:p w14:paraId="2CD42EB0" w14:textId="77777777" w:rsidR="00DD3D8A" w:rsidRDefault="00DD3D8A"/>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In accordance with the pro</w:t>
      </w:r>
      <w:r w:rsidR="0035122C" w:rsidRPr="004B5F23">
        <w:rPr>
          <w:szCs w:val="18"/>
          <w:lang w:val="en-US"/>
        </w:rPr>
        <w:t>gramme of work of the Inland Transport Committee for 2024 as outlined in proposed programme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6C6F250"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5E0B5B">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5B45EB32" w:rsidR="004F098C" w:rsidRPr="004F098C" w:rsidRDefault="004F098C" w:rsidP="004F098C">
    <w:pPr>
      <w:pStyle w:val="Header"/>
      <w:jc w:val="right"/>
      <w:rPr>
        <w:lang w:val="fr-CH"/>
      </w:rPr>
    </w:pPr>
    <w:r>
      <w:rPr>
        <w:lang w:val="fr-CH"/>
      </w:rPr>
      <w:t>ECE/TRANS/WP.29/GRVA/202</w:t>
    </w:r>
    <w:r w:rsidR="001004CC">
      <w:rPr>
        <w:lang w:val="fr-CH"/>
      </w:rPr>
      <w:t>2</w:t>
    </w:r>
    <w:r>
      <w:rPr>
        <w:lang w:val="fr-CH"/>
      </w:rPr>
      <w:t>/</w:t>
    </w:r>
    <w:r w:rsidR="00212DDB">
      <w:rPr>
        <w:lang w:val="fr-CH"/>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5E0B5B">
    <w:pPr>
      <w:suppressAutoHyphens w:val="0"/>
      <w:spacing w:after="200" w:line="276" w:lineRule="auto"/>
      <w:ind w:right="110"/>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F4F6CD5"/>
    <w:multiLevelType w:val="hybridMultilevel"/>
    <w:tmpl w:val="0D642006"/>
    <w:lvl w:ilvl="0" w:tplc="5ECA087E">
      <w:start w:val="6"/>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4F7924"/>
    <w:multiLevelType w:val="hybridMultilevel"/>
    <w:tmpl w:val="E7A0A432"/>
    <w:lvl w:ilvl="0" w:tplc="63D2E0F6">
      <w:start w:val="1"/>
      <w:numFmt w:val="decimal"/>
      <w:lvlText w:val="%1."/>
      <w:lvlJc w:val="left"/>
      <w:pPr>
        <w:ind w:left="2274" w:hanging="1140"/>
      </w:pPr>
      <w:rPr>
        <w:color w:val="auto"/>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0"/>
  </w:num>
  <w:num w:numId="12" w16cid:durableId="363210280">
    <w:abstractNumId w:val="16"/>
  </w:num>
  <w:num w:numId="13" w16cid:durableId="3870166">
    <w:abstractNumId w:val="12"/>
  </w:num>
  <w:num w:numId="14" w16cid:durableId="193663121">
    <w:abstractNumId w:val="31"/>
  </w:num>
  <w:num w:numId="15" w16cid:durableId="288896961">
    <w:abstractNumId w:val="38"/>
  </w:num>
  <w:num w:numId="16" w16cid:durableId="660474522">
    <w:abstractNumId w:val="25"/>
  </w:num>
  <w:num w:numId="17" w16cid:durableId="1649942746">
    <w:abstractNumId w:val="23"/>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7"/>
  </w:num>
  <w:num w:numId="25" w16cid:durableId="1001815895">
    <w:abstractNumId w:val="33"/>
  </w:num>
  <w:num w:numId="26" w16cid:durableId="1401635527">
    <w:abstractNumId w:val="42"/>
  </w:num>
  <w:num w:numId="27" w16cid:durableId="1733505404">
    <w:abstractNumId w:val="13"/>
  </w:num>
  <w:num w:numId="28" w16cid:durableId="1759983800">
    <w:abstractNumId w:val="29"/>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8"/>
  </w:num>
  <w:num w:numId="34" w16cid:durableId="287780439">
    <w:abstractNumId w:val="26"/>
  </w:num>
  <w:num w:numId="35" w16cid:durableId="1340429923">
    <w:abstractNumId w:val="34"/>
  </w:num>
  <w:num w:numId="36" w16cid:durableId="103891011">
    <w:abstractNumId w:val="24"/>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2"/>
  </w:num>
  <w:num w:numId="42" w16cid:durableId="788741520">
    <w:abstractNumId w:val="19"/>
  </w:num>
  <w:num w:numId="43" w16cid:durableId="176578763">
    <w:abstractNumId w:val="35"/>
  </w:num>
  <w:num w:numId="44" w16cid:durableId="9104297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1E"/>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12B2"/>
    <w:rsid w:val="0012518D"/>
    <w:rsid w:val="0013415F"/>
    <w:rsid w:val="001373C9"/>
    <w:rsid w:val="001406BB"/>
    <w:rsid w:val="001411DF"/>
    <w:rsid w:val="00143572"/>
    <w:rsid w:val="00145B0F"/>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2E6A"/>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2DD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0E2F"/>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D2946"/>
    <w:rsid w:val="004D6DBB"/>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5AE8"/>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14F3"/>
    <w:rsid w:val="005D5CBA"/>
    <w:rsid w:val="005D61D8"/>
    <w:rsid w:val="005E09D4"/>
    <w:rsid w:val="005E0B5B"/>
    <w:rsid w:val="005E0E83"/>
    <w:rsid w:val="005E2446"/>
    <w:rsid w:val="005E6809"/>
    <w:rsid w:val="005F4045"/>
    <w:rsid w:val="005F4D40"/>
    <w:rsid w:val="005F5A26"/>
    <w:rsid w:val="005F7B75"/>
    <w:rsid w:val="006001EE"/>
    <w:rsid w:val="0060235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18EF"/>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A0D"/>
    <w:rsid w:val="006B6E1D"/>
    <w:rsid w:val="006C3589"/>
    <w:rsid w:val="006C46C4"/>
    <w:rsid w:val="006C4776"/>
    <w:rsid w:val="006C5D2F"/>
    <w:rsid w:val="006D1011"/>
    <w:rsid w:val="006D1700"/>
    <w:rsid w:val="006D2108"/>
    <w:rsid w:val="006D3334"/>
    <w:rsid w:val="006D37AF"/>
    <w:rsid w:val="006D51D0"/>
    <w:rsid w:val="006D5FB9"/>
    <w:rsid w:val="006D658E"/>
    <w:rsid w:val="006E1A85"/>
    <w:rsid w:val="006E291A"/>
    <w:rsid w:val="006E2981"/>
    <w:rsid w:val="006E2FE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63B5"/>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559DE"/>
    <w:rsid w:val="0096356B"/>
    <w:rsid w:val="00964B00"/>
    <w:rsid w:val="00971086"/>
    <w:rsid w:val="00973463"/>
    <w:rsid w:val="00974A0C"/>
    <w:rsid w:val="00975C12"/>
    <w:rsid w:val="009760F3"/>
    <w:rsid w:val="00976CFB"/>
    <w:rsid w:val="00980239"/>
    <w:rsid w:val="0098714D"/>
    <w:rsid w:val="009873AF"/>
    <w:rsid w:val="00990599"/>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182"/>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237"/>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4360"/>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049"/>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87359"/>
    <w:rsid w:val="00B91F53"/>
    <w:rsid w:val="00B91F8E"/>
    <w:rsid w:val="00B9204B"/>
    <w:rsid w:val="00B92C2D"/>
    <w:rsid w:val="00B92E8C"/>
    <w:rsid w:val="00B95EE4"/>
    <w:rsid w:val="00BA0995"/>
    <w:rsid w:val="00BA13A2"/>
    <w:rsid w:val="00BA5275"/>
    <w:rsid w:val="00BA5CBA"/>
    <w:rsid w:val="00BB1FA6"/>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115"/>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3D5D"/>
    <w:rsid w:val="00C745C3"/>
    <w:rsid w:val="00C756CC"/>
    <w:rsid w:val="00C76E75"/>
    <w:rsid w:val="00C832B4"/>
    <w:rsid w:val="00C91AC0"/>
    <w:rsid w:val="00C9265B"/>
    <w:rsid w:val="00C96DF2"/>
    <w:rsid w:val="00CA325A"/>
    <w:rsid w:val="00CA3C5B"/>
    <w:rsid w:val="00CA3E3A"/>
    <w:rsid w:val="00CA6B13"/>
    <w:rsid w:val="00CA7309"/>
    <w:rsid w:val="00CB3E03"/>
    <w:rsid w:val="00CB78FB"/>
    <w:rsid w:val="00CC10FB"/>
    <w:rsid w:val="00CC3E16"/>
    <w:rsid w:val="00CC5F74"/>
    <w:rsid w:val="00CC7D89"/>
    <w:rsid w:val="00CD1DBB"/>
    <w:rsid w:val="00CD4AA6"/>
    <w:rsid w:val="00CD70CC"/>
    <w:rsid w:val="00CD78B5"/>
    <w:rsid w:val="00CE0F66"/>
    <w:rsid w:val="00CE272F"/>
    <w:rsid w:val="00CE4A8F"/>
    <w:rsid w:val="00CE679B"/>
    <w:rsid w:val="00CE67C2"/>
    <w:rsid w:val="00CF15F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1B0"/>
    <w:rsid w:val="00D46509"/>
    <w:rsid w:val="00D47EEA"/>
    <w:rsid w:val="00D51093"/>
    <w:rsid w:val="00D52E7D"/>
    <w:rsid w:val="00D57CF2"/>
    <w:rsid w:val="00D57F77"/>
    <w:rsid w:val="00D6145A"/>
    <w:rsid w:val="00D61CEB"/>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2149"/>
    <w:rsid w:val="00DA3C1C"/>
    <w:rsid w:val="00DA52E0"/>
    <w:rsid w:val="00DA6132"/>
    <w:rsid w:val="00DA7251"/>
    <w:rsid w:val="00DB2800"/>
    <w:rsid w:val="00DB6FEC"/>
    <w:rsid w:val="00DB70D1"/>
    <w:rsid w:val="00DC0DFA"/>
    <w:rsid w:val="00DC15D1"/>
    <w:rsid w:val="00DC2C25"/>
    <w:rsid w:val="00DC59E9"/>
    <w:rsid w:val="00DC6D39"/>
    <w:rsid w:val="00DD0611"/>
    <w:rsid w:val="00DD3320"/>
    <w:rsid w:val="00DD3D8A"/>
    <w:rsid w:val="00DD451D"/>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481F"/>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7E44"/>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4FA9"/>
    <w:rsid w:val="00F6690C"/>
    <w:rsid w:val="00F66F59"/>
    <w:rsid w:val="00F70C4D"/>
    <w:rsid w:val="00F75039"/>
    <w:rsid w:val="00F7615D"/>
    <w:rsid w:val="00F76B37"/>
    <w:rsid w:val="00F92CAD"/>
    <w:rsid w:val="00F93781"/>
    <w:rsid w:val="00F952CD"/>
    <w:rsid w:val="00F95493"/>
    <w:rsid w:val="00F95C8C"/>
    <w:rsid w:val="00F96EC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17428322">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7326901">
      <w:bodyDiv w:val="1"/>
      <w:marLeft w:val="0"/>
      <w:marRight w:val="0"/>
      <w:marTop w:val="0"/>
      <w:marBottom w:val="0"/>
      <w:divBdr>
        <w:top w:val="none" w:sz="0" w:space="0" w:color="auto"/>
        <w:left w:val="none" w:sz="0" w:space="0" w:color="auto"/>
        <w:bottom w:val="none" w:sz="0" w:space="0" w:color="auto"/>
        <w:right w:val="none" w:sz="0" w:space="0" w:color="auto"/>
      </w:divBdr>
    </w:div>
    <w:div w:id="1602255356">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ocalhost:8099/fr/document/show/document_id/255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calhost:8099/fr/document/show/document_id/255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43E30750-D6E4-4454-8B49-27A95B14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7642</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ECE/TRANS/WP.29/GRVA/2024/19</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ECE/TRANS/WP.29/GRVA/2024/19</dc:title>
  <dc:subject>2406609</dc:subject>
  <dc:creator/>
  <cp:keywords/>
  <dc:description/>
  <cp:lastModifiedBy/>
  <cp:revision>1</cp:revision>
  <dcterms:created xsi:type="dcterms:W3CDTF">2024-05-08T12:10:00Z</dcterms:created>
  <dcterms:modified xsi:type="dcterms:W3CDTF">2024-05-08T12:10:00Z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