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7DFCE4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536F4EC" w14:textId="77777777" w:rsidR="002D5AAC" w:rsidRDefault="002D5AAC" w:rsidP="00EC2E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85EC2F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66B927E" w14:textId="7AA481F8" w:rsidR="002D5AAC" w:rsidRDefault="00EC2E0D" w:rsidP="00EC2E0D">
            <w:pPr>
              <w:jc w:val="right"/>
            </w:pPr>
            <w:r w:rsidRPr="00EC2E0D">
              <w:rPr>
                <w:sz w:val="40"/>
              </w:rPr>
              <w:t>ECE</w:t>
            </w:r>
            <w:r>
              <w:t>/TRANS/WP.29/GRVA/2024/18</w:t>
            </w:r>
          </w:p>
        </w:tc>
      </w:tr>
      <w:tr w:rsidR="002D5AAC" w14:paraId="118B45A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FA5AB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DCE58F0" wp14:editId="0036BF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76997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CA34A14" w14:textId="77777777" w:rsidR="002D5AAC" w:rsidRDefault="00EC2E0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D931875" w14:textId="34E0E36F" w:rsidR="00EC2E0D" w:rsidRDefault="00EC2E0D" w:rsidP="00EC2E0D">
            <w:pPr>
              <w:spacing w:line="240" w:lineRule="exact"/>
              <w:rPr>
                <w:lang w:val="en-US"/>
              </w:rPr>
            </w:pPr>
            <w:r>
              <w:t>11</w:t>
            </w:r>
            <w:r w:rsidRPr="0035122C">
              <w:t xml:space="preserve"> </w:t>
            </w:r>
            <w:r>
              <w:t>April</w:t>
            </w:r>
            <w:r w:rsidRPr="0035122C">
              <w:t xml:space="preserve"> 202</w:t>
            </w:r>
            <w:r>
              <w:t>4</w:t>
            </w:r>
          </w:p>
          <w:p w14:paraId="05F40CC3" w14:textId="77777777" w:rsidR="00EC2E0D" w:rsidRDefault="00EC2E0D" w:rsidP="00EC2E0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AEA1743" w14:textId="02590022" w:rsidR="00EC2E0D" w:rsidRPr="008D53B6" w:rsidRDefault="00EC2E0D" w:rsidP="00EC2E0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6FACE4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640AECA" w14:textId="77777777" w:rsidR="00EC2E0D" w:rsidRPr="008E4733" w:rsidRDefault="00EC2E0D" w:rsidP="00EC2E0D">
      <w:pPr>
        <w:spacing w:before="120"/>
        <w:rPr>
          <w:sz w:val="28"/>
          <w:szCs w:val="28"/>
        </w:rPr>
      </w:pPr>
      <w:r w:rsidRPr="008E4733">
        <w:rPr>
          <w:sz w:val="28"/>
          <w:szCs w:val="28"/>
        </w:rPr>
        <w:t>Комитет по внутреннему транспорту</w:t>
      </w:r>
    </w:p>
    <w:p w14:paraId="0A7E6509" w14:textId="77777777" w:rsidR="00EC2E0D" w:rsidRPr="008E4733" w:rsidRDefault="00EC2E0D" w:rsidP="00EC2E0D">
      <w:pPr>
        <w:spacing w:before="120"/>
        <w:rPr>
          <w:b/>
          <w:sz w:val="24"/>
          <w:szCs w:val="24"/>
        </w:rPr>
      </w:pPr>
      <w:r w:rsidRPr="008E4733">
        <w:rPr>
          <w:b/>
          <w:bCs/>
          <w:sz w:val="24"/>
          <w:szCs w:val="24"/>
        </w:rPr>
        <w:t>Всемирный форум для согласования правил</w:t>
      </w:r>
      <w:r w:rsidRPr="008E4733">
        <w:rPr>
          <w:b/>
          <w:bCs/>
          <w:sz w:val="24"/>
          <w:szCs w:val="24"/>
        </w:rPr>
        <w:br/>
        <w:t>в области транспортных средств</w:t>
      </w:r>
    </w:p>
    <w:p w14:paraId="2DF6C218" w14:textId="34BED95F" w:rsidR="00EC2E0D" w:rsidRPr="008E4733" w:rsidRDefault="00EC2E0D" w:rsidP="00EC2E0D">
      <w:pPr>
        <w:spacing w:before="120"/>
        <w:rPr>
          <w:b/>
        </w:rPr>
      </w:pPr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</w:r>
      <w:r>
        <w:rPr>
          <w:b/>
          <w:bCs/>
        </w:rPr>
        <w:t>и подключенным транспортным средствам</w:t>
      </w:r>
    </w:p>
    <w:p w14:paraId="6E80D28E" w14:textId="77777777" w:rsidR="00EC2E0D" w:rsidRPr="008E4733" w:rsidRDefault="00EC2E0D" w:rsidP="00EC2E0D">
      <w:pPr>
        <w:spacing w:before="120"/>
        <w:rPr>
          <w:b/>
        </w:rPr>
      </w:pPr>
      <w:bookmarkStart w:id="0" w:name="OLE_LINK2"/>
      <w:r>
        <w:rPr>
          <w:b/>
          <w:bCs/>
        </w:rPr>
        <w:t>Девятнадцатая сессия</w:t>
      </w:r>
    </w:p>
    <w:p w14:paraId="5F1A887F" w14:textId="77777777" w:rsidR="00EC2E0D" w:rsidRPr="008E4733" w:rsidRDefault="00EC2E0D" w:rsidP="00EC2E0D">
      <w:r>
        <w:t>Женева, 25 июня 2024 года</w:t>
      </w:r>
    </w:p>
    <w:p w14:paraId="17F3542B" w14:textId="77777777" w:rsidR="00EC2E0D" w:rsidRPr="008E4733" w:rsidRDefault="00EC2E0D" w:rsidP="00EC2E0D">
      <w:r>
        <w:t>Пункт 7 предварительной повестки дня</w:t>
      </w:r>
    </w:p>
    <w:p w14:paraId="6CF0BBE7" w14:textId="77777777" w:rsidR="00EC2E0D" w:rsidRPr="008E4733" w:rsidRDefault="00EC2E0D" w:rsidP="00EC2E0D">
      <w:pPr>
        <w:rPr>
          <w:b/>
          <w:bCs/>
        </w:rPr>
      </w:pPr>
      <w:r>
        <w:rPr>
          <w:b/>
          <w:bCs/>
        </w:rPr>
        <w:t>Система автоматического экстренного торможения</w:t>
      </w:r>
    </w:p>
    <w:p w14:paraId="6A65754A" w14:textId="5C5ECD25" w:rsidR="00EC2E0D" w:rsidRPr="008E4733" w:rsidRDefault="00EC2E0D" w:rsidP="00EC2E0D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поправкам серии</w:t>
      </w:r>
      <w:r w:rsidR="00DA7695">
        <w:rPr>
          <w:bCs/>
          <w:lang w:val="fr-CH"/>
        </w:rPr>
        <w:t> </w:t>
      </w:r>
      <w:r>
        <w:rPr>
          <w:bCs/>
        </w:rPr>
        <w:t>02 к</w:t>
      </w:r>
      <w:r w:rsidR="00DA7695">
        <w:rPr>
          <w:bCs/>
          <w:lang w:val="fr-CH"/>
        </w:rPr>
        <w:t> </w:t>
      </w:r>
      <w:r>
        <w:rPr>
          <w:bCs/>
        </w:rPr>
        <w:t>Правилам № 131 ООН (САЭТ)</w:t>
      </w:r>
      <w:bookmarkEnd w:id="0"/>
    </w:p>
    <w:p w14:paraId="51519922" w14:textId="77777777" w:rsidR="00EC2E0D" w:rsidRPr="008E4733" w:rsidRDefault="00EC2E0D" w:rsidP="00EC2E0D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экспертом от Австралии</w:t>
      </w:r>
      <w:r w:rsidRPr="00DA7695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426C93DB" w14:textId="3376C0A7" w:rsidR="00EC2E0D" w:rsidRPr="008E4733" w:rsidRDefault="00EC2E0D" w:rsidP="00EC2E0D">
      <w:pPr>
        <w:pStyle w:val="SingleTxtG"/>
      </w:pPr>
      <w:r>
        <w:tab/>
        <w:t>Воспроизведенный ниже текст был подготовлен экспертом от Австралии. В нем содержится предложение по дополнению к поправкам серии 02 к Правилам № 131 ООН (системы автоматического экстренного торможения (САЭТ)), которое призвано уточнить изложенные в области применения предписания, касающиеся процедуры взаимного признания официальных утверждени</w:t>
      </w:r>
      <w:r w:rsidR="00FC3A92">
        <w:t>й</w:t>
      </w:r>
      <w:r>
        <w:t>, предоставленных на основании Правил № 152 ООН (система автоматического экстренного торможения (САЭТ) для транспортных средств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 w:rsidR="006D1F17" w:rsidRPr="006D1F17">
        <w:t>)</w:t>
      </w:r>
      <w:r>
        <w:t>. В основе данного предложения лежит неофициальный документ WP.29-191-23, представленный на сто девяносто первой сессии WP.29 в ноябре 2023 года. Изменения к существующему тексту Правил выделены жирным шрифтом в случае новых или зачеркиванием — в случае исключенных элементов.</w:t>
      </w:r>
    </w:p>
    <w:p w14:paraId="5A70FE9E" w14:textId="77777777" w:rsidR="00EC2E0D" w:rsidRPr="008E4733" w:rsidRDefault="00EC2E0D" w:rsidP="00EC2E0D">
      <w:pPr>
        <w:suppressAutoHyphens w:val="0"/>
        <w:spacing w:line="240" w:lineRule="auto"/>
        <w:rPr>
          <w:b/>
          <w:sz w:val="28"/>
        </w:rPr>
      </w:pPr>
      <w:r w:rsidRPr="008E4733">
        <w:br w:type="page"/>
      </w:r>
    </w:p>
    <w:p w14:paraId="3BE4C6DE" w14:textId="022AD904" w:rsidR="00EC2E0D" w:rsidRPr="008E4733" w:rsidRDefault="00354BF0" w:rsidP="00EC2E0D">
      <w:pPr>
        <w:pStyle w:val="HChG"/>
        <w:ind w:right="522"/>
      </w:pPr>
      <w:r>
        <w:rPr>
          <w:bCs/>
        </w:rPr>
        <w:lastRenderedPageBreak/>
        <w:tab/>
      </w:r>
      <w:r w:rsidR="00EC2E0D">
        <w:rPr>
          <w:bCs/>
        </w:rPr>
        <w:t>I.</w:t>
      </w:r>
      <w:r w:rsidR="00EC2E0D">
        <w:tab/>
      </w:r>
      <w:r w:rsidR="00EC2E0D">
        <w:rPr>
          <w:bCs/>
        </w:rPr>
        <w:t>Предложение</w:t>
      </w:r>
    </w:p>
    <w:p w14:paraId="52AE19D3" w14:textId="77777777" w:rsidR="00EC2E0D" w:rsidRPr="008E4733" w:rsidRDefault="00EC2E0D" w:rsidP="00EC2E0D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</w:rPr>
      </w:pPr>
      <w:r>
        <w:rPr>
          <w:i/>
          <w:iCs/>
        </w:rPr>
        <w:t>Раздел 1 изменить</w:t>
      </w:r>
      <w:r>
        <w:t xml:space="preserve"> следующим образом:</w:t>
      </w:r>
    </w:p>
    <w:p w14:paraId="7C21920F" w14:textId="77777777" w:rsidR="00EC2E0D" w:rsidRPr="008E4733" w:rsidRDefault="00EC2E0D" w:rsidP="00EC2E0D">
      <w:pPr>
        <w:pStyle w:val="HChG"/>
        <w:keepNext w:val="0"/>
        <w:keepLines w:val="0"/>
        <w:ind w:left="1985"/>
      </w:pPr>
      <w:bookmarkStart w:id="1" w:name="_Toc530068541"/>
      <w:r>
        <w:rPr>
          <w:bCs/>
        </w:rPr>
        <w:t>1.</w:t>
      </w:r>
      <w:r>
        <w:tab/>
      </w:r>
      <w:r>
        <w:rPr>
          <w:bCs/>
        </w:rPr>
        <w:t>Область применения</w:t>
      </w:r>
      <w:bookmarkEnd w:id="1"/>
    </w:p>
    <w:p w14:paraId="2EED448F" w14:textId="77777777" w:rsidR="00EC2E0D" w:rsidRPr="008E4733" w:rsidRDefault="00EC2E0D" w:rsidP="00EC2E0D">
      <w:pPr>
        <w:spacing w:after="120"/>
        <w:ind w:left="1985" w:right="1134"/>
        <w:jc w:val="both"/>
        <w:rPr>
          <w:rFonts w:asciiTheme="majorBidi" w:hAnsiTheme="majorBidi"/>
        </w:rPr>
      </w:pPr>
      <w:r>
        <w:t xml:space="preserve">Настоящие Правила ООН применяются к официальному утверждению* транспортных средств категорий </w:t>
      </w:r>
      <w:r>
        <w:rPr>
          <w:rFonts w:asciiTheme="majorBidi" w:hAnsiTheme="majorBidi"/>
          <w:lang w:val="en-AU"/>
        </w:rPr>
        <w:t>M</w:t>
      </w:r>
      <w:r w:rsidRPr="008E4733">
        <w:rPr>
          <w:rFonts w:asciiTheme="majorBidi" w:hAnsiTheme="majorBidi"/>
          <w:vertAlign w:val="subscript"/>
        </w:rPr>
        <w:t>2</w:t>
      </w:r>
      <w:r w:rsidRPr="008E4733">
        <w:rPr>
          <w:rFonts w:asciiTheme="majorBidi" w:hAnsiTheme="majorBidi"/>
        </w:rPr>
        <w:t xml:space="preserve">, </w:t>
      </w:r>
      <w:r>
        <w:rPr>
          <w:rFonts w:asciiTheme="majorBidi" w:hAnsiTheme="majorBidi"/>
          <w:lang w:val="en-AU"/>
        </w:rPr>
        <w:t>M</w:t>
      </w:r>
      <w:r w:rsidRPr="008E4733">
        <w:rPr>
          <w:rFonts w:asciiTheme="majorBidi" w:hAnsiTheme="majorBidi"/>
          <w:vertAlign w:val="subscript"/>
        </w:rPr>
        <w:t>3</w:t>
      </w:r>
      <w:r w:rsidRPr="008E4733">
        <w:rPr>
          <w:rFonts w:asciiTheme="majorBidi" w:hAnsiTheme="majorBidi"/>
        </w:rPr>
        <w:t xml:space="preserve">, </w:t>
      </w:r>
      <w:r>
        <w:rPr>
          <w:rFonts w:asciiTheme="majorBidi" w:hAnsiTheme="majorBidi"/>
          <w:lang w:val="en-AU"/>
        </w:rPr>
        <w:t>N</w:t>
      </w:r>
      <w:r w:rsidRPr="008E4733">
        <w:rPr>
          <w:rFonts w:asciiTheme="majorBidi" w:hAnsiTheme="majorBidi"/>
          <w:vertAlign w:val="subscript"/>
        </w:rPr>
        <w:t>2</w:t>
      </w:r>
      <w:r w:rsidRPr="008E4733">
        <w:rPr>
          <w:rFonts w:asciiTheme="majorBidi" w:hAnsiTheme="majorBidi"/>
        </w:rPr>
        <w:t xml:space="preserve"> </w:t>
      </w:r>
      <w:r>
        <w:rPr>
          <w:rFonts w:asciiTheme="majorBidi" w:hAnsiTheme="majorBidi"/>
        </w:rPr>
        <w:t>и</w:t>
      </w:r>
      <w:r w:rsidRPr="008E4733">
        <w:rPr>
          <w:rFonts w:asciiTheme="majorBidi" w:hAnsiTheme="majorBidi"/>
        </w:rPr>
        <w:t xml:space="preserve"> </w:t>
      </w:r>
      <w:r>
        <w:rPr>
          <w:rFonts w:asciiTheme="majorBidi" w:hAnsiTheme="majorBidi"/>
          <w:lang w:val="en-AU"/>
        </w:rPr>
        <w:t>N</w:t>
      </w:r>
      <w:r w:rsidRPr="008E4733">
        <w:rPr>
          <w:rFonts w:asciiTheme="majorBidi" w:hAnsiTheme="majorBidi"/>
          <w:vertAlign w:val="subscript"/>
        </w:rPr>
        <w:t>3</w:t>
      </w:r>
      <w:r w:rsidRPr="008E4733">
        <w:rPr>
          <w:rFonts w:ascii="ZWAdobeF" w:hAnsi="ZWAdobeF" w:cs="ZWAdobeF"/>
          <w:sz w:val="2"/>
          <w:szCs w:val="2"/>
        </w:rPr>
        <w:t>0</w:t>
      </w:r>
      <w:r>
        <w:rPr>
          <w:rFonts w:ascii="ZWAdobeF" w:hAnsi="ZWAdobeF" w:cs="ZWAdobeF"/>
          <w:sz w:val="2"/>
          <w:szCs w:val="2"/>
          <w:lang w:val="en-AU"/>
        </w:rPr>
        <w:t>F</w:t>
      </w:r>
      <w:r>
        <w:rPr>
          <w:rStyle w:val="aa"/>
          <w:rFonts w:asciiTheme="majorBidi" w:hAnsiTheme="majorBidi"/>
        </w:rPr>
        <w:footnoteReference w:id="2"/>
      </w:r>
      <w:r>
        <w:t xml:space="preserve"> в отношении бортовой системы с целью: </w:t>
      </w:r>
    </w:p>
    <w:p w14:paraId="5F6BE635" w14:textId="77777777" w:rsidR="00EC2E0D" w:rsidRPr="008E4733" w:rsidRDefault="00EC2E0D" w:rsidP="00EC2E0D">
      <w:pPr>
        <w:spacing w:after="120"/>
        <w:ind w:left="2552" w:right="1134" w:hanging="567"/>
        <w:jc w:val="both"/>
        <w:rPr>
          <w:rFonts w:asciiTheme="majorBidi" w:hAnsiTheme="majorBidi"/>
          <w:shd w:val="pct15" w:color="auto" w:fill="FFFFFF"/>
        </w:rPr>
      </w:pPr>
      <w:r>
        <w:t>a)</w:t>
      </w:r>
      <w:r>
        <w:tab/>
        <w:t>предупреждения наезда сзади на находящееся впереди транспортное средство, движущееся по той же полосе, либо смягчения последствий такого наезда;</w:t>
      </w:r>
    </w:p>
    <w:p w14:paraId="496B6B4D" w14:textId="77777777" w:rsidR="00EC2E0D" w:rsidRPr="008E4733" w:rsidRDefault="00EC2E0D" w:rsidP="00EC2E0D">
      <w:pPr>
        <w:spacing w:after="120"/>
        <w:ind w:left="2552" w:right="1134" w:hanging="567"/>
        <w:jc w:val="both"/>
        <w:rPr>
          <w:rFonts w:asciiTheme="majorBidi" w:hAnsiTheme="majorBidi"/>
        </w:rPr>
      </w:pPr>
      <w:r>
        <w:t>b)</w:t>
      </w:r>
      <w:r>
        <w:tab/>
        <w:t xml:space="preserve">предупреждения столкновения с пешеходом либо смягчения последствий такого столкновения. </w:t>
      </w:r>
    </w:p>
    <w:p w14:paraId="39003FF7" w14:textId="08376E99" w:rsidR="00EC2E0D" w:rsidRPr="00354BF0" w:rsidRDefault="00EC2E0D" w:rsidP="00EC2E0D">
      <w:pPr>
        <w:spacing w:after="120"/>
        <w:ind w:left="1985" w:right="1134"/>
        <w:jc w:val="both"/>
        <w:rPr>
          <w:rFonts w:asciiTheme="majorBidi" w:hAnsiTheme="majorBidi"/>
          <w:bCs/>
          <w:strike/>
          <w:sz w:val="18"/>
          <w:szCs w:val="18"/>
        </w:rPr>
      </w:pPr>
      <w:r>
        <w:rPr>
          <w:strike/>
        </w:rPr>
        <w:t xml:space="preserve">* </w:t>
      </w:r>
      <w:r w:rsidR="00354BF0">
        <w:rPr>
          <w:strike/>
        </w:rPr>
        <w:t xml:space="preserve"> </w:t>
      </w:r>
      <w:r w:rsidRPr="00354BF0">
        <w:rPr>
          <w:strike/>
          <w:sz w:val="18"/>
          <w:szCs w:val="18"/>
        </w:rPr>
        <w:t xml:space="preserve">В случае транспортных средств категории </w:t>
      </w:r>
      <w:r w:rsidRPr="00354BF0">
        <w:rPr>
          <w:rFonts w:asciiTheme="majorBidi" w:hAnsiTheme="majorBidi"/>
          <w:bCs/>
          <w:strike/>
          <w:sz w:val="18"/>
          <w:szCs w:val="18"/>
          <w:lang w:val="en-AU"/>
        </w:rPr>
        <w:t>M</w:t>
      </w:r>
      <w:r w:rsidRPr="00354BF0">
        <w:rPr>
          <w:rFonts w:asciiTheme="majorBidi" w:hAnsiTheme="majorBidi"/>
          <w:bCs/>
          <w:strike/>
          <w:sz w:val="18"/>
          <w:szCs w:val="18"/>
          <w:vertAlign w:val="subscript"/>
        </w:rPr>
        <w:t>2</w:t>
      </w:r>
      <w:r w:rsidRPr="00354BF0">
        <w:rPr>
          <w:rFonts w:asciiTheme="majorBidi" w:hAnsiTheme="majorBidi"/>
          <w:bCs/>
          <w:strike/>
          <w:sz w:val="18"/>
          <w:szCs w:val="18"/>
        </w:rPr>
        <w:t xml:space="preserve"> </w:t>
      </w:r>
      <w:r w:rsidRPr="00354BF0">
        <w:rPr>
          <w:strike/>
          <w:sz w:val="18"/>
          <w:szCs w:val="18"/>
        </w:rPr>
        <w:t xml:space="preserve">и транспортных средств категории </w:t>
      </w:r>
      <w:r w:rsidRPr="00354BF0">
        <w:rPr>
          <w:rFonts w:asciiTheme="majorBidi" w:hAnsiTheme="majorBidi"/>
          <w:bCs/>
          <w:strike/>
          <w:sz w:val="18"/>
          <w:szCs w:val="18"/>
          <w:lang w:val="en-AU"/>
        </w:rPr>
        <w:t>M</w:t>
      </w:r>
      <w:r w:rsidRPr="00354BF0">
        <w:rPr>
          <w:rFonts w:asciiTheme="majorBidi" w:hAnsiTheme="majorBidi"/>
          <w:bCs/>
          <w:strike/>
          <w:sz w:val="18"/>
          <w:szCs w:val="18"/>
          <w:vertAlign w:val="subscript"/>
        </w:rPr>
        <w:t>3</w:t>
      </w:r>
      <w:r w:rsidRPr="00354BF0">
        <w:rPr>
          <w:rFonts w:asciiTheme="majorBidi" w:hAnsiTheme="majorBidi"/>
          <w:bCs/>
          <w:strike/>
          <w:sz w:val="18"/>
          <w:szCs w:val="18"/>
        </w:rPr>
        <w:t>/</w:t>
      </w:r>
      <w:r w:rsidRPr="00354BF0">
        <w:rPr>
          <w:rFonts w:asciiTheme="majorBidi" w:hAnsiTheme="majorBidi"/>
          <w:bCs/>
          <w:strike/>
          <w:sz w:val="18"/>
          <w:szCs w:val="18"/>
          <w:lang w:val="en-AU"/>
        </w:rPr>
        <w:t>N</w:t>
      </w:r>
      <w:r w:rsidRPr="00354BF0">
        <w:rPr>
          <w:rFonts w:asciiTheme="majorBidi" w:hAnsiTheme="majorBidi"/>
          <w:bCs/>
          <w:strike/>
          <w:sz w:val="18"/>
          <w:szCs w:val="18"/>
          <w:vertAlign w:val="subscript"/>
        </w:rPr>
        <w:t>2</w:t>
      </w:r>
      <w:r w:rsidRPr="00354BF0">
        <w:rPr>
          <w:rFonts w:asciiTheme="majorBidi" w:hAnsiTheme="majorBidi"/>
          <w:bCs/>
          <w:strike/>
          <w:sz w:val="18"/>
          <w:szCs w:val="18"/>
        </w:rPr>
        <w:t xml:space="preserve"> </w:t>
      </w:r>
      <w:r w:rsidRPr="00354BF0">
        <w:rPr>
          <w:strike/>
          <w:sz w:val="18"/>
          <w:szCs w:val="18"/>
        </w:rPr>
        <w:t>с максимальной массой не более 8 т, оборудованных гидравлической тормозной системой, Договаривающиеся стороны, подписавшие как Правила № 152, так и настоящие Правила ООН, признают в равной степени действительными официальные утверждения, предоставленные на основании любых из этих правил.</w:t>
      </w:r>
    </w:p>
    <w:p w14:paraId="59A2BC26" w14:textId="705360EB" w:rsidR="00EC2E0D" w:rsidRPr="00354BF0" w:rsidRDefault="00EC2E0D" w:rsidP="00EC2E0D">
      <w:pPr>
        <w:spacing w:after="120"/>
        <w:ind w:left="1985" w:right="1134"/>
        <w:jc w:val="both"/>
        <w:rPr>
          <w:rFonts w:asciiTheme="majorBidi" w:hAnsiTheme="majorBidi"/>
          <w:b/>
          <w:bCs/>
          <w:sz w:val="18"/>
          <w:szCs w:val="18"/>
        </w:rPr>
      </w:pPr>
      <w:r w:rsidRPr="00354BF0">
        <w:t>*</w:t>
      </w:r>
      <w:r w:rsidR="00354BF0">
        <w:t>  </w:t>
      </w:r>
      <w:r w:rsidRPr="00354BF0">
        <w:rPr>
          <w:b/>
          <w:bCs/>
          <w:sz w:val="18"/>
          <w:szCs w:val="18"/>
        </w:rPr>
        <w:t>В случае транспортных средств категорий M</w:t>
      </w:r>
      <w:r w:rsidRPr="00F7098F">
        <w:rPr>
          <w:b/>
          <w:bCs/>
          <w:sz w:val="18"/>
          <w:szCs w:val="18"/>
          <w:vertAlign w:val="subscript"/>
        </w:rPr>
        <w:t>2</w:t>
      </w:r>
      <w:r w:rsidRPr="00354BF0">
        <w:rPr>
          <w:b/>
          <w:bCs/>
          <w:sz w:val="18"/>
          <w:szCs w:val="18"/>
        </w:rPr>
        <w:t>, M</w:t>
      </w:r>
      <w:r w:rsidRPr="00F7098F">
        <w:rPr>
          <w:b/>
          <w:bCs/>
          <w:sz w:val="18"/>
          <w:szCs w:val="18"/>
          <w:vertAlign w:val="subscript"/>
        </w:rPr>
        <w:t>3</w:t>
      </w:r>
      <w:r w:rsidRPr="00354BF0">
        <w:rPr>
          <w:b/>
          <w:bCs/>
          <w:sz w:val="18"/>
          <w:szCs w:val="18"/>
        </w:rPr>
        <w:t xml:space="preserve"> и N</w:t>
      </w:r>
      <w:r w:rsidRPr="00F7098F">
        <w:rPr>
          <w:b/>
          <w:bCs/>
          <w:sz w:val="18"/>
          <w:szCs w:val="18"/>
          <w:vertAlign w:val="subscript"/>
        </w:rPr>
        <w:t>2</w:t>
      </w:r>
      <w:r w:rsidRPr="00354BF0">
        <w:rPr>
          <w:b/>
          <w:bCs/>
          <w:sz w:val="18"/>
          <w:szCs w:val="18"/>
        </w:rPr>
        <w:t xml:space="preserve"> с максимальной массой не более 8 т, оборудованных гидравлической тормозной системой, Договаривающиеся стороны, подписавшие Правила № 13 ООН, Правила № 152 ООН и настоящие Правила, признают официальные утверждения, предоставленные на основании Правил № 152 ООН, для транспортных средств категории </w:t>
      </w:r>
      <w:r w:rsidRPr="00354BF0">
        <w:rPr>
          <w:rFonts w:asciiTheme="majorBidi" w:hAnsiTheme="majorBidi"/>
          <w:b/>
          <w:bCs/>
          <w:sz w:val="18"/>
          <w:szCs w:val="18"/>
          <w:lang w:val="en-AU"/>
        </w:rPr>
        <w:t>N</w:t>
      </w:r>
      <w:r w:rsidRPr="00354BF0">
        <w:rPr>
          <w:rFonts w:asciiTheme="majorBidi" w:hAnsiTheme="majorBidi"/>
          <w:b/>
          <w:bCs/>
          <w:sz w:val="18"/>
          <w:szCs w:val="18"/>
          <w:vertAlign w:val="subscript"/>
        </w:rPr>
        <w:t>1</w:t>
      </w:r>
      <w:r w:rsidRPr="00354BF0">
        <w:rPr>
          <w:rFonts w:asciiTheme="majorBidi" w:hAnsiTheme="majorBidi"/>
          <w:b/>
          <w:bCs/>
          <w:sz w:val="18"/>
          <w:szCs w:val="18"/>
        </w:rPr>
        <w:t xml:space="preserve"> </w:t>
      </w:r>
      <w:r w:rsidRPr="00354BF0">
        <w:rPr>
          <w:b/>
          <w:bCs/>
          <w:sz w:val="18"/>
          <w:szCs w:val="18"/>
        </w:rPr>
        <w:t>из того же семейства транспортных средств, что и транспортное средство, подлежащее официальному утверждению, как соответствующее настоящим Правилам.</w:t>
      </w:r>
      <w:r w:rsidRPr="00354BF0">
        <w:rPr>
          <w:sz w:val="18"/>
          <w:szCs w:val="18"/>
        </w:rPr>
        <w:t xml:space="preserve"> </w:t>
      </w:r>
      <w:r w:rsidRPr="00354BF0">
        <w:rPr>
          <w:b/>
          <w:bCs/>
          <w:sz w:val="18"/>
          <w:szCs w:val="18"/>
        </w:rPr>
        <w:t>Для целей такого признания транспортные средства считаются относящимися к одному и тому же семейству, если они подпадают под действие одного и того же официального утверждения, предоставленного на основании Правил № 13 ООН, и не отличаются друг от друга по тем параметрам, которые описаны в пункте 2.4 настоящих Правил.</w:t>
      </w:r>
    </w:p>
    <w:p w14:paraId="5318DA57" w14:textId="145C5C1F" w:rsidR="00EC2E0D" w:rsidRPr="004E6CD9" w:rsidRDefault="00F7098F" w:rsidP="00EC2E0D">
      <w:pPr>
        <w:pStyle w:val="HChG"/>
        <w:ind w:right="522"/>
      </w:pPr>
      <w:r>
        <w:rPr>
          <w:bCs/>
        </w:rPr>
        <w:tab/>
      </w:r>
      <w:r w:rsidR="00EC2E0D">
        <w:rPr>
          <w:bCs/>
        </w:rPr>
        <w:t>II.</w:t>
      </w:r>
      <w:r w:rsidR="00EC2E0D">
        <w:tab/>
      </w:r>
      <w:r w:rsidR="00EC2E0D">
        <w:rPr>
          <w:bCs/>
        </w:rPr>
        <w:t>Обоснование</w:t>
      </w:r>
    </w:p>
    <w:p w14:paraId="7B7D21F4" w14:textId="7080DFB8" w:rsidR="00EC2E0D" w:rsidRPr="008E4733" w:rsidRDefault="00EC2E0D" w:rsidP="00EC2E0D">
      <w:pPr>
        <w:spacing w:after="120"/>
        <w:ind w:left="1134" w:right="1134"/>
        <w:jc w:val="both"/>
      </w:pPr>
      <w:r>
        <w:t>1.</w:t>
      </w:r>
      <w:r>
        <w:tab/>
        <w:t xml:space="preserve">На сто девяносто первой сессии WP.29 представитель Австралии просил разъяснить процедуру официального утверждения типа, связанную с взаимным признанием официальных утверждений, предоставленных на основании </w:t>
      </w:r>
      <w:r w:rsidR="00F7098F">
        <w:br/>
      </w:r>
      <w:r>
        <w:t>Правил № 131 ООН (системы автоматического экстренного торможения (САЭТ)), включающих поправки серии 02, и Правил № 152 ООН (система автоматического экстренного торможения (САЭТ) для транспортных средств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).</w:t>
      </w:r>
      <w:bookmarkStart w:id="2" w:name="_Hlk19813127"/>
    </w:p>
    <w:p w14:paraId="0A8C927E" w14:textId="2F419BA0" w:rsidR="00EC2E0D" w:rsidRDefault="00EC2E0D" w:rsidP="00EC2E0D">
      <w:pPr>
        <w:spacing w:after="120"/>
        <w:ind w:left="1134" w:right="1134"/>
        <w:jc w:val="both"/>
      </w:pPr>
      <w:r>
        <w:t xml:space="preserve">2. </w:t>
      </w:r>
      <w:r>
        <w:tab/>
        <w:t>В Правилах № 131 ООН с поправками серии 02 содержатся ссылки на Правила</w:t>
      </w:r>
      <w:r w:rsidR="005C1EA5">
        <w:t> </w:t>
      </w:r>
      <w:r>
        <w:t>№ 152 ООН, согласно которым в случае транспортных средств категории M</w:t>
      </w:r>
      <w:r w:rsidRPr="005C1EA5">
        <w:rPr>
          <w:vertAlign w:val="subscript"/>
        </w:rPr>
        <w:t>2</w:t>
      </w:r>
      <w:r>
        <w:t xml:space="preserve"> и транспортных средств категории </w:t>
      </w:r>
      <w:r>
        <w:rPr>
          <w:lang w:val="en-AU"/>
        </w:rPr>
        <w:t>M</w:t>
      </w:r>
      <w:r w:rsidRPr="00EC2E0D">
        <w:rPr>
          <w:vertAlign w:val="subscript"/>
        </w:rPr>
        <w:t>3</w:t>
      </w:r>
      <w:r w:rsidRPr="00EC2E0D">
        <w:t>/</w:t>
      </w:r>
      <w:r>
        <w:rPr>
          <w:lang w:val="en-AU"/>
        </w:rPr>
        <w:t>N</w:t>
      </w:r>
      <w:r w:rsidRPr="00EC2E0D">
        <w:rPr>
          <w:vertAlign w:val="subscript"/>
        </w:rPr>
        <w:t>2</w:t>
      </w:r>
      <w:r w:rsidRPr="00EC2E0D">
        <w:t xml:space="preserve"> </w:t>
      </w:r>
      <w:r>
        <w:t>с максимальной массой не более 8</w:t>
      </w:r>
      <w:r w:rsidR="00F7098F">
        <w:t> </w:t>
      </w:r>
      <w:r>
        <w:t>т, оборудованных гидравлической тормозной системой, Договаривающиеся стороны, подписавшие и те и другие правила, должны признавать в равной степени действительными официальные утверждения, предоставленные на основании любых из этих правил.</w:t>
      </w:r>
    </w:p>
    <w:p w14:paraId="4DDCA132" w14:textId="6787A50B" w:rsidR="00EC2E0D" w:rsidRPr="008E4733" w:rsidRDefault="00EC2E0D" w:rsidP="00EC2E0D">
      <w:pPr>
        <w:spacing w:after="120"/>
        <w:ind w:left="1134" w:right="1134"/>
        <w:jc w:val="both"/>
      </w:pPr>
      <w:r>
        <w:t xml:space="preserve">3. </w:t>
      </w:r>
      <w:r>
        <w:tab/>
        <w:t xml:space="preserve">Несмотря на поддержку стремления обеспечить возможность взаимного признания в рамках Правил № 131 ООН некоторых официальных утверждений, предоставленных на основании Правил № 152 ООН, эксперт от Австралии считает, что технические детали процедуры взаимного признания остаются неясными. Это связано с тем, что Правила № 131 ООН применяются к официальному утверждению транспортных средств категорий </w:t>
      </w:r>
      <w:r>
        <w:rPr>
          <w:lang w:val="en-AU"/>
        </w:rPr>
        <w:t>M</w:t>
      </w:r>
      <w:r w:rsidRPr="008E4733">
        <w:rPr>
          <w:vertAlign w:val="subscript"/>
        </w:rPr>
        <w:t>2</w:t>
      </w:r>
      <w:r w:rsidRPr="008E4733">
        <w:t xml:space="preserve">, </w:t>
      </w:r>
      <w:r>
        <w:rPr>
          <w:lang w:val="en-AU"/>
        </w:rPr>
        <w:t>M</w:t>
      </w:r>
      <w:r w:rsidRPr="008E4733">
        <w:rPr>
          <w:vertAlign w:val="subscript"/>
        </w:rPr>
        <w:t>3</w:t>
      </w:r>
      <w:r w:rsidRPr="008E4733">
        <w:t xml:space="preserve">, </w:t>
      </w:r>
      <w:r>
        <w:rPr>
          <w:lang w:val="en-AU"/>
        </w:rPr>
        <w:t>N</w:t>
      </w:r>
      <w:r w:rsidRPr="008E4733">
        <w:rPr>
          <w:vertAlign w:val="subscript"/>
        </w:rPr>
        <w:t>2</w:t>
      </w:r>
      <w:r w:rsidRPr="008E4733">
        <w:t xml:space="preserve"> </w:t>
      </w:r>
      <w:r>
        <w:t>и</w:t>
      </w:r>
      <w:r w:rsidRPr="008E4733">
        <w:t xml:space="preserve"> </w:t>
      </w:r>
      <w:r>
        <w:rPr>
          <w:lang w:val="en-AU"/>
        </w:rPr>
        <w:t>M</w:t>
      </w:r>
      <w:r w:rsidRPr="008E4733">
        <w:rPr>
          <w:vertAlign w:val="subscript"/>
        </w:rPr>
        <w:t>3</w:t>
      </w:r>
      <w:r>
        <w:t xml:space="preserve">, в то время как Правила № 152 ООН распространяются только на транспортные средства категорий </w:t>
      </w:r>
      <w:r>
        <w:rPr>
          <w:lang w:val="en-AU"/>
        </w:rPr>
        <w:t>M</w:t>
      </w:r>
      <w:r w:rsidRPr="008E4733">
        <w:rPr>
          <w:vertAlign w:val="subscript"/>
        </w:rPr>
        <w:t>1</w:t>
      </w:r>
      <w:r w:rsidRPr="008E4733">
        <w:t xml:space="preserve"> </w:t>
      </w:r>
      <w:r>
        <w:t>и</w:t>
      </w:r>
      <w:r w:rsidRPr="008E4733">
        <w:t xml:space="preserve"> </w:t>
      </w:r>
      <w:r>
        <w:rPr>
          <w:lang w:val="en-AU"/>
        </w:rPr>
        <w:t>N</w:t>
      </w:r>
      <w:r w:rsidRPr="008E4733">
        <w:rPr>
          <w:vertAlign w:val="subscript"/>
        </w:rPr>
        <w:t>1</w:t>
      </w:r>
      <w:r>
        <w:t xml:space="preserve">. Это означает, что в случае транспортных средств категорий </w:t>
      </w:r>
      <w:r>
        <w:rPr>
          <w:lang w:val="en-AU"/>
        </w:rPr>
        <w:t>M</w:t>
      </w:r>
      <w:r w:rsidRPr="008E4733">
        <w:rPr>
          <w:vertAlign w:val="subscript"/>
        </w:rPr>
        <w:t>2</w:t>
      </w:r>
      <w:r w:rsidRPr="008E4733">
        <w:t xml:space="preserve">, </w:t>
      </w:r>
      <w:r>
        <w:rPr>
          <w:lang w:val="en-AU"/>
        </w:rPr>
        <w:t>M</w:t>
      </w:r>
      <w:r w:rsidRPr="008E4733">
        <w:rPr>
          <w:vertAlign w:val="subscript"/>
        </w:rPr>
        <w:t>3</w:t>
      </w:r>
      <w:r>
        <w:t xml:space="preserve"> и</w:t>
      </w:r>
      <w:r w:rsidRPr="008E4733">
        <w:t xml:space="preserve"> </w:t>
      </w:r>
      <w:r>
        <w:rPr>
          <w:lang w:val="en-AU"/>
        </w:rPr>
        <w:t>N</w:t>
      </w:r>
      <w:r w:rsidRPr="008E4733">
        <w:rPr>
          <w:vertAlign w:val="subscript"/>
        </w:rPr>
        <w:t>2</w:t>
      </w:r>
      <w:r w:rsidRPr="008E4733">
        <w:t xml:space="preserve"> </w:t>
      </w:r>
      <w:r>
        <w:t>не следует признавать официальные утверждения типа, предоставленные на основании Правил № 152</w:t>
      </w:r>
      <w:r w:rsidR="005C1EA5" w:rsidRPr="005C1EA5">
        <w:t xml:space="preserve"> </w:t>
      </w:r>
      <w:r w:rsidR="005C1EA5">
        <w:t>ООН</w:t>
      </w:r>
      <w:r>
        <w:t>, и наоборот, по крайней мере без установления более четких разграничений между транспортными средствами, официально утвержденными на основании Правил № 152 ООН, и транспортными средствами, подлежащими официальному утверждению на основании Правил № 131 ООН. Хотя эксперт от Австралии и полагает, что это не было сделано намеренно, учитывая менее строгие предписания Правил № 131 ООН, он считает недопустимым осуществлять взаимное признание официальных утверждений на основании Правил № 131 ООН и официальных утверждений на основании Правил</w:t>
      </w:r>
      <w:r w:rsidR="005C1EA5">
        <w:t> </w:t>
      </w:r>
      <w:r>
        <w:t>№ 152</w:t>
      </w:r>
      <w:r w:rsidR="005C1EA5">
        <w:t xml:space="preserve"> ООН</w:t>
      </w:r>
      <w:r>
        <w:t xml:space="preserve"> в равной степени действительными. </w:t>
      </w:r>
    </w:p>
    <w:p w14:paraId="2420E890" w14:textId="77777777" w:rsidR="00EC2E0D" w:rsidRDefault="00EC2E0D" w:rsidP="00EC2E0D">
      <w:pPr>
        <w:spacing w:after="120"/>
        <w:ind w:left="1134" w:right="1134"/>
        <w:jc w:val="both"/>
      </w:pPr>
      <w:r>
        <w:t xml:space="preserve">4. </w:t>
      </w:r>
      <w:r>
        <w:tab/>
        <w:t>Эксперт от Австралии интересуется мнением членов GRVA по следующим вопросам:</w:t>
      </w:r>
    </w:p>
    <w:p w14:paraId="1D869749" w14:textId="77777777" w:rsidR="00EC2E0D" w:rsidRPr="008E4733" w:rsidRDefault="00EC2E0D" w:rsidP="00EC2E0D">
      <w:pPr>
        <w:pStyle w:val="af3"/>
        <w:numPr>
          <w:ilvl w:val="0"/>
          <w:numId w:val="22"/>
        </w:numPr>
        <w:spacing w:after="120"/>
        <w:ind w:left="2268" w:right="1134" w:hanging="567"/>
        <w:jc w:val="both"/>
        <w:rPr>
          <w:lang w:val="ru-RU"/>
        </w:rPr>
      </w:pPr>
      <w:r>
        <w:rPr>
          <w:lang w:val="ru-RU"/>
        </w:rPr>
        <w:t>Может ли официальное утверждение типа на основании Правил № 152 ООН быть выдано или распространено на транспортные средства категорий M</w:t>
      </w:r>
      <w:r>
        <w:rPr>
          <w:vertAlign w:val="subscript"/>
          <w:lang w:val="ru-RU"/>
        </w:rPr>
        <w:t>2</w:t>
      </w:r>
      <w:r w:rsidRPr="002C5784">
        <w:rPr>
          <w:lang w:val="ru-RU"/>
        </w:rPr>
        <w:t>,</w:t>
      </w:r>
      <w:r>
        <w:rPr>
          <w:vertAlign w:val="subscript"/>
          <w:lang w:val="ru-RU"/>
        </w:rPr>
        <w:t xml:space="preserve"> </w:t>
      </w:r>
      <w:r>
        <w:rPr>
          <w:lang w:val="ru-RU"/>
        </w:rPr>
        <w:t>M</w:t>
      </w:r>
      <w:r>
        <w:rPr>
          <w:vertAlign w:val="subscript"/>
          <w:lang w:val="ru-RU"/>
        </w:rPr>
        <w:t xml:space="preserve">3 </w:t>
      </w:r>
      <w:r>
        <w:rPr>
          <w:lang w:val="ru-RU"/>
        </w:rPr>
        <w:t>и N</w:t>
      </w:r>
      <w:r>
        <w:rPr>
          <w:vertAlign w:val="subscript"/>
          <w:lang w:val="ru-RU"/>
        </w:rPr>
        <w:t>2</w:t>
      </w:r>
      <w:r>
        <w:rPr>
          <w:lang w:val="ru-RU"/>
        </w:rPr>
        <w:t>?</w:t>
      </w:r>
    </w:p>
    <w:p w14:paraId="4F667D1F" w14:textId="77777777" w:rsidR="00EC2E0D" w:rsidRDefault="00EC2E0D" w:rsidP="00EC2E0D">
      <w:pPr>
        <w:pStyle w:val="af3"/>
        <w:numPr>
          <w:ilvl w:val="0"/>
          <w:numId w:val="22"/>
        </w:numPr>
        <w:spacing w:after="120"/>
        <w:ind w:left="2268" w:right="1134" w:hanging="567"/>
        <w:jc w:val="both"/>
      </w:pPr>
      <w:r>
        <w:rPr>
          <w:lang w:val="ru-RU"/>
        </w:rPr>
        <w:t xml:space="preserve">Были ли примеры, когда на основании этих положений транспортные средства категорий </w:t>
      </w:r>
      <w:r>
        <w:rPr>
          <w:lang w:val="en-AU"/>
        </w:rPr>
        <w:t>M</w:t>
      </w:r>
      <w:r w:rsidRPr="008E4733">
        <w:rPr>
          <w:vertAlign w:val="subscript"/>
          <w:lang w:val="ru-RU"/>
        </w:rPr>
        <w:t>2</w:t>
      </w:r>
      <w:r w:rsidRPr="002C5784">
        <w:rPr>
          <w:lang w:val="ru-RU"/>
        </w:rPr>
        <w:t>,</w:t>
      </w:r>
      <w:r w:rsidRPr="008E4733">
        <w:rPr>
          <w:vertAlign w:val="subscript"/>
          <w:lang w:val="ru-RU"/>
        </w:rPr>
        <w:t xml:space="preserve"> </w:t>
      </w:r>
      <w:r>
        <w:rPr>
          <w:lang w:val="en-AU"/>
        </w:rPr>
        <w:t>M</w:t>
      </w:r>
      <w:r w:rsidRPr="008E4733">
        <w:rPr>
          <w:vertAlign w:val="subscript"/>
          <w:lang w:val="ru-RU"/>
        </w:rPr>
        <w:t xml:space="preserve">3 </w:t>
      </w:r>
      <w:r>
        <w:rPr>
          <w:lang w:val="ru-RU"/>
        </w:rPr>
        <w:t>и</w:t>
      </w:r>
      <w:r w:rsidRPr="008E4733">
        <w:rPr>
          <w:lang w:val="ru-RU"/>
        </w:rPr>
        <w:t xml:space="preserve"> </w:t>
      </w:r>
      <w:r>
        <w:rPr>
          <w:lang w:val="en-AU"/>
        </w:rPr>
        <w:t>N</w:t>
      </w:r>
      <w:r w:rsidRPr="008E4733">
        <w:rPr>
          <w:vertAlign w:val="subscript"/>
          <w:lang w:val="ru-RU"/>
        </w:rPr>
        <w:t xml:space="preserve">2 </w:t>
      </w:r>
      <w:r>
        <w:rPr>
          <w:lang w:val="ru-RU"/>
        </w:rPr>
        <w:t>допускались на рынки других Договаривающихся сторон? Какой подход при этом использовался?</w:t>
      </w:r>
    </w:p>
    <w:p w14:paraId="29DAF18B" w14:textId="36400A84" w:rsidR="00EC2E0D" w:rsidRPr="008E4733" w:rsidRDefault="00EC2E0D" w:rsidP="00EC2E0D">
      <w:pPr>
        <w:spacing w:after="120"/>
        <w:ind w:left="1134" w:right="1134"/>
        <w:jc w:val="both"/>
      </w:pPr>
      <w:r>
        <w:t>5.</w:t>
      </w:r>
      <w:r>
        <w:tab/>
        <w:t xml:space="preserve">Чтобы внести дополнительную ясность в условия применения процедуры взаимного признания, эксперт от Австралии предлагает изменить область применения Правил № 131 ООН. С учетом того, что рабочие характеристики САЭТ зависят от рабочих характеристик тормозной системы, было бы целесообразно разрешить взаимное признание официальных утверждений на основании Правил № 131 ООН и официальных утверждений на основании Правил № 152 в равной степени действительными для указанных типов транспортных средств, при условии что они относятся к одному и тому же семейству транспортных средств и подпадают под действие одного и того же официального утверждения в отношении тормозной системы. Поскольку единственная область пересечения официальных утверждений в отношении системы торможения касается Правил № 13 ООН (торможение большегрузных транспортных средств), в тексте предлагаемой поправки уточняется, что признание официальных утверждений, предоставленных на основании </w:t>
      </w:r>
      <w:r w:rsidR="002C5784">
        <w:br/>
      </w:r>
      <w:r>
        <w:t>Правил № 152 ООН, в качестве официальных утверждений в контексте Правил № 131 ООН должно осуществляться только в отношении тех транспортных средств категорий M</w:t>
      </w:r>
      <w:r w:rsidRPr="002C5784">
        <w:rPr>
          <w:vertAlign w:val="subscript"/>
        </w:rPr>
        <w:t>2</w:t>
      </w:r>
      <w:r>
        <w:t>, M</w:t>
      </w:r>
      <w:r w:rsidRPr="002C5784">
        <w:rPr>
          <w:vertAlign w:val="subscript"/>
        </w:rPr>
        <w:t>3</w:t>
      </w:r>
      <w:r>
        <w:t xml:space="preserve"> или N</w:t>
      </w:r>
      <w:r w:rsidRPr="002C5784">
        <w:rPr>
          <w:vertAlign w:val="subscript"/>
        </w:rPr>
        <w:t>2</w:t>
      </w:r>
      <w:r>
        <w:t>, которые подпадают под действие одного и того же официального утверждения на основании Правил № 13 ООН.</w:t>
      </w:r>
    </w:p>
    <w:p w14:paraId="4F712ED2" w14:textId="51E02F7C" w:rsidR="00EC2E0D" w:rsidRPr="00744221" w:rsidRDefault="00EC2E0D" w:rsidP="00EC2E0D">
      <w:pPr>
        <w:spacing w:after="120"/>
        <w:ind w:left="1134" w:right="1134"/>
        <w:jc w:val="both"/>
      </w:pPr>
      <w:r>
        <w:t xml:space="preserve">6. </w:t>
      </w:r>
      <w:r>
        <w:tab/>
        <w:t>В качестве альтернативы предлагается отменить возможность взаимного признания, введенную в рамках поправок серии 02, исключив пункт под обозначением «*», если применение процедуры взаимного признания нельзя обосновать.</w:t>
      </w:r>
    </w:p>
    <w:bookmarkEnd w:id="2"/>
    <w:p w14:paraId="7BDC1B0D" w14:textId="325CD225" w:rsidR="00E12C5F" w:rsidRPr="00EC2E0D" w:rsidRDefault="00EC2E0D" w:rsidP="00EC2E0D">
      <w:pPr>
        <w:spacing w:before="60"/>
        <w:jc w:val="center"/>
        <w:rPr>
          <w:lang w:val="x-none"/>
        </w:rPr>
      </w:pPr>
      <w:r w:rsidRPr="00237C70">
        <w:rPr>
          <w:u w:val="single"/>
        </w:rPr>
        <w:tab/>
      </w:r>
      <w:r w:rsidRPr="00237C70">
        <w:rPr>
          <w:u w:val="single"/>
        </w:rPr>
        <w:tab/>
      </w:r>
      <w:r>
        <w:rPr>
          <w:u w:val="single"/>
        </w:rPr>
        <w:tab/>
      </w:r>
    </w:p>
    <w:sectPr w:rsidR="00E12C5F" w:rsidRPr="00EC2E0D" w:rsidSect="00EC2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1FEC" w14:textId="77777777" w:rsidR="00826B41" w:rsidRPr="00A312BC" w:rsidRDefault="00826B41" w:rsidP="00A312BC"/>
  </w:endnote>
  <w:endnote w:type="continuationSeparator" w:id="0">
    <w:p w14:paraId="1BCA9ADF" w14:textId="77777777" w:rsidR="00826B41" w:rsidRPr="00A312BC" w:rsidRDefault="00826B4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ZWAdobeF">
    <w:altName w:val="Calibri"/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BCCB" w14:textId="5417B6AA" w:rsidR="00EC2E0D" w:rsidRPr="00EC2E0D" w:rsidRDefault="00EC2E0D">
    <w:pPr>
      <w:pStyle w:val="a8"/>
    </w:pPr>
    <w:r w:rsidRPr="00EC2E0D">
      <w:rPr>
        <w:b/>
        <w:sz w:val="18"/>
      </w:rPr>
      <w:fldChar w:fldCharType="begin"/>
    </w:r>
    <w:r w:rsidRPr="00EC2E0D">
      <w:rPr>
        <w:b/>
        <w:sz w:val="18"/>
      </w:rPr>
      <w:instrText xml:space="preserve"> PAGE  \* MERGEFORMAT </w:instrText>
    </w:r>
    <w:r w:rsidRPr="00EC2E0D">
      <w:rPr>
        <w:b/>
        <w:sz w:val="18"/>
      </w:rPr>
      <w:fldChar w:fldCharType="separate"/>
    </w:r>
    <w:r w:rsidRPr="00EC2E0D">
      <w:rPr>
        <w:b/>
        <w:noProof/>
        <w:sz w:val="18"/>
      </w:rPr>
      <w:t>2</w:t>
    </w:r>
    <w:r w:rsidRPr="00EC2E0D">
      <w:rPr>
        <w:b/>
        <w:sz w:val="18"/>
      </w:rPr>
      <w:fldChar w:fldCharType="end"/>
    </w:r>
    <w:r>
      <w:rPr>
        <w:b/>
        <w:sz w:val="18"/>
      </w:rPr>
      <w:tab/>
    </w:r>
    <w:r>
      <w:t>GE.24-06600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6BCC" w14:textId="626624FD" w:rsidR="00EC2E0D" w:rsidRPr="00EC2E0D" w:rsidRDefault="00EC2E0D" w:rsidP="00EC2E0D">
    <w:pPr>
      <w:pStyle w:val="a8"/>
      <w:tabs>
        <w:tab w:val="clear" w:pos="9639"/>
        <w:tab w:val="right" w:pos="9638"/>
      </w:tabs>
      <w:rPr>
        <w:b/>
        <w:sz w:val="18"/>
      </w:rPr>
    </w:pPr>
    <w:r>
      <w:t>GE.24-06600</w:t>
    </w:r>
    <w:r>
      <w:tab/>
    </w:r>
    <w:r w:rsidRPr="00EC2E0D">
      <w:rPr>
        <w:b/>
        <w:sz w:val="18"/>
      </w:rPr>
      <w:fldChar w:fldCharType="begin"/>
    </w:r>
    <w:r w:rsidRPr="00EC2E0D">
      <w:rPr>
        <w:b/>
        <w:sz w:val="18"/>
      </w:rPr>
      <w:instrText xml:space="preserve"> PAGE  \* MERGEFORMAT </w:instrText>
    </w:r>
    <w:r w:rsidRPr="00EC2E0D">
      <w:rPr>
        <w:b/>
        <w:sz w:val="18"/>
      </w:rPr>
      <w:fldChar w:fldCharType="separate"/>
    </w:r>
    <w:r w:rsidRPr="00EC2E0D">
      <w:rPr>
        <w:b/>
        <w:noProof/>
        <w:sz w:val="18"/>
      </w:rPr>
      <w:t>3</w:t>
    </w:r>
    <w:r w:rsidRPr="00EC2E0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2B5E" w14:textId="423E0F06" w:rsidR="00042B72" w:rsidRPr="00EC2E0D" w:rsidRDefault="00EC2E0D" w:rsidP="00EC2E0D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11B514D" wp14:editId="36C4668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24-06600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FDF639C" wp14:editId="14083AF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300424  010524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7449" w14:textId="77777777" w:rsidR="00826B41" w:rsidRPr="001075E9" w:rsidRDefault="00826B4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B8545B" w14:textId="77777777" w:rsidR="00826B41" w:rsidRDefault="00826B4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2D8426C" w14:textId="78CA40F4" w:rsidR="00EC2E0D" w:rsidRPr="008E4733" w:rsidRDefault="00EC2E0D" w:rsidP="00EC2E0D">
      <w:pPr>
        <w:pStyle w:val="ad"/>
      </w:pPr>
      <w:r>
        <w:tab/>
      </w:r>
      <w:r w:rsidRPr="00570623">
        <w:rPr>
          <w:sz w:val="20"/>
        </w:rPr>
        <w:t>*</w:t>
      </w:r>
      <w:r>
        <w:tab/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="00354BF0">
        <w:t> </w:t>
      </w:r>
      <w:r>
        <w:t>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5D78DB49" w14:textId="6521CC75" w:rsidR="00EC2E0D" w:rsidRPr="008E4733" w:rsidRDefault="00EC2E0D" w:rsidP="00EC2E0D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 xml:space="preserve">В соответствии с определениями, содержащимися в Сводной резолюции о конструкции транспортных средств (СР.3.), документ ECE/TRANS/WP.29/78/Rev.6, пункт 2 — </w:t>
      </w:r>
      <w:hyperlink r:id="rId1" w:history="1">
        <w:r w:rsidR="00F7098F" w:rsidRPr="00154028">
          <w:rPr>
            <w:rStyle w:val="af1"/>
          </w:rPr>
          <w:t>https://unece.org/transport/standards/transport/vehicle-regulations-wp29/resolutions</w:t>
        </w:r>
      </w:hyperlink>
      <w:r>
        <w:t>.</w:t>
      </w:r>
      <w:r w:rsidR="00F7098F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EA35" w14:textId="00694B3A" w:rsidR="00EC2E0D" w:rsidRPr="00EC2E0D" w:rsidRDefault="00EC2E0D">
    <w:pPr>
      <w:pStyle w:val="a5"/>
    </w:pPr>
    <w:fldSimple w:instr=" TITLE  \* MERGEFORMAT ">
      <w:r w:rsidR="00C60C52">
        <w:t>ECE/TRANS/WP.29/GRVA/2024/18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A6B6" w14:textId="2023A20E" w:rsidR="00EC2E0D" w:rsidRPr="00EC2E0D" w:rsidRDefault="00EC2E0D" w:rsidP="00EC2E0D">
    <w:pPr>
      <w:pStyle w:val="a5"/>
      <w:jc w:val="right"/>
    </w:pPr>
    <w:fldSimple w:instr=" TITLE  \* MERGEFORMAT ">
      <w:r w:rsidR="00C60C52">
        <w:t>ECE/TRANS/WP.29/GRVA/2024/18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4E4A" w14:textId="77777777" w:rsidR="00EC2E0D" w:rsidRDefault="00EC2E0D" w:rsidP="00EC2E0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67144A"/>
    <w:multiLevelType w:val="hybridMultilevel"/>
    <w:tmpl w:val="4B487ED8"/>
    <w:lvl w:ilvl="0" w:tplc="9848ABC8">
      <w:start w:val="1"/>
      <w:numFmt w:val="lowerLetter"/>
      <w:lvlText w:val="%1)"/>
      <w:lvlJc w:val="left"/>
      <w:pPr>
        <w:ind w:left="1854" w:hanging="360"/>
      </w:pPr>
    </w:lvl>
    <w:lvl w:ilvl="1" w:tplc="0C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3294" w:hanging="180"/>
      </w:pPr>
    </w:lvl>
    <w:lvl w:ilvl="3" w:tplc="0C09000F">
      <w:start w:val="1"/>
      <w:numFmt w:val="decimal"/>
      <w:lvlText w:val="%4."/>
      <w:lvlJc w:val="left"/>
      <w:pPr>
        <w:ind w:left="4014" w:hanging="360"/>
      </w:pPr>
    </w:lvl>
    <w:lvl w:ilvl="4" w:tplc="0C090019">
      <w:start w:val="1"/>
      <w:numFmt w:val="lowerLetter"/>
      <w:lvlText w:val="%5."/>
      <w:lvlJc w:val="left"/>
      <w:pPr>
        <w:ind w:left="4734" w:hanging="360"/>
      </w:pPr>
    </w:lvl>
    <w:lvl w:ilvl="5" w:tplc="0C09001B">
      <w:start w:val="1"/>
      <w:numFmt w:val="lowerRoman"/>
      <w:lvlText w:val="%6."/>
      <w:lvlJc w:val="right"/>
      <w:pPr>
        <w:ind w:left="5454" w:hanging="180"/>
      </w:pPr>
    </w:lvl>
    <w:lvl w:ilvl="6" w:tplc="0C09000F">
      <w:start w:val="1"/>
      <w:numFmt w:val="decimal"/>
      <w:lvlText w:val="%7."/>
      <w:lvlJc w:val="left"/>
      <w:pPr>
        <w:ind w:left="6174" w:hanging="360"/>
      </w:pPr>
    </w:lvl>
    <w:lvl w:ilvl="7" w:tplc="0C090019">
      <w:start w:val="1"/>
      <w:numFmt w:val="lowerLetter"/>
      <w:lvlText w:val="%8."/>
      <w:lvlJc w:val="left"/>
      <w:pPr>
        <w:ind w:left="6894" w:hanging="360"/>
      </w:pPr>
    </w:lvl>
    <w:lvl w:ilvl="8" w:tplc="0C09001B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59917082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41"/>
    <w:rsid w:val="00033EE1"/>
    <w:rsid w:val="00042B72"/>
    <w:rsid w:val="000558BD"/>
    <w:rsid w:val="000B57E7"/>
    <w:rsid w:val="000B6373"/>
    <w:rsid w:val="000D164E"/>
    <w:rsid w:val="000E4E5B"/>
    <w:rsid w:val="000F09DF"/>
    <w:rsid w:val="000F61B2"/>
    <w:rsid w:val="001075E9"/>
    <w:rsid w:val="0014152F"/>
    <w:rsid w:val="001665E2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5784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4BF0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623"/>
    <w:rsid w:val="005709E0"/>
    <w:rsid w:val="00572E19"/>
    <w:rsid w:val="005961C8"/>
    <w:rsid w:val="005966F1"/>
    <w:rsid w:val="005C1EA5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1F17"/>
    <w:rsid w:val="006D461A"/>
    <w:rsid w:val="006F35EE"/>
    <w:rsid w:val="007021FF"/>
    <w:rsid w:val="00712895"/>
    <w:rsid w:val="00734ACB"/>
    <w:rsid w:val="00750825"/>
    <w:rsid w:val="00757357"/>
    <w:rsid w:val="00792497"/>
    <w:rsid w:val="00806737"/>
    <w:rsid w:val="00825F8D"/>
    <w:rsid w:val="00826B41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C52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7695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C2E0D"/>
    <w:rsid w:val="00ED0BDA"/>
    <w:rsid w:val="00EE142A"/>
    <w:rsid w:val="00EF1360"/>
    <w:rsid w:val="00EF3220"/>
    <w:rsid w:val="00F2523A"/>
    <w:rsid w:val="00F43903"/>
    <w:rsid w:val="00F7098F"/>
    <w:rsid w:val="00F73C9D"/>
    <w:rsid w:val="00F94155"/>
    <w:rsid w:val="00F9783F"/>
    <w:rsid w:val="00FC3A9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FA547"/>
  <w15:docId w15:val="{AE969005-70CF-44CA-A47B-89D9AC0F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-E Fußnotentext,footnote text,Fußnotentext Ursprung,Footnote Text Char Char Char Char,Footnote Text1,Footnote Text Char Char Char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-E Fußnotentext Знак,footnote text Знак,Fußnotentext Ursprung Знак,Footnote Text Char Char Char Char Знак,Footnote Text1 Знак,Footnote Text Char Char Char Знак,Fußnotentext Char2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EC2E0D"/>
    <w:rPr>
      <w:lang w:val="ru-RU" w:eastAsia="en-US"/>
    </w:rPr>
  </w:style>
  <w:style w:type="character" w:customStyle="1" w:styleId="HChGChar">
    <w:name w:val="_ H _Ch_G Char"/>
    <w:link w:val="HChG"/>
    <w:qFormat/>
    <w:rsid w:val="00EC2E0D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EC2E0D"/>
    <w:pPr>
      <w:ind w:left="720"/>
      <w:contextualSpacing/>
    </w:pPr>
    <w:rPr>
      <w:rFonts w:eastAsiaTheme="minorEastAsia" w:cs="Times New Roman"/>
      <w:szCs w:val="20"/>
      <w:lang w:val="en-GB"/>
    </w:rPr>
  </w:style>
  <w:style w:type="character" w:customStyle="1" w:styleId="H1GChar">
    <w:name w:val="_ H_1_G Char"/>
    <w:link w:val="H1G"/>
    <w:rsid w:val="00EC2E0D"/>
    <w:rPr>
      <w:b/>
      <w:sz w:val="24"/>
      <w:lang w:val="ru-RU" w:eastAsia="ru-RU"/>
    </w:rPr>
  </w:style>
  <w:style w:type="paragraph" w:customStyle="1" w:styleId="para">
    <w:name w:val="para"/>
    <w:basedOn w:val="SingleTxtG"/>
    <w:link w:val="paraChar"/>
    <w:qFormat/>
    <w:rsid w:val="00EC2E0D"/>
    <w:pPr>
      <w:tabs>
        <w:tab w:val="clear" w:pos="1701"/>
        <w:tab w:val="clear" w:pos="2268"/>
        <w:tab w:val="clear" w:pos="2835"/>
      </w:tabs>
      <w:ind w:left="2268" w:hanging="1134"/>
    </w:pPr>
    <w:rPr>
      <w:rFonts w:eastAsia="Yu Mincho"/>
      <w:lang w:val="x-none"/>
    </w:rPr>
  </w:style>
  <w:style w:type="character" w:customStyle="1" w:styleId="paraChar">
    <w:name w:val="para Char"/>
    <w:link w:val="para"/>
    <w:locked/>
    <w:rsid w:val="00EC2E0D"/>
    <w:rPr>
      <w:rFonts w:eastAsia="Yu Mincho"/>
      <w:lang w:val="x-none" w:eastAsia="en-US"/>
    </w:rPr>
  </w:style>
  <w:style w:type="character" w:styleId="af4">
    <w:name w:val="Unresolved Mention"/>
    <w:basedOn w:val="a0"/>
    <w:uiPriority w:val="99"/>
    <w:semiHidden/>
    <w:unhideWhenUsed/>
    <w:rsid w:val="00F70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transport/standards/transport/vehicle-regulations-wp29/resolu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C1054-FE0A-463F-9DC3-7C34BE39A65A}"/>
</file>

<file path=customXml/itemProps2.xml><?xml version="1.0" encoding="utf-8"?>
<ds:datastoreItem xmlns:ds="http://schemas.openxmlformats.org/officeDocument/2006/customXml" ds:itemID="{87F163CC-0E03-4D99-A715-E2EA6C77E40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950</Words>
  <Characters>6145</Characters>
  <Application>Microsoft Office Word</Application>
  <DocSecurity>0</DocSecurity>
  <Lines>123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ECE/TRANS/WP.29/GRVA/2024/18</dc:title>
  <dc:subject/>
  <dc:creator>Olga OVTCHINNIKOVA</dc:creator>
  <cp:keywords/>
  <cp:lastModifiedBy>Olga Ovchinnikova</cp:lastModifiedBy>
  <cp:revision>3</cp:revision>
  <cp:lastPrinted>2024-05-01T06:41:00Z</cp:lastPrinted>
  <dcterms:created xsi:type="dcterms:W3CDTF">2024-05-01T06:41:00Z</dcterms:created>
  <dcterms:modified xsi:type="dcterms:W3CDTF">2024-05-01T06:41:00Z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