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F4C2207" w14:textId="77777777" w:rsidTr="00C97039">
        <w:trPr>
          <w:trHeight w:hRule="exact" w:val="851"/>
        </w:trPr>
        <w:tc>
          <w:tcPr>
            <w:tcW w:w="1276" w:type="dxa"/>
            <w:tcBorders>
              <w:bottom w:val="single" w:sz="4" w:space="0" w:color="auto"/>
            </w:tcBorders>
          </w:tcPr>
          <w:p w14:paraId="20D95B25" w14:textId="77777777" w:rsidR="00F35BAF" w:rsidRPr="00DB58B5" w:rsidRDefault="00F35BAF" w:rsidP="008C178D"/>
        </w:tc>
        <w:tc>
          <w:tcPr>
            <w:tcW w:w="2268" w:type="dxa"/>
            <w:tcBorders>
              <w:bottom w:val="single" w:sz="4" w:space="0" w:color="auto"/>
            </w:tcBorders>
            <w:vAlign w:val="bottom"/>
          </w:tcPr>
          <w:p w14:paraId="4D8A68E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E6D37C" w14:textId="37E78A64" w:rsidR="00F35BAF" w:rsidRPr="00DB58B5" w:rsidRDefault="008C178D" w:rsidP="008C178D">
            <w:pPr>
              <w:jc w:val="right"/>
            </w:pPr>
            <w:r w:rsidRPr="008C178D">
              <w:rPr>
                <w:sz w:val="40"/>
              </w:rPr>
              <w:t>ECE</w:t>
            </w:r>
            <w:r>
              <w:t>/TRANS/WP.29/GRVA/2024/18</w:t>
            </w:r>
          </w:p>
        </w:tc>
      </w:tr>
      <w:tr w:rsidR="00F35BAF" w:rsidRPr="00DB58B5" w14:paraId="71E8CBCC" w14:textId="77777777" w:rsidTr="00C97039">
        <w:trPr>
          <w:trHeight w:hRule="exact" w:val="2835"/>
        </w:trPr>
        <w:tc>
          <w:tcPr>
            <w:tcW w:w="1276" w:type="dxa"/>
            <w:tcBorders>
              <w:top w:val="single" w:sz="4" w:space="0" w:color="auto"/>
              <w:bottom w:val="single" w:sz="12" w:space="0" w:color="auto"/>
            </w:tcBorders>
          </w:tcPr>
          <w:p w14:paraId="46C22230" w14:textId="77777777" w:rsidR="00F35BAF" w:rsidRPr="00DB58B5" w:rsidRDefault="00F35BAF" w:rsidP="00C97039">
            <w:pPr>
              <w:spacing w:before="120"/>
              <w:jc w:val="center"/>
            </w:pPr>
            <w:r>
              <w:rPr>
                <w:noProof/>
                <w:lang w:eastAsia="fr-CH"/>
              </w:rPr>
              <w:drawing>
                <wp:inline distT="0" distB="0" distL="0" distR="0" wp14:anchorId="53107B6F" wp14:editId="3A5C31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A6556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CC8582" w14:textId="77777777" w:rsidR="00F35BAF" w:rsidRDefault="008C178D" w:rsidP="00C97039">
            <w:pPr>
              <w:spacing w:before="240"/>
            </w:pPr>
            <w:r>
              <w:t>Distr. générale</w:t>
            </w:r>
          </w:p>
          <w:p w14:paraId="31E916F1" w14:textId="77777777" w:rsidR="008C178D" w:rsidRDefault="008C178D" w:rsidP="008C178D">
            <w:pPr>
              <w:spacing w:line="240" w:lineRule="exact"/>
            </w:pPr>
            <w:r>
              <w:t>11 avril 2024</w:t>
            </w:r>
          </w:p>
          <w:p w14:paraId="20AD4ECD" w14:textId="77777777" w:rsidR="008C178D" w:rsidRDefault="008C178D" w:rsidP="008C178D">
            <w:pPr>
              <w:spacing w:line="240" w:lineRule="exact"/>
            </w:pPr>
            <w:r>
              <w:t>Français</w:t>
            </w:r>
          </w:p>
          <w:p w14:paraId="2826C1E2" w14:textId="3B10BB77" w:rsidR="008C178D" w:rsidRPr="00DB58B5" w:rsidRDefault="008C178D" w:rsidP="008C178D">
            <w:pPr>
              <w:spacing w:line="240" w:lineRule="exact"/>
            </w:pPr>
            <w:r>
              <w:t>Original : anglais</w:t>
            </w:r>
          </w:p>
        </w:tc>
      </w:tr>
    </w:tbl>
    <w:p w14:paraId="0ADF4301" w14:textId="77777777" w:rsidR="007F20FA" w:rsidRPr="000312C0" w:rsidRDefault="007F20FA" w:rsidP="007F20FA">
      <w:pPr>
        <w:spacing w:before="120"/>
        <w:rPr>
          <w:b/>
          <w:sz w:val="28"/>
          <w:szCs w:val="28"/>
        </w:rPr>
      </w:pPr>
      <w:r w:rsidRPr="000312C0">
        <w:rPr>
          <w:b/>
          <w:sz w:val="28"/>
          <w:szCs w:val="28"/>
        </w:rPr>
        <w:t>Commission économique pour l’Europe</w:t>
      </w:r>
    </w:p>
    <w:p w14:paraId="321A3470" w14:textId="77777777" w:rsidR="007F20FA" w:rsidRDefault="007F20FA" w:rsidP="007F20FA">
      <w:pPr>
        <w:spacing w:before="120"/>
        <w:rPr>
          <w:sz w:val="28"/>
          <w:szCs w:val="28"/>
        </w:rPr>
      </w:pPr>
      <w:r w:rsidRPr="00685843">
        <w:rPr>
          <w:sz w:val="28"/>
          <w:szCs w:val="28"/>
        </w:rPr>
        <w:t>Comité des transports intérieurs</w:t>
      </w:r>
    </w:p>
    <w:p w14:paraId="78E9F005" w14:textId="77777777" w:rsidR="008C178D" w:rsidRDefault="008C178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061531C" w14:textId="77777777" w:rsidR="008C178D" w:rsidRPr="00AE68A4" w:rsidRDefault="008C178D" w:rsidP="008C178D">
      <w:pPr>
        <w:spacing w:before="120"/>
        <w:rPr>
          <w:b/>
          <w:lang w:val="fr-FR"/>
        </w:rPr>
      </w:pPr>
      <w:bookmarkStart w:id="0" w:name="_Hlk518466992"/>
      <w:r>
        <w:rPr>
          <w:b/>
          <w:bCs/>
          <w:lang w:val="fr-FR"/>
        </w:rPr>
        <w:t>Groupe de travail des véhicules automatisés/autonomes et connectés</w:t>
      </w:r>
      <w:bookmarkEnd w:id="0"/>
    </w:p>
    <w:p w14:paraId="30BE0229" w14:textId="77777777" w:rsidR="008C178D" w:rsidRPr="00AE68A4" w:rsidRDefault="008C178D" w:rsidP="008C178D">
      <w:pPr>
        <w:spacing w:before="120"/>
        <w:rPr>
          <w:b/>
          <w:lang w:val="fr-FR"/>
        </w:rPr>
      </w:pPr>
      <w:bookmarkStart w:id="1" w:name="OLE_LINK2"/>
      <w:r>
        <w:rPr>
          <w:b/>
          <w:bCs/>
          <w:lang w:val="fr-FR"/>
        </w:rPr>
        <w:t>Dix-neuvième session</w:t>
      </w:r>
    </w:p>
    <w:p w14:paraId="0465A016" w14:textId="06CB7F18" w:rsidR="008C178D" w:rsidRPr="00AE68A4" w:rsidRDefault="008C178D" w:rsidP="008C178D">
      <w:pPr>
        <w:rPr>
          <w:lang w:val="fr-FR"/>
        </w:rPr>
      </w:pPr>
      <w:r>
        <w:rPr>
          <w:lang w:val="fr-FR"/>
        </w:rPr>
        <w:t>Genève, 25</w:t>
      </w:r>
      <w:r w:rsidR="003802BF">
        <w:rPr>
          <w:lang w:val="fr-FR"/>
        </w:rPr>
        <w:t> </w:t>
      </w:r>
      <w:r>
        <w:rPr>
          <w:lang w:val="fr-FR"/>
        </w:rPr>
        <w:t>juin 2024</w:t>
      </w:r>
    </w:p>
    <w:p w14:paraId="49BB2EE7" w14:textId="2EA964A6" w:rsidR="008C178D" w:rsidRPr="00AE68A4" w:rsidRDefault="008C178D" w:rsidP="008C178D">
      <w:pPr>
        <w:rPr>
          <w:lang w:val="fr-FR"/>
        </w:rPr>
      </w:pPr>
      <w:r>
        <w:rPr>
          <w:lang w:val="fr-FR"/>
        </w:rPr>
        <w:t>Point</w:t>
      </w:r>
      <w:r w:rsidR="003802BF">
        <w:rPr>
          <w:lang w:val="fr-FR"/>
        </w:rPr>
        <w:t> </w:t>
      </w:r>
      <w:r>
        <w:rPr>
          <w:lang w:val="fr-FR"/>
        </w:rPr>
        <w:t>7 de l’ordre du jour provisoire</w:t>
      </w:r>
    </w:p>
    <w:p w14:paraId="2D0335A0" w14:textId="77777777" w:rsidR="008C178D" w:rsidRPr="00AE68A4" w:rsidRDefault="008C178D" w:rsidP="008C178D">
      <w:pPr>
        <w:rPr>
          <w:b/>
          <w:bCs/>
          <w:lang w:val="fr-FR"/>
        </w:rPr>
      </w:pPr>
      <w:r>
        <w:rPr>
          <w:b/>
          <w:bCs/>
          <w:lang w:val="fr-FR"/>
        </w:rPr>
        <w:t>Systèmes actifs de freinage d’urgence</w:t>
      </w:r>
    </w:p>
    <w:p w14:paraId="6F2D0F91" w14:textId="64FB92D9" w:rsidR="008C178D" w:rsidRPr="00AE68A4" w:rsidRDefault="008C178D" w:rsidP="008C178D">
      <w:pPr>
        <w:pStyle w:val="HChG"/>
        <w:rPr>
          <w:lang w:val="fr-FR"/>
        </w:rPr>
      </w:pPr>
      <w:r>
        <w:rPr>
          <w:lang w:val="fr-FR"/>
        </w:rPr>
        <w:tab/>
      </w:r>
      <w:r>
        <w:rPr>
          <w:lang w:val="fr-FR"/>
        </w:rPr>
        <w:tab/>
      </w:r>
      <w:r w:rsidRPr="003802BF">
        <w:rPr>
          <w:bCs/>
          <w:lang w:val="fr-FR"/>
        </w:rPr>
        <w:t>Proposition de complément à la série</w:t>
      </w:r>
      <w:r w:rsidR="003802BF" w:rsidRPr="003802BF">
        <w:rPr>
          <w:bCs/>
          <w:lang w:val="fr-FR"/>
        </w:rPr>
        <w:t> </w:t>
      </w:r>
      <w:r w:rsidRPr="003802BF">
        <w:rPr>
          <w:bCs/>
          <w:lang w:val="fr-FR"/>
        </w:rPr>
        <w:t xml:space="preserve">02 d’amendements </w:t>
      </w:r>
      <w:r w:rsidR="003802BF" w:rsidRPr="003802BF">
        <w:rPr>
          <w:bCs/>
          <w:lang w:val="fr-FR"/>
        </w:rPr>
        <w:br/>
      </w:r>
      <w:r w:rsidRPr="003802BF">
        <w:rPr>
          <w:bCs/>
          <w:lang w:val="fr-FR"/>
        </w:rPr>
        <w:t>au Règlement ONU n</w:t>
      </w:r>
      <w:r w:rsidRPr="003802BF">
        <w:rPr>
          <w:bCs/>
          <w:vertAlign w:val="superscript"/>
          <w:lang w:val="fr-FR"/>
        </w:rPr>
        <w:t>o</w:t>
      </w:r>
      <w:r w:rsidR="003802BF" w:rsidRPr="003802BF">
        <w:rPr>
          <w:bCs/>
          <w:lang w:val="fr-FR"/>
        </w:rPr>
        <w:t> </w:t>
      </w:r>
      <w:r w:rsidRPr="003802BF">
        <w:rPr>
          <w:bCs/>
          <w:lang w:val="fr-FR"/>
        </w:rPr>
        <w:t xml:space="preserve">131 (AEBS pour les véhicules </w:t>
      </w:r>
      <w:r w:rsidR="003802BF" w:rsidRPr="003802BF">
        <w:rPr>
          <w:bCs/>
          <w:lang w:val="fr-FR"/>
        </w:rPr>
        <w:br/>
      </w:r>
      <w:r w:rsidRPr="003802BF">
        <w:rPr>
          <w:bCs/>
          <w:lang w:val="fr-FR"/>
        </w:rPr>
        <w:t>des catégories</w:t>
      </w:r>
      <w:r w:rsidR="003802BF" w:rsidRPr="003802BF">
        <w:rPr>
          <w:bCs/>
          <w:lang w:val="fr-FR"/>
        </w:rPr>
        <w:t> </w:t>
      </w:r>
      <w:r w:rsidRPr="003802BF">
        <w:rPr>
          <w:bCs/>
          <w:lang w:val="fr-FR"/>
        </w:rPr>
        <w:t>M</w:t>
      </w:r>
      <w:r w:rsidRPr="003802BF">
        <w:rPr>
          <w:bCs/>
          <w:vertAlign w:val="subscript"/>
          <w:lang w:val="fr-FR"/>
        </w:rPr>
        <w:t>2</w:t>
      </w:r>
      <w:r w:rsidRPr="003802BF">
        <w:rPr>
          <w:bCs/>
          <w:lang w:val="fr-FR"/>
        </w:rPr>
        <w:t>, N</w:t>
      </w:r>
      <w:r w:rsidRPr="003802BF">
        <w:rPr>
          <w:bCs/>
          <w:vertAlign w:val="subscript"/>
          <w:lang w:val="fr-FR"/>
        </w:rPr>
        <w:t>2</w:t>
      </w:r>
      <w:r w:rsidRPr="003802BF">
        <w:rPr>
          <w:bCs/>
          <w:lang w:val="fr-FR"/>
        </w:rPr>
        <w:t>, M</w:t>
      </w:r>
      <w:r w:rsidRPr="003802BF">
        <w:rPr>
          <w:bCs/>
          <w:vertAlign w:val="subscript"/>
          <w:lang w:val="fr-FR"/>
        </w:rPr>
        <w:t>3</w:t>
      </w:r>
      <w:r w:rsidRPr="003802BF">
        <w:rPr>
          <w:bCs/>
          <w:lang w:val="fr-FR"/>
        </w:rPr>
        <w:t xml:space="preserve"> et N</w:t>
      </w:r>
      <w:r w:rsidRPr="003802BF">
        <w:rPr>
          <w:bCs/>
          <w:vertAlign w:val="subscript"/>
          <w:lang w:val="fr-FR"/>
        </w:rPr>
        <w:t>3</w:t>
      </w:r>
      <w:r w:rsidRPr="003802BF">
        <w:rPr>
          <w:bCs/>
          <w:lang w:val="fr-FR"/>
        </w:rPr>
        <w:t>)</w:t>
      </w:r>
      <w:bookmarkEnd w:id="1"/>
    </w:p>
    <w:p w14:paraId="2EBB22B7" w14:textId="77777777" w:rsidR="008C178D" w:rsidRPr="00AE68A4" w:rsidRDefault="008C178D" w:rsidP="008C178D">
      <w:pPr>
        <w:pStyle w:val="H1G"/>
        <w:rPr>
          <w:szCs w:val="24"/>
          <w:lang w:val="fr-FR"/>
        </w:rPr>
      </w:pPr>
      <w:r>
        <w:rPr>
          <w:lang w:val="fr-FR"/>
        </w:rPr>
        <w:tab/>
      </w:r>
      <w:r>
        <w:rPr>
          <w:lang w:val="fr-FR"/>
        </w:rPr>
        <w:tab/>
      </w:r>
      <w:r>
        <w:rPr>
          <w:bCs/>
          <w:lang w:val="fr-FR"/>
        </w:rPr>
        <w:t>Communication de l’expert de l’Australie</w:t>
      </w:r>
      <w:r w:rsidRPr="003802BF">
        <w:rPr>
          <w:rStyle w:val="Appelnotedebasdep"/>
          <w:b w:val="0"/>
          <w:bCs/>
          <w:sz w:val="20"/>
          <w:vertAlign w:val="baseline"/>
          <w:lang w:val="fr-FR"/>
        </w:rPr>
        <w:footnoteReference w:customMarkFollows="1" w:id="2"/>
        <w:t>*</w:t>
      </w:r>
    </w:p>
    <w:p w14:paraId="5C2F95D4" w14:textId="1A7F06F3" w:rsidR="008C178D" w:rsidRPr="00AE68A4" w:rsidRDefault="008C178D" w:rsidP="008C178D">
      <w:pPr>
        <w:pStyle w:val="SingleTxtG"/>
        <w:tabs>
          <w:tab w:val="left" w:pos="1701"/>
        </w:tabs>
        <w:rPr>
          <w:lang w:val="fr-FR"/>
        </w:rPr>
      </w:pPr>
      <w:r>
        <w:rPr>
          <w:lang w:val="fr-FR"/>
        </w:rPr>
        <w:tab/>
        <w:t>Le texte ci-après a été établi par l’expert de l’Australie. Il s’agit d’une proposition de complément à la série</w:t>
      </w:r>
      <w:r w:rsidR="003802BF">
        <w:rPr>
          <w:lang w:val="fr-FR"/>
        </w:rPr>
        <w:t> </w:t>
      </w:r>
      <w:r>
        <w:rPr>
          <w:lang w:val="fr-FR"/>
        </w:rPr>
        <w:t>02 d’amendements au Règlement ONU n</w:t>
      </w:r>
      <w:r>
        <w:rPr>
          <w:vertAlign w:val="superscript"/>
          <w:lang w:val="fr-FR"/>
        </w:rPr>
        <w:t>o</w:t>
      </w:r>
      <w:r>
        <w:rPr>
          <w:lang w:val="fr-FR"/>
        </w:rPr>
        <w:t xml:space="preserve"> 131 (Système actif de freinage d’urgence (AEBS) </w:t>
      </w:r>
      <w:r w:rsidRPr="003802BF">
        <w:rPr>
          <w:lang w:val="fr-FR"/>
        </w:rPr>
        <w:t>pour les véhicules des catégories</w:t>
      </w:r>
      <w:r w:rsidR="003802BF" w:rsidRPr="003802BF">
        <w:rPr>
          <w:lang w:val="fr-FR"/>
        </w:rPr>
        <w:t> </w:t>
      </w:r>
      <w:r w:rsidRPr="003802BF">
        <w:rPr>
          <w:lang w:val="fr-FR"/>
        </w:rPr>
        <w:t>M</w:t>
      </w:r>
      <w:r w:rsidRPr="003802BF">
        <w:rPr>
          <w:vertAlign w:val="subscript"/>
          <w:lang w:val="fr-FR"/>
        </w:rPr>
        <w:t>2</w:t>
      </w:r>
      <w:r w:rsidRPr="003802BF">
        <w:rPr>
          <w:lang w:val="fr-FR"/>
        </w:rPr>
        <w:t>, N</w:t>
      </w:r>
      <w:r w:rsidRPr="003802BF">
        <w:rPr>
          <w:vertAlign w:val="subscript"/>
          <w:lang w:val="fr-FR"/>
        </w:rPr>
        <w:t>2</w:t>
      </w:r>
      <w:r w:rsidRPr="003802BF">
        <w:rPr>
          <w:lang w:val="fr-FR"/>
        </w:rPr>
        <w:t>, M</w:t>
      </w:r>
      <w:r w:rsidRPr="003802BF">
        <w:rPr>
          <w:vertAlign w:val="subscript"/>
          <w:lang w:val="fr-FR"/>
        </w:rPr>
        <w:t>3</w:t>
      </w:r>
      <w:r w:rsidRPr="003802BF">
        <w:rPr>
          <w:lang w:val="fr-FR"/>
        </w:rPr>
        <w:t xml:space="preserve"> et N</w:t>
      </w:r>
      <w:r w:rsidRPr="003802BF">
        <w:rPr>
          <w:vertAlign w:val="subscript"/>
          <w:lang w:val="fr-FR"/>
        </w:rPr>
        <w:t>3</w:t>
      </w:r>
      <w:r>
        <w:rPr>
          <w:lang w:val="fr-FR"/>
        </w:rPr>
        <w:t>), visant à clarifier, en ce qui concerne le domaine d’application, les prescriptions relatives à une reconnaissance réciproque des homologations délivrées en vertu dudit Règlement et du Règlement ONU n</w:t>
      </w:r>
      <w:r>
        <w:rPr>
          <w:vertAlign w:val="superscript"/>
          <w:lang w:val="fr-FR"/>
        </w:rPr>
        <w:t>o</w:t>
      </w:r>
      <w:r w:rsidR="003802BF">
        <w:rPr>
          <w:lang w:val="fr-FR"/>
        </w:rPr>
        <w:t> </w:t>
      </w:r>
      <w:r>
        <w:rPr>
          <w:lang w:val="fr-FR"/>
        </w:rPr>
        <w:t>152 (AEBS pour les véhicules des catégories</w:t>
      </w:r>
      <w:r w:rsidR="003802BF">
        <w:rPr>
          <w:lang w:val="fr-FR"/>
        </w:rPr>
        <w:t> </w:t>
      </w:r>
      <w:r>
        <w:rPr>
          <w:lang w:val="fr-FR"/>
        </w:rPr>
        <w:t>M</w:t>
      </w:r>
      <w:r>
        <w:rPr>
          <w:vertAlign w:val="subscript"/>
          <w:lang w:val="fr-FR"/>
        </w:rPr>
        <w:t>1</w:t>
      </w:r>
      <w:r>
        <w:rPr>
          <w:lang w:val="fr-FR"/>
        </w:rPr>
        <w:t xml:space="preserve"> et N</w:t>
      </w:r>
      <w:r>
        <w:rPr>
          <w:vertAlign w:val="subscript"/>
          <w:lang w:val="fr-FR"/>
        </w:rPr>
        <w:t>1</w:t>
      </w:r>
      <w:r>
        <w:rPr>
          <w:lang w:val="fr-FR"/>
        </w:rPr>
        <w:t>). La présente proposition est fondée sur le document informel</w:t>
      </w:r>
      <w:r w:rsidR="003802BF">
        <w:rPr>
          <w:lang w:val="fr-FR"/>
        </w:rPr>
        <w:t> </w:t>
      </w:r>
      <w:r>
        <w:rPr>
          <w:lang w:val="fr-FR"/>
        </w:rPr>
        <w:t>WP.29-191-23 présenté à la 191</w:t>
      </w:r>
      <w:r>
        <w:rPr>
          <w:vertAlign w:val="superscript"/>
          <w:lang w:val="fr-FR"/>
        </w:rPr>
        <w:t>e</w:t>
      </w:r>
      <w:r w:rsidR="003802BF">
        <w:rPr>
          <w:lang w:val="fr-FR"/>
        </w:rPr>
        <w:t> </w:t>
      </w:r>
      <w:r>
        <w:rPr>
          <w:lang w:val="fr-FR"/>
        </w:rPr>
        <w:t>session du Forum mondial de l’harmonisation des Règlements concernant les véhicules (WP.29), en novembre 2023. Les modifications qu’il est proposé d’apporter au texte actuel du Règlement figurent en caractères gras pour les ajouts et biffés pour les suppressions.</w:t>
      </w:r>
    </w:p>
    <w:p w14:paraId="2893CD91" w14:textId="77777777" w:rsidR="008C178D" w:rsidRPr="00AE68A4" w:rsidRDefault="008C178D" w:rsidP="008C178D">
      <w:pPr>
        <w:suppressAutoHyphens w:val="0"/>
        <w:spacing w:line="240" w:lineRule="auto"/>
        <w:rPr>
          <w:b/>
          <w:sz w:val="28"/>
          <w:lang w:val="fr-FR"/>
        </w:rPr>
      </w:pPr>
      <w:r w:rsidRPr="00AE68A4">
        <w:rPr>
          <w:lang w:val="fr-FR"/>
        </w:rPr>
        <w:br w:type="page"/>
      </w:r>
    </w:p>
    <w:p w14:paraId="49420E90" w14:textId="77777777" w:rsidR="008C178D" w:rsidRPr="00AE68A4" w:rsidRDefault="008C178D" w:rsidP="008C178D">
      <w:pPr>
        <w:pStyle w:val="HChG"/>
        <w:ind w:right="522"/>
        <w:rPr>
          <w:lang w:val="fr-FR"/>
        </w:rPr>
      </w:pPr>
      <w:r>
        <w:rPr>
          <w:bCs/>
          <w:lang w:val="fr-FR"/>
        </w:rPr>
        <w:lastRenderedPageBreak/>
        <w:tab/>
        <w:t>I.</w:t>
      </w:r>
      <w:r>
        <w:rPr>
          <w:lang w:val="fr-FR"/>
        </w:rPr>
        <w:tab/>
      </w:r>
      <w:r>
        <w:rPr>
          <w:bCs/>
          <w:lang w:val="fr-FR"/>
        </w:rPr>
        <w:t>Proposition</w:t>
      </w:r>
    </w:p>
    <w:p w14:paraId="063590D1" w14:textId="77777777" w:rsidR="008C178D" w:rsidRPr="00AE68A4" w:rsidRDefault="008C178D" w:rsidP="008C178D">
      <w:pPr>
        <w:tabs>
          <w:tab w:val="left" w:pos="2300"/>
          <w:tab w:val="left" w:pos="2800"/>
        </w:tabs>
        <w:spacing w:after="120"/>
        <w:ind w:left="2268" w:right="1134" w:hanging="1134"/>
        <w:jc w:val="both"/>
        <w:rPr>
          <w:i/>
          <w:lang w:val="fr-FR"/>
        </w:rPr>
      </w:pPr>
      <w:r>
        <w:rPr>
          <w:i/>
          <w:iCs/>
          <w:lang w:val="fr-FR"/>
        </w:rPr>
        <w:t>Section 1</w:t>
      </w:r>
      <w:r>
        <w:rPr>
          <w:lang w:val="fr-FR"/>
        </w:rPr>
        <w:t>, lire :</w:t>
      </w:r>
    </w:p>
    <w:p w14:paraId="500167FC" w14:textId="77777777" w:rsidR="008C178D" w:rsidRPr="00AE68A4" w:rsidRDefault="008C178D" w:rsidP="008C178D">
      <w:pPr>
        <w:pStyle w:val="HChG"/>
        <w:keepNext w:val="0"/>
        <w:keepLines w:val="0"/>
        <w:ind w:left="1985"/>
        <w:rPr>
          <w:lang w:val="fr-FR"/>
        </w:rPr>
      </w:pPr>
      <w:bookmarkStart w:id="2" w:name="_Toc530068541"/>
      <w:r w:rsidRPr="0048488C">
        <w:rPr>
          <w:b w:val="0"/>
          <w:bCs/>
          <w:sz w:val="20"/>
          <w:szCs w:val="14"/>
          <w:lang w:val="fr-FR"/>
        </w:rPr>
        <w:t>«</w:t>
      </w:r>
      <w:r w:rsidRPr="00764B04">
        <w:rPr>
          <w:b w:val="0"/>
          <w:bCs/>
          <w:sz w:val="20"/>
          <w:szCs w:val="14"/>
          <w:lang w:val="fr-FR"/>
        </w:rPr>
        <w:t> </w:t>
      </w:r>
      <w:r>
        <w:rPr>
          <w:bCs/>
          <w:lang w:val="fr-FR"/>
        </w:rPr>
        <w:t>1.</w:t>
      </w:r>
      <w:r>
        <w:rPr>
          <w:lang w:val="fr-FR"/>
        </w:rPr>
        <w:tab/>
      </w:r>
      <w:r>
        <w:rPr>
          <w:bCs/>
          <w:lang w:val="fr-FR"/>
        </w:rPr>
        <w:t>Domaine d’application</w:t>
      </w:r>
      <w:bookmarkEnd w:id="2"/>
    </w:p>
    <w:p w14:paraId="60FF0204" w14:textId="7FDE459B" w:rsidR="008C178D" w:rsidRPr="00AE68A4" w:rsidRDefault="008C178D" w:rsidP="008C178D">
      <w:pPr>
        <w:spacing w:after="120"/>
        <w:ind w:left="1985" w:right="1134"/>
        <w:jc w:val="both"/>
        <w:rPr>
          <w:rFonts w:asciiTheme="majorBidi" w:hAnsiTheme="majorBidi"/>
          <w:lang w:val="fr-FR"/>
        </w:rPr>
      </w:pPr>
      <w:r>
        <w:rPr>
          <w:lang w:val="fr-FR"/>
        </w:rPr>
        <w:t>Le présent Règlement s’applique à l’homologation* des véhicules des</w:t>
      </w:r>
      <w:r w:rsidR="003802BF">
        <w:rPr>
          <w:lang w:val="fr-FR"/>
        </w:rPr>
        <w:t xml:space="preserve"> </w:t>
      </w:r>
      <w:r>
        <w:rPr>
          <w:lang w:val="fr-FR"/>
        </w:rPr>
        <w:t>catégories 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Pr>
          <w:rStyle w:val="Appelnotedebasdep"/>
          <w:rFonts w:asciiTheme="majorBidi" w:hAnsiTheme="majorBidi"/>
          <w:lang w:val="fr-FR"/>
        </w:rPr>
        <w:footnoteReference w:id="3"/>
      </w:r>
      <w:r>
        <w:rPr>
          <w:lang w:val="fr-FR"/>
        </w:rPr>
        <w:t xml:space="preserve"> en ce qui concerne les systèmes embarqués visant à : </w:t>
      </w:r>
    </w:p>
    <w:p w14:paraId="31FD3AA1" w14:textId="77777777" w:rsidR="008C178D" w:rsidRPr="00AE68A4" w:rsidRDefault="008C178D" w:rsidP="008C178D">
      <w:pPr>
        <w:spacing w:after="120"/>
        <w:ind w:left="2552" w:right="1134" w:hanging="567"/>
        <w:jc w:val="both"/>
        <w:rPr>
          <w:rFonts w:asciiTheme="majorBidi" w:hAnsiTheme="majorBidi"/>
          <w:shd w:val="pct15" w:color="auto" w:fill="FFFFFF"/>
          <w:lang w:val="fr-FR"/>
        </w:rPr>
      </w:pPr>
      <w:r>
        <w:rPr>
          <w:lang w:val="fr-FR"/>
        </w:rPr>
        <w:t>a)</w:t>
      </w:r>
      <w:r>
        <w:rPr>
          <w:lang w:val="fr-FR"/>
        </w:rPr>
        <w:tab/>
        <w:t>Éviter un choc contre l’arrière d’un véhicule situé dans la même voie ou en réduire l’impact ;</w:t>
      </w:r>
    </w:p>
    <w:p w14:paraId="5ABF10E6" w14:textId="77777777" w:rsidR="008C178D" w:rsidRPr="00AE68A4" w:rsidRDefault="008C178D" w:rsidP="008C178D">
      <w:pPr>
        <w:spacing w:after="120"/>
        <w:ind w:left="2552" w:right="1134" w:hanging="567"/>
        <w:jc w:val="both"/>
        <w:rPr>
          <w:rFonts w:asciiTheme="majorBidi" w:hAnsiTheme="majorBidi"/>
          <w:lang w:val="fr-FR"/>
        </w:rPr>
      </w:pPr>
      <w:r>
        <w:rPr>
          <w:lang w:val="fr-FR"/>
        </w:rPr>
        <w:t>b)</w:t>
      </w:r>
      <w:r>
        <w:rPr>
          <w:lang w:val="fr-FR"/>
        </w:rPr>
        <w:tab/>
        <w:t xml:space="preserve">Éviter un choc contre un piéton, ou en réduire l’impact. </w:t>
      </w:r>
    </w:p>
    <w:p w14:paraId="6EF81C4C" w14:textId="0D213782" w:rsidR="008C178D" w:rsidRPr="00D5398F" w:rsidRDefault="008C178D" w:rsidP="008C178D">
      <w:pPr>
        <w:spacing w:after="120"/>
        <w:ind w:left="1985" w:right="1134"/>
        <w:jc w:val="both"/>
        <w:rPr>
          <w:rFonts w:asciiTheme="majorBidi" w:hAnsiTheme="majorBidi"/>
          <w:bCs/>
          <w:strike/>
          <w:sz w:val="18"/>
          <w:szCs w:val="18"/>
          <w:lang w:val="fr-FR"/>
        </w:rPr>
      </w:pPr>
      <w:r w:rsidRPr="003802BF">
        <w:rPr>
          <w:strike/>
          <w:lang w:val="fr-FR"/>
        </w:rPr>
        <w:t>*</w:t>
      </w:r>
      <w:r w:rsidRPr="00D5398F">
        <w:rPr>
          <w:strike/>
          <w:sz w:val="18"/>
          <w:szCs w:val="18"/>
          <w:lang w:val="fr-FR"/>
        </w:rPr>
        <w:t xml:space="preserve"> </w:t>
      </w:r>
      <w:r w:rsidR="003802BF">
        <w:rPr>
          <w:strike/>
          <w:sz w:val="18"/>
          <w:szCs w:val="18"/>
          <w:lang w:val="fr-FR"/>
        </w:rPr>
        <w:t xml:space="preserve"> </w:t>
      </w:r>
      <w:r w:rsidRPr="00D5398F">
        <w:rPr>
          <w:strike/>
          <w:sz w:val="18"/>
          <w:szCs w:val="18"/>
          <w:lang w:val="fr-FR"/>
        </w:rPr>
        <w:t>Pour les véhicules de la catégorie M</w:t>
      </w:r>
      <w:r w:rsidRPr="00D5398F">
        <w:rPr>
          <w:strike/>
          <w:sz w:val="18"/>
          <w:szCs w:val="18"/>
          <w:vertAlign w:val="subscript"/>
          <w:lang w:val="fr-FR"/>
        </w:rPr>
        <w:t>2</w:t>
      </w:r>
      <w:r w:rsidRPr="00D5398F">
        <w:rPr>
          <w:strike/>
          <w:sz w:val="18"/>
          <w:szCs w:val="18"/>
          <w:lang w:val="fr-FR"/>
        </w:rPr>
        <w:t xml:space="preserve"> et pour ceux de la catégorie M</w:t>
      </w:r>
      <w:r w:rsidRPr="00D5398F">
        <w:rPr>
          <w:strike/>
          <w:sz w:val="18"/>
          <w:szCs w:val="18"/>
          <w:vertAlign w:val="subscript"/>
          <w:lang w:val="fr-FR"/>
        </w:rPr>
        <w:t>3</w:t>
      </w:r>
      <w:r w:rsidRPr="00D5398F">
        <w:rPr>
          <w:strike/>
          <w:sz w:val="18"/>
          <w:szCs w:val="18"/>
          <w:lang w:val="fr-FR"/>
        </w:rPr>
        <w:t>/N</w:t>
      </w:r>
      <w:r w:rsidRPr="00D5398F">
        <w:rPr>
          <w:strike/>
          <w:sz w:val="18"/>
          <w:szCs w:val="18"/>
          <w:vertAlign w:val="subscript"/>
          <w:lang w:val="fr-FR"/>
        </w:rPr>
        <w:t>2</w:t>
      </w:r>
      <w:r w:rsidRPr="00D5398F">
        <w:rPr>
          <w:strike/>
          <w:sz w:val="18"/>
          <w:szCs w:val="18"/>
          <w:lang w:val="fr-FR"/>
        </w:rPr>
        <w:t xml:space="preserve"> d</w:t>
      </w:r>
      <w:r>
        <w:rPr>
          <w:strike/>
          <w:sz w:val="18"/>
          <w:szCs w:val="18"/>
          <w:lang w:val="fr-FR"/>
        </w:rPr>
        <w:t>’</w:t>
      </w:r>
      <w:r w:rsidRPr="00D5398F">
        <w:rPr>
          <w:strike/>
          <w:sz w:val="18"/>
          <w:szCs w:val="18"/>
          <w:lang w:val="fr-FR"/>
        </w:rPr>
        <w:t>un poids maximal inférieur ou égal à 8 t, équipés d</w:t>
      </w:r>
      <w:r>
        <w:rPr>
          <w:strike/>
          <w:sz w:val="18"/>
          <w:szCs w:val="18"/>
          <w:lang w:val="fr-FR"/>
        </w:rPr>
        <w:t>’</w:t>
      </w:r>
      <w:r w:rsidRPr="00D5398F">
        <w:rPr>
          <w:strike/>
          <w:sz w:val="18"/>
          <w:szCs w:val="18"/>
          <w:lang w:val="fr-FR"/>
        </w:rPr>
        <w:t>un système de freinage hydraulique, les Parties contractantes qui sont signataires du Règlement ONU n</w:t>
      </w:r>
      <w:r w:rsidRPr="00D5398F">
        <w:rPr>
          <w:strike/>
          <w:sz w:val="18"/>
          <w:szCs w:val="18"/>
          <w:vertAlign w:val="superscript"/>
          <w:lang w:val="fr-FR"/>
        </w:rPr>
        <w:t>o</w:t>
      </w:r>
      <w:r w:rsidRPr="00D5398F">
        <w:rPr>
          <w:strike/>
          <w:sz w:val="18"/>
          <w:szCs w:val="18"/>
          <w:lang w:val="fr-FR"/>
        </w:rPr>
        <w:t> 152 et du présent Règlement reconnaissent comme étant également valables les homologations accordées en vertu de l</w:t>
      </w:r>
      <w:r>
        <w:rPr>
          <w:strike/>
          <w:sz w:val="18"/>
          <w:szCs w:val="18"/>
          <w:lang w:val="fr-FR"/>
        </w:rPr>
        <w:t>’</w:t>
      </w:r>
      <w:r w:rsidRPr="00D5398F">
        <w:rPr>
          <w:strike/>
          <w:sz w:val="18"/>
          <w:szCs w:val="18"/>
          <w:lang w:val="fr-FR"/>
        </w:rPr>
        <w:t>un ou de l</w:t>
      </w:r>
      <w:r>
        <w:rPr>
          <w:strike/>
          <w:sz w:val="18"/>
          <w:szCs w:val="18"/>
          <w:lang w:val="fr-FR"/>
        </w:rPr>
        <w:t>’</w:t>
      </w:r>
      <w:r w:rsidRPr="00D5398F">
        <w:rPr>
          <w:strike/>
          <w:sz w:val="18"/>
          <w:szCs w:val="18"/>
          <w:lang w:val="fr-FR"/>
        </w:rPr>
        <w:t>autre de ces Règlements.</w:t>
      </w:r>
    </w:p>
    <w:p w14:paraId="3F627A28" w14:textId="0495134F" w:rsidR="008C178D" w:rsidRPr="00AE68A4" w:rsidRDefault="008C178D" w:rsidP="008C178D">
      <w:pPr>
        <w:tabs>
          <w:tab w:val="left" w:pos="4111"/>
        </w:tabs>
        <w:spacing w:after="120"/>
        <w:ind w:left="1985" w:right="1134"/>
        <w:jc w:val="both"/>
        <w:rPr>
          <w:rFonts w:asciiTheme="majorBidi" w:hAnsiTheme="majorBidi"/>
          <w:b/>
          <w:bCs/>
          <w:sz w:val="18"/>
          <w:lang w:val="fr-FR"/>
        </w:rPr>
      </w:pPr>
      <w:r w:rsidRPr="003802BF">
        <w:rPr>
          <w:b/>
          <w:bCs/>
          <w:lang w:val="fr-FR"/>
        </w:rPr>
        <w:t>*</w:t>
      </w:r>
      <w:r w:rsidRPr="00D5398F">
        <w:rPr>
          <w:b/>
          <w:bCs/>
          <w:sz w:val="18"/>
          <w:szCs w:val="18"/>
          <w:lang w:val="fr-FR"/>
        </w:rPr>
        <w:t xml:space="preserve"> </w:t>
      </w:r>
      <w:r w:rsidR="003802BF">
        <w:rPr>
          <w:b/>
          <w:bCs/>
          <w:sz w:val="18"/>
          <w:szCs w:val="18"/>
          <w:lang w:val="fr-FR"/>
        </w:rPr>
        <w:t xml:space="preserve"> </w:t>
      </w:r>
      <w:r w:rsidRPr="00D5398F">
        <w:rPr>
          <w:b/>
          <w:bCs/>
          <w:sz w:val="18"/>
          <w:szCs w:val="18"/>
          <w:lang w:val="fr-FR"/>
        </w:rPr>
        <w:t>Pour les véhicules des catégories</w:t>
      </w:r>
      <w:r w:rsidR="003802BF">
        <w:rPr>
          <w:b/>
          <w:bCs/>
          <w:sz w:val="18"/>
          <w:szCs w:val="18"/>
          <w:lang w:val="fr-FR"/>
        </w:rPr>
        <w:t> </w:t>
      </w:r>
      <w:r w:rsidRPr="00D5398F">
        <w:rPr>
          <w:b/>
          <w:bCs/>
          <w:sz w:val="18"/>
          <w:szCs w:val="18"/>
          <w:lang w:val="fr-FR"/>
        </w:rPr>
        <w:t>M</w:t>
      </w:r>
      <w:r w:rsidRPr="00D5398F">
        <w:rPr>
          <w:b/>
          <w:bCs/>
          <w:sz w:val="18"/>
          <w:szCs w:val="18"/>
          <w:vertAlign w:val="subscript"/>
          <w:lang w:val="fr-FR"/>
        </w:rPr>
        <w:t>2</w:t>
      </w:r>
      <w:r w:rsidRPr="00D5398F">
        <w:rPr>
          <w:b/>
          <w:bCs/>
          <w:sz w:val="18"/>
          <w:szCs w:val="18"/>
          <w:lang w:val="fr-FR"/>
        </w:rPr>
        <w:t>, M</w:t>
      </w:r>
      <w:r w:rsidRPr="00D5398F">
        <w:rPr>
          <w:b/>
          <w:bCs/>
          <w:sz w:val="18"/>
          <w:szCs w:val="18"/>
          <w:vertAlign w:val="subscript"/>
          <w:lang w:val="fr-FR"/>
        </w:rPr>
        <w:t>3</w:t>
      </w:r>
      <w:r w:rsidRPr="00D5398F">
        <w:rPr>
          <w:b/>
          <w:bCs/>
          <w:sz w:val="18"/>
          <w:szCs w:val="18"/>
          <w:lang w:val="fr-FR"/>
        </w:rPr>
        <w:t xml:space="preserve"> et N</w:t>
      </w:r>
      <w:r w:rsidRPr="00D5398F">
        <w:rPr>
          <w:b/>
          <w:bCs/>
          <w:sz w:val="18"/>
          <w:szCs w:val="18"/>
          <w:vertAlign w:val="subscript"/>
          <w:lang w:val="fr-FR"/>
        </w:rPr>
        <w:t>2</w:t>
      </w:r>
      <w:r w:rsidRPr="00D5398F">
        <w:rPr>
          <w:b/>
          <w:bCs/>
          <w:sz w:val="18"/>
          <w:szCs w:val="18"/>
          <w:lang w:val="fr-FR"/>
        </w:rPr>
        <w:t xml:space="preserve"> d</w:t>
      </w:r>
      <w:r>
        <w:rPr>
          <w:b/>
          <w:bCs/>
          <w:sz w:val="18"/>
          <w:szCs w:val="18"/>
          <w:lang w:val="fr-FR"/>
        </w:rPr>
        <w:t>’</w:t>
      </w:r>
      <w:r w:rsidRPr="00D5398F">
        <w:rPr>
          <w:b/>
          <w:bCs/>
          <w:sz w:val="18"/>
          <w:szCs w:val="18"/>
          <w:lang w:val="fr-FR"/>
        </w:rPr>
        <w:t>une masse maximale inférieure ou égale à 8 t, équipés d</w:t>
      </w:r>
      <w:r>
        <w:rPr>
          <w:b/>
          <w:bCs/>
          <w:sz w:val="18"/>
          <w:szCs w:val="18"/>
          <w:lang w:val="fr-FR"/>
        </w:rPr>
        <w:t>’</w:t>
      </w:r>
      <w:r w:rsidRPr="00D5398F">
        <w:rPr>
          <w:b/>
          <w:bCs/>
          <w:sz w:val="18"/>
          <w:szCs w:val="18"/>
          <w:lang w:val="fr-FR"/>
        </w:rPr>
        <w:t>un système de freinage hydraulique, les Parties contractantes qui sont signataires du Règlement ONU n</w:t>
      </w:r>
      <w:r w:rsidRPr="00D5398F">
        <w:rPr>
          <w:b/>
          <w:bCs/>
          <w:sz w:val="18"/>
          <w:szCs w:val="18"/>
          <w:vertAlign w:val="superscript"/>
          <w:lang w:val="fr-FR"/>
        </w:rPr>
        <w:t>o</w:t>
      </w:r>
      <w:r w:rsidRPr="00D5398F">
        <w:rPr>
          <w:b/>
          <w:bCs/>
          <w:sz w:val="18"/>
          <w:szCs w:val="18"/>
          <w:lang w:val="fr-FR"/>
        </w:rPr>
        <w:t> 13, du Règlement ONU n</w:t>
      </w:r>
      <w:r w:rsidRPr="00D5398F">
        <w:rPr>
          <w:b/>
          <w:bCs/>
          <w:sz w:val="18"/>
          <w:szCs w:val="18"/>
          <w:vertAlign w:val="superscript"/>
          <w:lang w:val="fr-FR"/>
        </w:rPr>
        <w:t>o</w:t>
      </w:r>
      <w:r w:rsidRPr="00D5398F">
        <w:rPr>
          <w:b/>
          <w:bCs/>
          <w:sz w:val="18"/>
          <w:szCs w:val="18"/>
          <w:lang w:val="fr-FR"/>
        </w:rPr>
        <w:t> 152 et du présent Règlement reconnaissent une homologation accordée en vertu du Règlement ONU n</w:t>
      </w:r>
      <w:r w:rsidRPr="00D5398F">
        <w:rPr>
          <w:b/>
          <w:bCs/>
          <w:sz w:val="18"/>
          <w:szCs w:val="18"/>
          <w:vertAlign w:val="superscript"/>
          <w:lang w:val="fr-FR"/>
        </w:rPr>
        <w:t>o</w:t>
      </w:r>
      <w:r w:rsidRPr="00D5398F">
        <w:rPr>
          <w:b/>
          <w:bCs/>
          <w:sz w:val="18"/>
          <w:szCs w:val="18"/>
          <w:lang w:val="fr-FR"/>
        </w:rPr>
        <w:t> 152 pour un véhicule de la catégorie</w:t>
      </w:r>
      <w:r w:rsidR="003802BF">
        <w:rPr>
          <w:b/>
          <w:bCs/>
          <w:sz w:val="18"/>
          <w:szCs w:val="18"/>
          <w:lang w:val="fr-FR"/>
        </w:rPr>
        <w:t> </w:t>
      </w:r>
      <w:r w:rsidRPr="00D5398F">
        <w:rPr>
          <w:b/>
          <w:bCs/>
          <w:sz w:val="18"/>
          <w:szCs w:val="18"/>
          <w:lang w:val="fr-FR"/>
        </w:rPr>
        <w:t>N</w:t>
      </w:r>
      <w:r w:rsidRPr="00D5398F">
        <w:rPr>
          <w:b/>
          <w:bCs/>
          <w:sz w:val="18"/>
          <w:szCs w:val="18"/>
          <w:vertAlign w:val="subscript"/>
          <w:lang w:val="fr-FR"/>
        </w:rPr>
        <w:t>1</w:t>
      </w:r>
      <w:r w:rsidRPr="00D5398F">
        <w:rPr>
          <w:b/>
          <w:bCs/>
          <w:sz w:val="18"/>
          <w:szCs w:val="18"/>
          <w:lang w:val="fr-FR"/>
        </w:rPr>
        <w:t xml:space="preserve"> de la même famille que le véhicule à homologuer conformément au présent Règlement.</w:t>
      </w:r>
      <w:r w:rsidRPr="00D5398F">
        <w:rPr>
          <w:sz w:val="18"/>
          <w:szCs w:val="18"/>
          <w:lang w:val="fr-FR"/>
        </w:rPr>
        <w:t xml:space="preserve"> </w:t>
      </w:r>
      <w:r w:rsidRPr="00D5398F">
        <w:rPr>
          <w:b/>
          <w:bCs/>
          <w:sz w:val="18"/>
          <w:szCs w:val="18"/>
          <w:lang w:val="fr-FR"/>
        </w:rPr>
        <w:t>Aux fins de ladite reconnaissance, les véhicules sont considérés comme étant de la même famille s</w:t>
      </w:r>
      <w:r>
        <w:rPr>
          <w:b/>
          <w:bCs/>
          <w:sz w:val="18"/>
          <w:szCs w:val="18"/>
          <w:lang w:val="fr-FR"/>
        </w:rPr>
        <w:t>’</w:t>
      </w:r>
      <w:r w:rsidRPr="00D5398F">
        <w:rPr>
          <w:b/>
          <w:bCs/>
          <w:sz w:val="18"/>
          <w:szCs w:val="18"/>
          <w:lang w:val="fr-FR"/>
        </w:rPr>
        <w:t xml:space="preserve">ils sont </w:t>
      </w:r>
      <w:r>
        <w:rPr>
          <w:b/>
          <w:bCs/>
          <w:sz w:val="18"/>
          <w:szCs w:val="18"/>
          <w:lang w:val="fr-FR"/>
        </w:rPr>
        <w:t>couverts</w:t>
      </w:r>
      <w:r w:rsidRPr="00D5398F">
        <w:rPr>
          <w:b/>
          <w:bCs/>
          <w:sz w:val="18"/>
          <w:szCs w:val="18"/>
          <w:lang w:val="fr-FR"/>
        </w:rPr>
        <w:t xml:space="preserve"> par la même homologation </w:t>
      </w:r>
      <w:r>
        <w:rPr>
          <w:b/>
          <w:bCs/>
          <w:sz w:val="18"/>
          <w:szCs w:val="18"/>
          <w:lang w:val="fr-FR"/>
        </w:rPr>
        <w:t>délivrée en application</w:t>
      </w:r>
      <w:r w:rsidRPr="00D5398F">
        <w:rPr>
          <w:b/>
          <w:bCs/>
          <w:sz w:val="18"/>
          <w:szCs w:val="18"/>
          <w:lang w:val="fr-FR"/>
        </w:rPr>
        <w:t xml:space="preserve"> du Règlement ONU n</w:t>
      </w:r>
      <w:r w:rsidRPr="00D5398F">
        <w:rPr>
          <w:b/>
          <w:bCs/>
          <w:sz w:val="18"/>
          <w:szCs w:val="18"/>
          <w:vertAlign w:val="superscript"/>
          <w:lang w:val="fr-FR"/>
        </w:rPr>
        <w:t>o</w:t>
      </w:r>
      <w:r w:rsidRPr="00D5398F">
        <w:rPr>
          <w:b/>
          <w:bCs/>
          <w:sz w:val="18"/>
          <w:szCs w:val="18"/>
          <w:lang w:val="fr-FR"/>
        </w:rPr>
        <w:t> 13 et ne présentent pas entre eux de différence quant aux aspects décrits au paragraphe</w:t>
      </w:r>
      <w:r w:rsidR="003802BF">
        <w:rPr>
          <w:b/>
          <w:bCs/>
          <w:sz w:val="18"/>
          <w:szCs w:val="18"/>
          <w:lang w:val="fr-FR"/>
        </w:rPr>
        <w:t> </w:t>
      </w:r>
      <w:r w:rsidRPr="00D5398F">
        <w:rPr>
          <w:b/>
          <w:bCs/>
          <w:sz w:val="18"/>
          <w:szCs w:val="18"/>
          <w:lang w:val="fr-FR"/>
        </w:rPr>
        <w:t>2.4 du présent Règlement.</w:t>
      </w:r>
      <w:r>
        <w:rPr>
          <w:lang w:val="fr-FR"/>
        </w:rPr>
        <w:t> </w:t>
      </w:r>
      <w:r w:rsidRPr="003802BF">
        <w:rPr>
          <w:lang w:val="fr-FR"/>
        </w:rPr>
        <w:t>».</w:t>
      </w:r>
    </w:p>
    <w:p w14:paraId="3FF535C2" w14:textId="77777777" w:rsidR="008C178D" w:rsidRPr="00AE68A4" w:rsidRDefault="008C178D" w:rsidP="003802BF">
      <w:pPr>
        <w:pStyle w:val="HChG"/>
        <w:rPr>
          <w:lang w:val="fr-FR"/>
        </w:rPr>
      </w:pPr>
      <w:r>
        <w:rPr>
          <w:lang w:val="fr-FR"/>
        </w:rPr>
        <w:tab/>
        <w:t>II.</w:t>
      </w:r>
      <w:r>
        <w:rPr>
          <w:lang w:val="fr-FR"/>
        </w:rPr>
        <w:tab/>
        <w:t>Justification</w:t>
      </w:r>
    </w:p>
    <w:p w14:paraId="3D1C3C87" w14:textId="720842B8" w:rsidR="008C178D" w:rsidRPr="00AE68A4" w:rsidRDefault="008C178D" w:rsidP="008C178D">
      <w:pPr>
        <w:spacing w:after="120"/>
        <w:ind w:left="1134" w:right="1134"/>
        <w:jc w:val="both"/>
        <w:rPr>
          <w:lang w:val="fr-FR"/>
        </w:rPr>
      </w:pPr>
      <w:r w:rsidRPr="003802BF">
        <w:rPr>
          <w:lang w:val="fr-FR"/>
        </w:rPr>
        <w:t>1.</w:t>
      </w:r>
      <w:r w:rsidRPr="003802BF">
        <w:rPr>
          <w:lang w:val="fr-FR"/>
        </w:rPr>
        <w:tab/>
        <w:t>À la 191</w:t>
      </w:r>
      <w:r w:rsidRPr="003802BF">
        <w:rPr>
          <w:vertAlign w:val="superscript"/>
          <w:lang w:val="fr-FR"/>
        </w:rPr>
        <w:t>e</w:t>
      </w:r>
      <w:r w:rsidR="003802BF" w:rsidRPr="003802BF">
        <w:rPr>
          <w:lang w:val="fr-FR"/>
        </w:rPr>
        <w:t> </w:t>
      </w:r>
      <w:r w:rsidRPr="003802BF">
        <w:rPr>
          <w:lang w:val="fr-FR"/>
        </w:rPr>
        <w:t>session du WP.29, le représentant de l’Australie a demandé des précisions sur le processus d’homologation de type concernant la reconnaissance réciproque des homologations accordées en vertu de la série</w:t>
      </w:r>
      <w:r w:rsidR="003802BF" w:rsidRPr="003802BF">
        <w:rPr>
          <w:lang w:val="fr-FR"/>
        </w:rPr>
        <w:t> </w:t>
      </w:r>
      <w:r w:rsidRPr="003802BF">
        <w:rPr>
          <w:lang w:val="fr-FR"/>
        </w:rPr>
        <w:t>02 d’amendements au Règlement ONU n</w:t>
      </w:r>
      <w:r w:rsidRPr="003802BF">
        <w:rPr>
          <w:vertAlign w:val="superscript"/>
          <w:lang w:val="fr-FR"/>
        </w:rPr>
        <w:t>o</w:t>
      </w:r>
      <w:r w:rsidRPr="003802BF">
        <w:rPr>
          <w:lang w:val="fr-FR"/>
        </w:rPr>
        <w:t> 131 (AEBS pour les véhicules des catégories</w:t>
      </w:r>
      <w:r w:rsidR="003802BF" w:rsidRPr="003802BF">
        <w:rPr>
          <w:lang w:val="fr-FR"/>
        </w:rPr>
        <w:t> </w:t>
      </w:r>
      <w:r w:rsidRPr="003802BF">
        <w:rPr>
          <w:lang w:val="fr-FR"/>
        </w:rPr>
        <w:t>M</w:t>
      </w:r>
      <w:r w:rsidRPr="003802BF">
        <w:rPr>
          <w:vertAlign w:val="subscript"/>
          <w:lang w:val="fr-FR"/>
        </w:rPr>
        <w:t>2</w:t>
      </w:r>
      <w:r w:rsidRPr="003802BF">
        <w:rPr>
          <w:lang w:val="fr-FR"/>
        </w:rPr>
        <w:t>, N</w:t>
      </w:r>
      <w:r w:rsidRPr="003802BF">
        <w:rPr>
          <w:vertAlign w:val="subscript"/>
          <w:lang w:val="fr-FR"/>
        </w:rPr>
        <w:t>2</w:t>
      </w:r>
      <w:r w:rsidRPr="003802BF">
        <w:rPr>
          <w:lang w:val="fr-FR"/>
        </w:rPr>
        <w:t>, M</w:t>
      </w:r>
      <w:r w:rsidRPr="003802BF">
        <w:rPr>
          <w:vertAlign w:val="subscript"/>
          <w:lang w:val="fr-FR"/>
        </w:rPr>
        <w:t>3</w:t>
      </w:r>
      <w:r w:rsidRPr="003802BF">
        <w:rPr>
          <w:lang w:val="fr-FR"/>
        </w:rPr>
        <w:t xml:space="preserve"> et N</w:t>
      </w:r>
      <w:r w:rsidRPr="003802BF">
        <w:rPr>
          <w:vertAlign w:val="subscript"/>
          <w:lang w:val="fr-FR"/>
        </w:rPr>
        <w:t>3</w:t>
      </w:r>
      <w:r w:rsidRPr="003802BF">
        <w:rPr>
          <w:lang w:val="fr-FR"/>
        </w:rPr>
        <w:t>) et en vertu du Règlement ONU n</w:t>
      </w:r>
      <w:r w:rsidRPr="003802BF">
        <w:rPr>
          <w:vertAlign w:val="superscript"/>
          <w:lang w:val="fr-FR"/>
        </w:rPr>
        <w:t>o</w:t>
      </w:r>
      <w:r w:rsidRPr="003802BF">
        <w:rPr>
          <w:lang w:val="fr-FR"/>
        </w:rPr>
        <w:t> 152 (AEBS pour les véhicules des catégories</w:t>
      </w:r>
      <w:r w:rsidR="003802BF" w:rsidRPr="003802BF">
        <w:rPr>
          <w:lang w:val="fr-FR"/>
        </w:rPr>
        <w:t> </w:t>
      </w:r>
      <w:r w:rsidRPr="003802BF">
        <w:rPr>
          <w:lang w:val="fr-FR"/>
        </w:rPr>
        <w:t>M</w:t>
      </w:r>
      <w:r w:rsidRPr="003802BF">
        <w:rPr>
          <w:vertAlign w:val="subscript"/>
          <w:lang w:val="fr-FR"/>
        </w:rPr>
        <w:t>1</w:t>
      </w:r>
      <w:r w:rsidRPr="003802BF">
        <w:rPr>
          <w:lang w:val="fr-FR"/>
        </w:rPr>
        <w:t xml:space="preserve"> et N</w:t>
      </w:r>
      <w:r w:rsidRPr="003802BF">
        <w:rPr>
          <w:vertAlign w:val="subscript"/>
          <w:lang w:val="fr-FR"/>
        </w:rPr>
        <w:t>1</w:t>
      </w:r>
      <w:r w:rsidRPr="003802BF">
        <w:rPr>
          <w:lang w:val="fr-FR"/>
        </w:rPr>
        <w:t>).</w:t>
      </w:r>
      <w:bookmarkStart w:id="3" w:name="_Hlk19813127"/>
    </w:p>
    <w:p w14:paraId="7F4AD3D7" w14:textId="66126B2E" w:rsidR="008C178D" w:rsidRPr="00AE68A4" w:rsidRDefault="008C178D" w:rsidP="008C178D">
      <w:pPr>
        <w:spacing w:after="120"/>
        <w:ind w:left="1134" w:right="1134"/>
        <w:jc w:val="both"/>
        <w:rPr>
          <w:lang w:val="fr-FR"/>
        </w:rPr>
      </w:pPr>
      <w:r>
        <w:rPr>
          <w:lang w:val="fr-FR"/>
        </w:rPr>
        <w:t>2.</w:t>
      </w:r>
      <w:r>
        <w:rPr>
          <w:lang w:val="fr-FR"/>
        </w:rPr>
        <w:tab/>
        <w:t>La série</w:t>
      </w:r>
      <w:r w:rsidR="003802BF">
        <w:rPr>
          <w:lang w:val="fr-FR"/>
        </w:rPr>
        <w:t> </w:t>
      </w:r>
      <w:r>
        <w:rPr>
          <w:lang w:val="fr-FR"/>
        </w:rPr>
        <w:t>02 d’amendements au Règlement ONU n</w:t>
      </w:r>
      <w:r>
        <w:rPr>
          <w:vertAlign w:val="superscript"/>
          <w:lang w:val="fr-FR"/>
        </w:rPr>
        <w:t>o</w:t>
      </w:r>
      <w:r>
        <w:rPr>
          <w:lang w:val="fr-FR"/>
        </w:rPr>
        <w:t> 131 renvoie au Règlement ONU n</w:t>
      </w:r>
      <w:r>
        <w:rPr>
          <w:vertAlign w:val="superscript"/>
          <w:lang w:val="fr-FR"/>
        </w:rPr>
        <w:t>o</w:t>
      </w:r>
      <w:r>
        <w:rPr>
          <w:lang w:val="fr-FR"/>
        </w:rPr>
        <w:t> 152 en établissant que les Parties contractantes qui sont signataires des deux Règlements doivent reconnaître comme étant également valables les homologations accordées en vertu de l’un ou l’autre de ces Règlements pour les véhicules de la catégorie</w:t>
      </w:r>
      <w:r w:rsidR="003802BF">
        <w:rPr>
          <w:lang w:val="fr-FR"/>
        </w:rPr>
        <w:t> </w:t>
      </w:r>
      <w:r>
        <w:rPr>
          <w:lang w:val="fr-FR"/>
        </w:rPr>
        <w:t>M</w:t>
      </w:r>
      <w:r>
        <w:rPr>
          <w:vertAlign w:val="subscript"/>
          <w:lang w:val="fr-FR"/>
        </w:rPr>
        <w:t>2</w:t>
      </w:r>
      <w:r>
        <w:rPr>
          <w:lang w:val="fr-FR"/>
        </w:rPr>
        <w:t xml:space="preserve"> et pour ceux de la catégorie</w:t>
      </w:r>
      <w:r w:rsidR="003802BF">
        <w:rPr>
          <w:lang w:val="fr-FR"/>
        </w:rPr>
        <w:t> </w:t>
      </w:r>
      <w:r>
        <w:rPr>
          <w:lang w:val="fr-FR"/>
        </w:rPr>
        <w:t>M</w:t>
      </w:r>
      <w:r>
        <w:rPr>
          <w:vertAlign w:val="subscript"/>
          <w:lang w:val="fr-FR"/>
        </w:rPr>
        <w:t>3</w:t>
      </w:r>
      <w:r>
        <w:rPr>
          <w:lang w:val="fr-FR"/>
        </w:rPr>
        <w:t>/N</w:t>
      </w:r>
      <w:r>
        <w:rPr>
          <w:vertAlign w:val="subscript"/>
          <w:lang w:val="fr-FR"/>
        </w:rPr>
        <w:t>2</w:t>
      </w:r>
      <w:r>
        <w:rPr>
          <w:lang w:val="fr-FR"/>
        </w:rPr>
        <w:t xml:space="preserve"> d’un poids maximal inférieur ou égal à 8 t, équipés d’un système de freinage hydraulique.</w:t>
      </w:r>
    </w:p>
    <w:p w14:paraId="74ADE646" w14:textId="6BA6A75D" w:rsidR="008C178D" w:rsidRPr="00AE68A4" w:rsidRDefault="008C178D" w:rsidP="008C178D">
      <w:pPr>
        <w:spacing w:after="120"/>
        <w:ind w:left="1134" w:right="1134"/>
        <w:jc w:val="both"/>
        <w:rPr>
          <w:lang w:val="fr-FR"/>
        </w:rPr>
      </w:pPr>
      <w:r>
        <w:rPr>
          <w:lang w:val="fr-FR"/>
        </w:rPr>
        <w:t>3.</w:t>
      </w:r>
      <w:r>
        <w:rPr>
          <w:lang w:val="fr-FR"/>
        </w:rPr>
        <w:tab/>
        <w:t>Bien qu’il soit favorable à l’idée que certaines homologations accordées en vertu du Règlement ONU n</w:t>
      </w:r>
      <w:r>
        <w:rPr>
          <w:vertAlign w:val="superscript"/>
          <w:lang w:val="fr-FR"/>
        </w:rPr>
        <w:t>o</w:t>
      </w:r>
      <w:r>
        <w:rPr>
          <w:lang w:val="fr-FR"/>
        </w:rPr>
        <w:t> 152 soient reconnues comme valables au titre du Règlement ONU n</w:t>
      </w:r>
      <w:r>
        <w:rPr>
          <w:vertAlign w:val="superscript"/>
          <w:lang w:val="fr-FR"/>
        </w:rPr>
        <w:t>o</w:t>
      </w:r>
      <w:r>
        <w:rPr>
          <w:lang w:val="fr-FR"/>
        </w:rPr>
        <w:t> 131, l’expert de l’Australie estime que les détails opérationnels de cette reconnaissance réciproque ne sont pas clairs. La raison est que le Règlement ONU n</w:t>
      </w:r>
      <w:r>
        <w:rPr>
          <w:vertAlign w:val="superscript"/>
          <w:lang w:val="fr-FR"/>
        </w:rPr>
        <w:t>o</w:t>
      </w:r>
      <w:r>
        <w:rPr>
          <w:lang w:val="fr-FR"/>
        </w:rPr>
        <w:t> 131 s’applique à l’homologation des véhicules des catégories</w:t>
      </w:r>
      <w:r w:rsidR="003802BF">
        <w:rPr>
          <w:lang w:val="fr-FR"/>
        </w:rPr>
        <w:t> </w:t>
      </w:r>
      <w:r>
        <w:rPr>
          <w:lang w:val="fr-FR"/>
        </w:rPr>
        <w:t>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Pr>
          <w:lang w:val="fr-FR"/>
        </w:rPr>
        <w:t>, alors que le Règlement ONU n</w:t>
      </w:r>
      <w:r>
        <w:rPr>
          <w:vertAlign w:val="superscript"/>
          <w:lang w:val="fr-FR"/>
        </w:rPr>
        <w:t>o</w:t>
      </w:r>
      <w:r>
        <w:rPr>
          <w:lang w:val="fr-FR"/>
        </w:rPr>
        <w:t> 152 s’applique uniquement aux véhicules des catégories</w:t>
      </w:r>
      <w:r w:rsidR="003802BF">
        <w:rPr>
          <w:lang w:val="fr-FR"/>
        </w:rPr>
        <w:t> </w:t>
      </w:r>
      <w:r>
        <w:rPr>
          <w:lang w:val="fr-FR"/>
        </w:rPr>
        <w:t>M</w:t>
      </w:r>
      <w:r>
        <w:rPr>
          <w:vertAlign w:val="subscript"/>
          <w:lang w:val="fr-FR"/>
        </w:rPr>
        <w:t>1</w:t>
      </w:r>
      <w:r>
        <w:rPr>
          <w:lang w:val="fr-FR"/>
        </w:rPr>
        <w:t xml:space="preserve"> et N</w:t>
      </w:r>
      <w:r>
        <w:rPr>
          <w:vertAlign w:val="subscript"/>
          <w:lang w:val="fr-FR"/>
        </w:rPr>
        <w:t>1</w:t>
      </w:r>
      <w:r>
        <w:rPr>
          <w:lang w:val="fr-FR"/>
        </w:rPr>
        <w:t>. Cela signifie que des homologations de type accordées en vertu du Règlement ONU n</w:t>
      </w:r>
      <w:r>
        <w:rPr>
          <w:vertAlign w:val="superscript"/>
          <w:lang w:val="fr-FR"/>
        </w:rPr>
        <w:t>o</w:t>
      </w:r>
      <w:r w:rsidR="003802BF">
        <w:rPr>
          <w:lang w:val="fr-FR"/>
        </w:rPr>
        <w:t> </w:t>
      </w:r>
      <w:r>
        <w:rPr>
          <w:lang w:val="fr-FR"/>
        </w:rPr>
        <w:t>152 ne devraient pas pouvoir être reconnues pour des véhicules des catégories</w:t>
      </w:r>
      <w:r w:rsidR="003802BF">
        <w:rPr>
          <w:lang w:val="fr-FR"/>
        </w:rPr>
        <w:t> </w:t>
      </w:r>
      <w:r>
        <w:rPr>
          <w:lang w:val="fr-FR"/>
        </w:rPr>
        <w:t>M</w:t>
      </w:r>
      <w:r>
        <w:rPr>
          <w:vertAlign w:val="subscript"/>
          <w:lang w:val="fr-FR"/>
        </w:rPr>
        <w:t>2</w:t>
      </w:r>
      <w:r>
        <w:rPr>
          <w:lang w:val="fr-FR"/>
        </w:rPr>
        <w:t>, M</w:t>
      </w:r>
      <w:r>
        <w:rPr>
          <w:vertAlign w:val="subscript"/>
          <w:lang w:val="fr-FR"/>
        </w:rPr>
        <w:t>3</w:t>
      </w:r>
      <w:r>
        <w:rPr>
          <w:lang w:val="fr-FR"/>
        </w:rPr>
        <w:t xml:space="preserve"> et N</w:t>
      </w:r>
      <w:r>
        <w:rPr>
          <w:vertAlign w:val="subscript"/>
          <w:lang w:val="fr-FR"/>
        </w:rPr>
        <w:t>2</w:t>
      </w:r>
      <w:r>
        <w:rPr>
          <w:lang w:val="fr-FR"/>
        </w:rPr>
        <w:t xml:space="preserve"> ou inversement, du moins sans des contraintes plus claires concernant la relation entre le véhicule homologué en </w:t>
      </w:r>
      <w:r>
        <w:rPr>
          <w:lang w:val="fr-FR"/>
        </w:rPr>
        <w:lastRenderedPageBreak/>
        <w:t>application du Règlement ONU n</w:t>
      </w:r>
      <w:r>
        <w:rPr>
          <w:vertAlign w:val="superscript"/>
          <w:lang w:val="fr-FR"/>
        </w:rPr>
        <w:t>o</w:t>
      </w:r>
      <w:r w:rsidR="003802BF">
        <w:rPr>
          <w:lang w:val="fr-FR"/>
        </w:rPr>
        <w:t> </w:t>
      </w:r>
      <w:r>
        <w:rPr>
          <w:lang w:val="fr-FR"/>
        </w:rPr>
        <w:t>152 et le véhicule à homologuer conformément au Règlement ONU n</w:t>
      </w:r>
      <w:r>
        <w:rPr>
          <w:vertAlign w:val="superscript"/>
          <w:lang w:val="fr-FR"/>
        </w:rPr>
        <w:t>o</w:t>
      </w:r>
      <w:r w:rsidR="003802BF">
        <w:rPr>
          <w:lang w:val="fr-FR"/>
        </w:rPr>
        <w:t> </w:t>
      </w:r>
      <w:r>
        <w:rPr>
          <w:lang w:val="fr-FR"/>
        </w:rPr>
        <w:t>131. Bien que l’expert de l’Australie estime que ce n’était pas l’intention, la reconnaissance réciproque des homologations accordées en vertu du Règlement ONU n</w:t>
      </w:r>
      <w:r>
        <w:rPr>
          <w:vertAlign w:val="superscript"/>
          <w:lang w:val="fr-FR"/>
        </w:rPr>
        <w:t>o</w:t>
      </w:r>
      <w:r>
        <w:rPr>
          <w:lang w:val="fr-FR"/>
        </w:rPr>
        <w:t> 131 comme étant équivalentes à celles accordées en vertu du Règlement ONU n</w:t>
      </w:r>
      <w:r>
        <w:rPr>
          <w:vertAlign w:val="superscript"/>
          <w:lang w:val="fr-FR"/>
        </w:rPr>
        <w:t>o</w:t>
      </w:r>
      <w:r>
        <w:rPr>
          <w:lang w:val="fr-FR"/>
        </w:rPr>
        <w:t> 152 ne devrait pas être autorisée, étant donné que les prescriptions du Règlement ONU n</w:t>
      </w:r>
      <w:r>
        <w:rPr>
          <w:vertAlign w:val="superscript"/>
          <w:lang w:val="fr-FR"/>
        </w:rPr>
        <w:t>o</w:t>
      </w:r>
      <w:r>
        <w:rPr>
          <w:lang w:val="fr-FR"/>
        </w:rPr>
        <w:t xml:space="preserve"> 131 sont moins strictes. </w:t>
      </w:r>
    </w:p>
    <w:p w14:paraId="4E67FF58" w14:textId="736F8AF3" w:rsidR="008C178D" w:rsidRPr="00AE68A4" w:rsidRDefault="008C178D" w:rsidP="008C178D">
      <w:pPr>
        <w:spacing w:after="120"/>
        <w:ind w:left="1134" w:right="1134"/>
        <w:jc w:val="both"/>
        <w:rPr>
          <w:lang w:val="fr-FR"/>
        </w:rPr>
      </w:pPr>
      <w:r>
        <w:rPr>
          <w:lang w:val="fr-FR"/>
        </w:rPr>
        <w:t>4.</w:t>
      </w:r>
      <w:r>
        <w:rPr>
          <w:lang w:val="fr-FR"/>
        </w:rPr>
        <w:tab/>
        <w:t>L’expert de l’Australie sollicite l’avis des membres du Groupe de travail des véhicules automatisés/autonomes et connectés (GRVA) sur les questions suivantes :</w:t>
      </w:r>
    </w:p>
    <w:p w14:paraId="06BBACD0" w14:textId="160E02E9" w:rsidR="008C178D" w:rsidRPr="00AE68A4" w:rsidRDefault="008C178D" w:rsidP="008C178D">
      <w:pPr>
        <w:pStyle w:val="Paragraphedeliste"/>
        <w:spacing w:after="120"/>
        <w:ind w:left="2268" w:right="1134" w:hanging="567"/>
        <w:jc w:val="both"/>
        <w:rPr>
          <w:lang w:val="fr-FR"/>
        </w:rPr>
      </w:pPr>
      <w:r w:rsidRPr="00AE68A4">
        <w:rPr>
          <w:lang w:val="fr-FR"/>
        </w:rPr>
        <w:t>a)</w:t>
      </w:r>
      <w:r w:rsidRPr="00AE68A4">
        <w:rPr>
          <w:lang w:val="fr-FR"/>
        </w:rPr>
        <w:tab/>
      </w:r>
      <w:r>
        <w:rPr>
          <w:lang w:val="fr-FR"/>
        </w:rPr>
        <w:t>Une homologation de type accordée en application du Règlement ONU n</w:t>
      </w:r>
      <w:r>
        <w:rPr>
          <w:vertAlign w:val="superscript"/>
          <w:lang w:val="fr-FR"/>
        </w:rPr>
        <w:t>o</w:t>
      </w:r>
      <w:r>
        <w:rPr>
          <w:lang w:val="fr-FR"/>
        </w:rPr>
        <w:t> 152 peut-elle être délivrée ou étendue pour couvrir des véhicules des catégories</w:t>
      </w:r>
      <w:r w:rsidR="003802BF">
        <w:rPr>
          <w:lang w:val="fr-FR"/>
        </w:rPr>
        <w:t> </w:t>
      </w:r>
      <w:r>
        <w:rPr>
          <w:lang w:val="fr-FR"/>
        </w:rPr>
        <w:t>M</w:t>
      </w:r>
      <w:r>
        <w:rPr>
          <w:vertAlign w:val="subscript"/>
          <w:lang w:val="fr-FR"/>
        </w:rPr>
        <w:t>2</w:t>
      </w:r>
      <w:r>
        <w:rPr>
          <w:lang w:val="fr-FR"/>
        </w:rPr>
        <w:t>, M</w:t>
      </w:r>
      <w:r>
        <w:rPr>
          <w:vertAlign w:val="subscript"/>
          <w:lang w:val="fr-FR"/>
        </w:rPr>
        <w:t>3</w:t>
      </w:r>
      <w:r>
        <w:rPr>
          <w:lang w:val="fr-FR"/>
        </w:rPr>
        <w:t xml:space="preserve"> et N</w:t>
      </w:r>
      <w:r>
        <w:rPr>
          <w:vertAlign w:val="subscript"/>
          <w:lang w:val="fr-FR"/>
        </w:rPr>
        <w:t>2</w:t>
      </w:r>
      <w:r>
        <w:rPr>
          <w:lang w:val="fr-FR"/>
        </w:rPr>
        <w:t> ?</w:t>
      </w:r>
    </w:p>
    <w:p w14:paraId="68E152DE" w14:textId="378CDDEB" w:rsidR="008C178D" w:rsidRPr="00407659" w:rsidRDefault="008C178D" w:rsidP="008C178D">
      <w:pPr>
        <w:pStyle w:val="Paragraphedeliste"/>
        <w:spacing w:after="120"/>
        <w:ind w:left="2268" w:right="1134" w:hanging="567"/>
        <w:jc w:val="both"/>
        <w:rPr>
          <w:lang w:val="fr-FR"/>
        </w:rPr>
      </w:pPr>
      <w:r w:rsidRPr="00407659">
        <w:rPr>
          <w:lang w:val="fr-FR"/>
        </w:rPr>
        <w:t>b)</w:t>
      </w:r>
      <w:r w:rsidRPr="00407659">
        <w:rPr>
          <w:lang w:val="fr-FR"/>
        </w:rPr>
        <w:tab/>
      </w:r>
      <w:r>
        <w:rPr>
          <w:lang w:val="fr-FR"/>
        </w:rPr>
        <w:t>Des véhicules des catégories</w:t>
      </w:r>
      <w:r w:rsidR="003802BF">
        <w:rPr>
          <w:lang w:val="fr-FR"/>
        </w:rPr>
        <w:t> </w:t>
      </w:r>
      <w:r>
        <w:rPr>
          <w:lang w:val="fr-FR"/>
        </w:rPr>
        <w:t>M</w:t>
      </w:r>
      <w:r>
        <w:rPr>
          <w:vertAlign w:val="subscript"/>
          <w:lang w:val="fr-FR"/>
        </w:rPr>
        <w:t>2</w:t>
      </w:r>
      <w:r>
        <w:rPr>
          <w:lang w:val="fr-FR"/>
        </w:rPr>
        <w:t>, M</w:t>
      </w:r>
      <w:r>
        <w:rPr>
          <w:vertAlign w:val="subscript"/>
          <w:lang w:val="fr-FR"/>
        </w:rPr>
        <w:t>3</w:t>
      </w:r>
      <w:r>
        <w:rPr>
          <w:lang w:val="fr-FR"/>
        </w:rPr>
        <w:t xml:space="preserve"> et N</w:t>
      </w:r>
      <w:r>
        <w:rPr>
          <w:vertAlign w:val="subscript"/>
          <w:lang w:val="fr-FR"/>
        </w:rPr>
        <w:t>2</w:t>
      </w:r>
      <w:r>
        <w:rPr>
          <w:lang w:val="fr-FR"/>
        </w:rPr>
        <w:t xml:space="preserve"> ont-ils été acceptés ou homologués sur le marché d’autres Parties contractantes conformément à ces dispositions ? Quelle approche a été appliquée ?</w:t>
      </w:r>
    </w:p>
    <w:p w14:paraId="27350E67" w14:textId="4504E3A8" w:rsidR="008C178D" w:rsidRPr="00AE68A4" w:rsidRDefault="008C178D" w:rsidP="008C178D">
      <w:pPr>
        <w:spacing w:after="120"/>
        <w:ind w:left="1134" w:right="1134"/>
        <w:jc w:val="both"/>
        <w:rPr>
          <w:lang w:val="fr-FR"/>
        </w:rPr>
      </w:pPr>
      <w:r>
        <w:rPr>
          <w:lang w:val="fr-FR"/>
        </w:rPr>
        <w:t>5.</w:t>
      </w:r>
      <w:r>
        <w:rPr>
          <w:lang w:val="fr-FR"/>
        </w:rPr>
        <w:tab/>
        <w:t>Afin de clarifier les conditions de la reconnaissance réciproque, l’expert de l’Australie recommande que le domaine d’application du Règlement ONU n</w:t>
      </w:r>
      <w:r>
        <w:rPr>
          <w:vertAlign w:val="superscript"/>
          <w:lang w:val="fr-FR"/>
        </w:rPr>
        <w:t>o</w:t>
      </w:r>
      <w:r>
        <w:rPr>
          <w:lang w:val="fr-FR"/>
        </w:rPr>
        <w:t> 131 soit modifié. Étant donné que l’efficacité du système actif de freinage d’urgence dépend de l’efficacité du système de freinage, il serait logique que les homologations accordées en vertu du Règlement ONU n</w:t>
      </w:r>
      <w:r>
        <w:rPr>
          <w:vertAlign w:val="superscript"/>
          <w:lang w:val="fr-FR"/>
        </w:rPr>
        <w:t>o</w:t>
      </w:r>
      <w:r>
        <w:rPr>
          <w:lang w:val="fr-FR"/>
        </w:rPr>
        <w:t> 152 soient reconnues comme équivalentes à celles accordées en vertu du Règlement ONU n</w:t>
      </w:r>
      <w:r>
        <w:rPr>
          <w:vertAlign w:val="superscript"/>
          <w:lang w:val="fr-FR"/>
        </w:rPr>
        <w:t>o</w:t>
      </w:r>
      <w:r>
        <w:rPr>
          <w:lang w:val="fr-FR"/>
        </w:rPr>
        <w:t> 131 pour les véhicules faisant partie de la même famille de véhicules et couverts par la même homologation du système de freinage. Comme les seules prescriptions communes applicables aux homologations des systèmes de freinage sont celles du Règlement ONU n</w:t>
      </w:r>
      <w:r>
        <w:rPr>
          <w:vertAlign w:val="superscript"/>
          <w:lang w:val="fr-FR"/>
        </w:rPr>
        <w:t>o</w:t>
      </w:r>
      <w:r>
        <w:rPr>
          <w:lang w:val="fr-FR"/>
        </w:rPr>
        <w:t> 13 (Freinage des véhicules lourds), la proposition d’amendements vise à clarifier le fait que les homologations accordées en vertu du Règlement ONU n</w:t>
      </w:r>
      <w:r>
        <w:rPr>
          <w:vertAlign w:val="superscript"/>
          <w:lang w:val="fr-FR"/>
        </w:rPr>
        <w:t>o</w:t>
      </w:r>
      <w:r>
        <w:rPr>
          <w:lang w:val="fr-FR"/>
        </w:rPr>
        <w:t> 152 ne doivent être reconnues au titre du Règlement ONU n</w:t>
      </w:r>
      <w:r>
        <w:rPr>
          <w:vertAlign w:val="superscript"/>
          <w:lang w:val="fr-FR"/>
        </w:rPr>
        <w:t>o</w:t>
      </w:r>
      <w:r>
        <w:rPr>
          <w:lang w:val="fr-FR"/>
        </w:rPr>
        <w:t> 131</w:t>
      </w:r>
      <w:r w:rsidR="003802BF">
        <w:rPr>
          <w:lang w:val="fr-FR"/>
        </w:rPr>
        <w:t> </w:t>
      </w:r>
      <w:r>
        <w:rPr>
          <w:lang w:val="fr-FR"/>
        </w:rPr>
        <w:t>que pour les véhicules des catégories</w:t>
      </w:r>
      <w:r w:rsidR="003802BF">
        <w:rPr>
          <w:lang w:val="fr-FR"/>
        </w:rPr>
        <w:t> </w:t>
      </w:r>
      <w:r>
        <w:rPr>
          <w:lang w:val="fr-FR"/>
        </w:rPr>
        <w:t>M</w:t>
      </w:r>
      <w:r>
        <w:rPr>
          <w:vertAlign w:val="subscript"/>
          <w:lang w:val="fr-FR"/>
        </w:rPr>
        <w:t>2</w:t>
      </w:r>
      <w:r>
        <w:rPr>
          <w:lang w:val="fr-FR"/>
        </w:rPr>
        <w:t>, M</w:t>
      </w:r>
      <w:r>
        <w:rPr>
          <w:vertAlign w:val="subscript"/>
          <w:lang w:val="fr-FR"/>
        </w:rPr>
        <w:t>3</w:t>
      </w:r>
      <w:r>
        <w:rPr>
          <w:lang w:val="fr-FR"/>
        </w:rPr>
        <w:t xml:space="preserve"> ou </w:t>
      </w:r>
      <w:r w:rsidRPr="00CC7844">
        <w:rPr>
          <w:lang w:val="fr-FR"/>
        </w:rPr>
        <w:t>N</w:t>
      </w:r>
      <w:r w:rsidR="00CC7844" w:rsidRPr="00CC7844">
        <w:rPr>
          <w:vertAlign w:val="subscript"/>
          <w:lang w:val="fr-FR"/>
        </w:rPr>
        <w:t>2</w:t>
      </w:r>
      <w:r>
        <w:rPr>
          <w:lang w:val="fr-FR"/>
        </w:rPr>
        <w:t xml:space="preserve"> couverts par la même homologation délivrée en application du Règlement ONU n</w:t>
      </w:r>
      <w:r>
        <w:rPr>
          <w:vertAlign w:val="superscript"/>
          <w:lang w:val="fr-FR"/>
        </w:rPr>
        <w:t>o</w:t>
      </w:r>
      <w:r>
        <w:rPr>
          <w:lang w:val="fr-FR"/>
        </w:rPr>
        <w:t> 13.</w:t>
      </w:r>
    </w:p>
    <w:p w14:paraId="397653A5" w14:textId="52BE1FB6" w:rsidR="008C178D" w:rsidRPr="00AE68A4" w:rsidRDefault="008C178D" w:rsidP="008C178D">
      <w:pPr>
        <w:spacing w:after="120"/>
        <w:ind w:left="1134" w:right="1134"/>
        <w:jc w:val="both"/>
        <w:rPr>
          <w:lang w:val="fr-FR"/>
        </w:rPr>
      </w:pPr>
      <w:r>
        <w:rPr>
          <w:lang w:val="fr-FR"/>
        </w:rPr>
        <w:t>6.</w:t>
      </w:r>
      <w:r>
        <w:rPr>
          <w:lang w:val="fr-FR"/>
        </w:rPr>
        <w:tab/>
        <w:t>L’autre option proposée consiste à abroger les dispositions relatives à la reconnaissance réciproque ajoutées dans la série</w:t>
      </w:r>
      <w:r w:rsidR="003802BF">
        <w:rPr>
          <w:lang w:val="fr-FR"/>
        </w:rPr>
        <w:t> </w:t>
      </w:r>
      <w:r>
        <w:rPr>
          <w:lang w:val="fr-FR"/>
        </w:rPr>
        <w:t>02 d’amendements en supprimant le paragraphe introduit par l’astérisque (*) si ces dispositions ne peuvent pas être justifiées.</w:t>
      </w:r>
    </w:p>
    <w:bookmarkEnd w:id="3"/>
    <w:p w14:paraId="576D3746" w14:textId="79FF4D6F" w:rsidR="00F9573C" w:rsidRPr="008C178D" w:rsidRDefault="008C178D" w:rsidP="008C178D">
      <w:pPr>
        <w:spacing w:before="60"/>
        <w:jc w:val="center"/>
        <w:rPr>
          <w:lang w:val="fr-FR"/>
        </w:rPr>
      </w:pPr>
      <w:r w:rsidRPr="00AE68A4">
        <w:rPr>
          <w:u w:val="single"/>
          <w:lang w:val="fr-FR"/>
        </w:rPr>
        <w:tab/>
      </w:r>
      <w:r w:rsidRPr="00AE68A4">
        <w:rPr>
          <w:u w:val="single"/>
          <w:lang w:val="fr-FR"/>
        </w:rPr>
        <w:tab/>
      </w:r>
      <w:r w:rsidRPr="00AE68A4">
        <w:rPr>
          <w:u w:val="single"/>
          <w:lang w:val="fr-FR"/>
        </w:rPr>
        <w:tab/>
      </w:r>
    </w:p>
    <w:sectPr w:rsidR="00F9573C" w:rsidRPr="008C178D" w:rsidSect="008C17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A6FF" w14:textId="77777777" w:rsidR="00991FDA" w:rsidRDefault="00991FDA" w:rsidP="00F95C08">
      <w:pPr>
        <w:spacing w:line="240" w:lineRule="auto"/>
      </w:pPr>
    </w:p>
  </w:endnote>
  <w:endnote w:type="continuationSeparator" w:id="0">
    <w:p w14:paraId="4AC576FF" w14:textId="77777777" w:rsidR="00991FDA" w:rsidRPr="00AC3823" w:rsidRDefault="00991FDA" w:rsidP="00AC3823">
      <w:pPr>
        <w:pStyle w:val="Pieddepage"/>
      </w:pPr>
    </w:p>
  </w:endnote>
  <w:endnote w:type="continuationNotice" w:id="1">
    <w:p w14:paraId="17D4B443" w14:textId="77777777" w:rsidR="00991FDA" w:rsidRDefault="00991F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05DF" w14:textId="69D1F810" w:rsidR="008C178D" w:rsidRPr="008C178D" w:rsidRDefault="008C178D" w:rsidP="008C178D">
    <w:pPr>
      <w:pStyle w:val="Pieddepage"/>
      <w:tabs>
        <w:tab w:val="right" w:pos="9638"/>
      </w:tabs>
    </w:pPr>
    <w:r w:rsidRPr="008C178D">
      <w:rPr>
        <w:b/>
        <w:sz w:val="18"/>
      </w:rPr>
      <w:fldChar w:fldCharType="begin"/>
    </w:r>
    <w:r w:rsidRPr="008C178D">
      <w:rPr>
        <w:b/>
        <w:sz w:val="18"/>
      </w:rPr>
      <w:instrText xml:space="preserve"> PAGE  \* MERGEFORMAT </w:instrText>
    </w:r>
    <w:r w:rsidRPr="008C178D">
      <w:rPr>
        <w:b/>
        <w:sz w:val="18"/>
      </w:rPr>
      <w:fldChar w:fldCharType="separate"/>
    </w:r>
    <w:r w:rsidRPr="008C178D">
      <w:rPr>
        <w:b/>
        <w:noProof/>
        <w:sz w:val="18"/>
      </w:rPr>
      <w:t>2</w:t>
    </w:r>
    <w:r w:rsidRPr="008C178D">
      <w:rPr>
        <w:b/>
        <w:sz w:val="18"/>
      </w:rPr>
      <w:fldChar w:fldCharType="end"/>
    </w:r>
    <w:r>
      <w:rPr>
        <w:b/>
        <w:sz w:val="18"/>
      </w:rPr>
      <w:tab/>
    </w:r>
    <w:r>
      <w:t>GE.24-06600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E9B2" w14:textId="7A2CD62C" w:rsidR="008C178D" w:rsidRPr="008C178D" w:rsidRDefault="008C178D" w:rsidP="008C178D">
    <w:pPr>
      <w:pStyle w:val="Pieddepage"/>
      <w:tabs>
        <w:tab w:val="right" w:pos="9638"/>
      </w:tabs>
      <w:rPr>
        <w:b/>
        <w:sz w:val="18"/>
      </w:rPr>
    </w:pPr>
    <w:r>
      <w:t>GE.24-06600</w:t>
    </w:r>
    <w:r>
      <w:tab/>
    </w:r>
    <w:r w:rsidRPr="008C178D">
      <w:rPr>
        <w:b/>
        <w:sz w:val="18"/>
      </w:rPr>
      <w:fldChar w:fldCharType="begin"/>
    </w:r>
    <w:r w:rsidRPr="008C178D">
      <w:rPr>
        <w:b/>
        <w:sz w:val="18"/>
      </w:rPr>
      <w:instrText xml:space="preserve"> PAGE  \* MERGEFORMAT </w:instrText>
    </w:r>
    <w:r w:rsidRPr="008C178D">
      <w:rPr>
        <w:b/>
        <w:sz w:val="18"/>
      </w:rPr>
      <w:fldChar w:fldCharType="separate"/>
    </w:r>
    <w:r w:rsidRPr="008C178D">
      <w:rPr>
        <w:b/>
        <w:noProof/>
        <w:sz w:val="18"/>
      </w:rPr>
      <w:t>3</w:t>
    </w:r>
    <w:r w:rsidRPr="008C17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DD4A" w14:textId="2D570196" w:rsidR="007F20FA" w:rsidRPr="008C178D" w:rsidRDefault="008C178D" w:rsidP="008C178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C84AD10" wp14:editId="7DA65F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24-06600  (F)</w:t>
    </w:r>
    <w:r>
      <w:rPr>
        <w:noProof/>
        <w:sz w:val="20"/>
      </w:rPr>
      <w:drawing>
        <wp:anchor distT="0" distB="0" distL="114300" distR="114300" simplePos="0" relativeHeight="251660288" behindDoc="0" locked="0" layoutInCell="1" allowOverlap="1" wp14:anchorId="1C6D4FEE" wp14:editId="63172670">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F">
      <w:rPr>
        <w:sz w:val="20"/>
      </w:rPr>
      <w:t xml:space="preserve">    090524    100524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10EF" w14:textId="77777777" w:rsidR="00991FDA" w:rsidRPr="00AC3823" w:rsidRDefault="00991FDA" w:rsidP="00AC3823">
      <w:pPr>
        <w:pStyle w:val="Pieddepage"/>
        <w:tabs>
          <w:tab w:val="right" w:pos="2155"/>
        </w:tabs>
        <w:spacing w:after="80" w:line="240" w:lineRule="atLeast"/>
        <w:ind w:left="680"/>
        <w:rPr>
          <w:u w:val="single"/>
        </w:rPr>
      </w:pPr>
      <w:r>
        <w:rPr>
          <w:u w:val="single"/>
        </w:rPr>
        <w:tab/>
      </w:r>
    </w:p>
  </w:footnote>
  <w:footnote w:type="continuationSeparator" w:id="0">
    <w:p w14:paraId="1FA784CF" w14:textId="77777777" w:rsidR="00991FDA" w:rsidRPr="00AC3823" w:rsidRDefault="00991FDA" w:rsidP="00AC3823">
      <w:pPr>
        <w:pStyle w:val="Pieddepage"/>
        <w:tabs>
          <w:tab w:val="right" w:pos="2155"/>
        </w:tabs>
        <w:spacing w:after="80" w:line="240" w:lineRule="atLeast"/>
        <w:ind w:left="680"/>
        <w:rPr>
          <w:u w:val="single"/>
        </w:rPr>
      </w:pPr>
      <w:r>
        <w:rPr>
          <w:u w:val="single"/>
        </w:rPr>
        <w:tab/>
      </w:r>
    </w:p>
  </w:footnote>
  <w:footnote w:type="continuationNotice" w:id="1">
    <w:p w14:paraId="7B6FCDB7" w14:textId="77777777" w:rsidR="00991FDA" w:rsidRPr="00AC3823" w:rsidRDefault="00991FDA">
      <w:pPr>
        <w:spacing w:line="240" w:lineRule="auto"/>
        <w:rPr>
          <w:sz w:val="2"/>
          <w:szCs w:val="2"/>
        </w:rPr>
      </w:pPr>
    </w:p>
  </w:footnote>
  <w:footnote w:id="2">
    <w:p w14:paraId="6FB4F4A4" w14:textId="77777777" w:rsidR="008C178D" w:rsidRPr="00AE68A4" w:rsidRDefault="008C178D" w:rsidP="008C178D">
      <w:pPr>
        <w:pStyle w:val="Notedebasdepage"/>
        <w:rPr>
          <w:lang w:val="fr-FR"/>
        </w:rPr>
      </w:pPr>
      <w:r>
        <w:rPr>
          <w:lang w:val="fr-FR"/>
        </w:rPr>
        <w:tab/>
      </w:r>
      <w:r w:rsidRPr="003802BF">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0C1A1877" w14:textId="5900F949" w:rsidR="008C178D" w:rsidRPr="00AE68A4" w:rsidRDefault="008C178D" w:rsidP="008C178D">
      <w:pPr>
        <w:pStyle w:val="Notedebasdepage"/>
        <w:rPr>
          <w:lang w:val="fr-FR"/>
        </w:rPr>
      </w:pPr>
      <w:r>
        <w:rPr>
          <w:lang w:val="fr-FR"/>
        </w:rPr>
        <w:tab/>
      </w:r>
      <w:r>
        <w:rPr>
          <w:rStyle w:val="Appelnotedebasdep"/>
          <w:lang w:val="fr-FR"/>
        </w:rPr>
        <w:footnoteRef/>
      </w:r>
      <w:r>
        <w:rPr>
          <w:lang w:val="fr-FR"/>
        </w:rPr>
        <w:t xml:space="preserve"> </w:t>
      </w:r>
      <w:r>
        <w:rPr>
          <w:lang w:val="fr-FR"/>
        </w:rPr>
        <w:tab/>
        <w:t>Selon les définitions figurant dans la Résolution d’ensemble sur la construction des véhicules (R.E.3), document</w:t>
      </w:r>
      <w:r w:rsidR="003802BF">
        <w:rPr>
          <w:lang w:val="fr-FR"/>
        </w:rPr>
        <w:t> </w:t>
      </w:r>
      <w:r>
        <w:rPr>
          <w:lang w:val="fr-FR"/>
        </w:rPr>
        <w:t>ECE/TRANS/WP</w:t>
      </w:r>
      <w:r w:rsidR="003802BF">
        <w:rPr>
          <w:lang w:val="fr-FR"/>
        </w:rPr>
        <w:t>.</w:t>
      </w:r>
      <w:r>
        <w:rPr>
          <w:lang w:val="fr-FR"/>
        </w:rPr>
        <w:t>29/78/Rev.6, par. 2 (</w:t>
      </w:r>
      <w:hyperlink r:id="rId1" w:history="1">
        <w:r w:rsidR="003802BF" w:rsidRPr="0037179C">
          <w:rPr>
            <w:rStyle w:val="Lienhypertexte"/>
            <w:lang w:val="fr-FR"/>
          </w:rPr>
          <w:t>https://unece.org/transport/vehicle-regulations/wp29/resolutions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437E" w14:textId="424A7DF3" w:rsidR="008C178D" w:rsidRPr="008C178D" w:rsidRDefault="008C178D">
    <w:pPr>
      <w:pStyle w:val="En-tte"/>
    </w:pPr>
    <w:fldSimple w:instr=" TITLE  \* MERGEFORMAT ">
      <w:r>
        <w:t>ECE/TRANS/WP.29/GRVA/2024/18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65DD" w14:textId="221146E8" w:rsidR="008C178D" w:rsidRPr="008C178D" w:rsidRDefault="008C178D" w:rsidP="008C178D">
    <w:pPr>
      <w:pStyle w:val="En-tte"/>
      <w:jc w:val="right"/>
    </w:pPr>
    <w:fldSimple w:instr=" TITLE  \* MERGEFORMAT ">
      <w:r>
        <w:t>ECE/TRANS/WP.29/GRVA/2024/18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90670679">
    <w:abstractNumId w:val="12"/>
  </w:num>
  <w:num w:numId="2" w16cid:durableId="703136434">
    <w:abstractNumId w:val="11"/>
  </w:num>
  <w:num w:numId="3" w16cid:durableId="1723947592">
    <w:abstractNumId w:val="10"/>
  </w:num>
  <w:num w:numId="4" w16cid:durableId="464665458">
    <w:abstractNumId w:val="8"/>
  </w:num>
  <w:num w:numId="5" w16cid:durableId="1451820014">
    <w:abstractNumId w:val="3"/>
  </w:num>
  <w:num w:numId="6" w16cid:durableId="1313562769">
    <w:abstractNumId w:val="2"/>
  </w:num>
  <w:num w:numId="7" w16cid:durableId="655498384">
    <w:abstractNumId w:val="1"/>
  </w:num>
  <w:num w:numId="8" w16cid:durableId="281880805">
    <w:abstractNumId w:val="0"/>
  </w:num>
  <w:num w:numId="9" w16cid:durableId="500199952">
    <w:abstractNumId w:val="9"/>
  </w:num>
  <w:num w:numId="10" w16cid:durableId="882061081">
    <w:abstractNumId w:val="7"/>
  </w:num>
  <w:num w:numId="11" w16cid:durableId="768695351">
    <w:abstractNumId w:val="6"/>
  </w:num>
  <w:num w:numId="12" w16cid:durableId="2052993690">
    <w:abstractNumId w:val="5"/>
  </w:num>
  <w:num w:numId="13" w16cid:durableId="1315833400">
    <w:abstractNumId w:val="4"/>
  </w:num>
  <w:num w:numId="14" w16cid:durableId="393243217">
    <w:abstractNumId w:val="12"/>
  </w:num>
  <w:num w:numId="15" w16cid:durableId="516693595">
    <w:abstractNumId w:val="11"/>
  </w:num>
  <w:num w:numId="16" w16cid:durableId="1681466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D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802BF"/>
    <w:rsid w:val="003916DE"/>
    <w:rsid w:val="00421996"/>
    <w:rsid w:val="00441C3B"/>
    <w:rsid w:val="00446FE5"/>
    <w:rsid w:val="00452396"/>
    <w:rsid w:val="00477EB2"/>
    <w:rsid w:val="004837D8"/>
    <w:rsid w:val="0048488C"/>
    <w:rsid w:val="004E2EED"/>
    <w:rsid w:val="004E468C"/>
    <w:rsid w:val="005505B7"/>
    <w:rsid w:val="00573BE5"/>
    <w:rsid w:val="00586ED3"/>
    <w:rsid w:val="00596AA9"/>
    <w:rsid w:val="0071601D"/>
    <w:rsid w:val="007A62E6"/>
    <w:rsid w:val="007C2953"/>
    <w:rsid w:val="007F20FA"/>
    <w:rsid w:val="0080684C"/>
    <w:rsid w:val="00871C75"/>
    <w:rsid w:val="008776DC"/>
    <w:rsid w:val="00892595"/>
    <w:rsid w:val="008C178D"/>
    <w:rsid w:val="008D5EF9"/>
    <w:rsid w:val="009446C0"/>
    <w:rsid w:val="009705C8"/>
    <w:rsid w:val="00991FDA"/>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C7844"/>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DA90"/>
  <w15:docId w15:val="{39766488-EFA8-4694-B349-AB8E74FB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E Fußnotentext,footnote text,Fußnotentext Ursprung,Footnote Text Char Char Char Char,Footnote Text1,Footnote Text Char Char Char,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E Fußnotentext Car,footnote text Car,Fußnotentext Ursprung Car,Footnote Text Char Char Char Char Car,Footnote Text1 Car,Footnote Text Char Char Char Car,Fußnotentext Char Char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C178D"/>
    <w:rPr>
      <w:rFonts w:ascii="Times New Roman" w:eastAsiaTheme="minorHAnsi" w:hAnsi="Times New Roman" w:cs="Times New Roman"/>
      <w:sz w:val="20"/>
      <w:szCs w:val="20"/>
      <w:lang w:eastAsia="en-US"/>
    </w:rPr>
  </w:style>
  <w:style w:type="character" w:customStyle="1" w:styleId="HChGChar">
    <w:name w:val="_ H _Ch_G Char"/>
    <w:link w:val="HChG"/>
    <w:qFormat/>
    <w:rsid w:val="008C178D"/>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8C178D"/>
    <w:pPr>
      <w:kinsoku/>
      <w:overflowPunct/>
      <w:autoSpaceDE/>
      <w:autoSpaceDN/>
      <w:adjustRightInd/>
      <w:snapToGrid/>
      <w:ind w:left="720"/>
      <w:contextualSpacing/>
    </w:pPr>
    <w:rPr>
      <w:rFonts w:eastAsiaTheme="minorEastAsia"/>
      <w:lang w:val="en-GB"/>
    </w:rPr>
  </w:style>
  <w:style w:type="character" w:customStyle="1" w:styleId="H1GChar">
    <w:name w:val="_ H_1_G Char"/>
    <w:link w:val="H1G"/>
    <w:rsid w:val="008C178D"/>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38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E8632-3FCD-40D6-8B20-0A18B8AFBBDC}"/>
</file>

<file path=customXml/itemProps2.xml><?xml version="1.0" encoding="utf-8"?>
<ds:datastoreItem xmlns:ds="http://schemas.openxmlformats.org/officeDocument/2006/customXml" ds:itemID="{A222C24C-201B-4E65-B649-FF3E333F87CD}"/>
</file>

<file path=docProps/app.xml><?xml version="1.0" encoding="utf-8"?>
<Properties xmlns="http://schemas.openxmlformats.org/officeDocument/2006/extended-properties" xmlns:vt="http://schemas.openxmlformats.org/officeDocument/2006/docPropsVTypes">
  <Template>ECE_TRANS.dotm</Template>
  <TotalTime>0</TotalTime>
  <Pages>3</Pages>
  <Words>873</Words>
  <Characters>6114</Characters>
  <Application>Microsoft Office Word</Application>
  <DocSecurity>0</DocSecurity>
  <Lines>509</Lines>
  <Paragraphs>279</Paragraphs>
  <ScaleCrop>false</ScaleCrop>
  <HeadingPairs>
    <vt:vector size="2" baseType="variant">
      <vt:variant>
        <vt:lpstr>Titre</vt:lpstr>
      </vt:variant>
      <vt:variant>
        <vt:i4>1</vt:i4>
      </vt:variant>
    </vt:vector>
  </HeadingPairs>
  <TitlesOfParts>
    <vt:vector size="1" baseType="lpstr">
      <vt:lpstr>ECE/TRANS/WP.29/GRVA/2024/18</vt:lpstr>
    </vt:vector>
  </TitlesOfParts>
  <Company>DCM</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ECE/TRANS/WP.29/GRVA/2024/18</dc:title>
  <dc:subject/>
  <dc:creator>Sandrine CLERE</dc:creator>
  <cp:keywords/>
  <cp:lastModifiedBy>Sandrine Clere</cp:lastModifiedBy>
  <cp:revision>2</cp:revision>
  <cp:lastPrinted>2014-05-14T10:59:00Z</cp:lastPrinted>
  <dcterms:created xsi:type="dcterms:W3CDTF">2024-05-10T07:28:00Z</dcterms:created>
  <dcterms:modified xsi:type="dcterms:W3CDTF">2024-05-10T07:28:00Z</dcterms:modified>
</cp:coreProperties>
</file>