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9D71" w14:textId="3D5108DD" w:rsidR="00A82320" w:rsidRPr="00A82320" w:rsidRDefault="00A82320" w:rsidP="00A82320">
      <w:pPr>
        <w:widowControl/>
        <w:suppressAutoHyphens/>
        <w:overflowPunct/>
        <w:autoSpaceDE/>
        <w:autoSpaceDN/>
        <w:adjustRightInd/>
        <w:snapToGrid w:val="0"/>
        <w:ind w:left="5103" w:right="-286" w:firstLine="0"/>
        <w:jc w:val="left"/>
        <w:textAlignment w:val="auto"/>
        <w:outlineLvl w:val="0"/>
        <w:rPr>
          <w:rFonts w:ascii="Arial" w:eastAsia="Arial" w:hAnsi="Arial"/>
          <w:lang w:val="en-GB" w:eastAsia="de-DE"/>
        </w:rPr>
      </w:pPr>
      <w:r w:rsidRPr="00A82320">
        <w:rPr>
          <w:rFonts w:ascii="Arial" w:hAnsi="Arial"/>
          <w:noProof/>
          <w:lang w:val="en-GB" w:eastAsia="de-DE"/>
        </w:rPr>
        <w:drawing>
          <wp:anchor distT="0" distB="0" distL="114300" distR="114300" simplePos="0" relativeHeight="251659264" behindDoc="0" locked="0" layoutInCell="1" allowOverlap="1" wp14:anchorId="6321924B" wp14:editId="19F61FE4">
            <wp:simplePos x="0" y="0"/>
            <wp:positionH relativeFrom="column">
              <wp:posOffset>0</wp:posOffset>
            </wp:positionH>
            <wp:positionV relativeFrom="paragraph">
              <wp:posOffset>-68580</wp:posOffset>
            </wp:positionV>
            <wp:extent cx="1713865" cy="604520"/>
            <wp:effectExtent l="0" t="0" r="635" b="5080"/>
            <wp:wrapNone/>
            <wp:docPr id="2" name="Image 2"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symbole, logo&#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82320">
        <w:rPr>
          <w:rFonts w:ascii="Arial" w:hAnsi="Arial"/>
          <w:lang w:val="en-GB" w:eastAsia="de-DE"/>
        </w:rPr>
        <w:t>CCNR-ZKR/ADN/WP.15/AC.2/2024/</w:t>
      </w:r>
      <w:r w:rsidR="00D22348">
        <w:rPr>
          <w:rFonts w:ascii="Arial" w:hAnsi="Arial"/>
          <w:lang w:val="en-GB" w:eastAsia="de-DE"/>
        </w:rPr>
        <w:t>35</w:t>
      </w:r>
    </w:p>
    <w:p w14:paraId="6B08D243" w14:textId="77777777" w:rsidR="00A82320" w:rsidRPr="00A82320" w:rsidRDefault="00A82320" w:rsidP="00A82320">
      <w:pPr>
        <w:widowControl/>
        <w:tabs>
          <w:tab w:val="left" w:pos="5670"/>
        </w:tabs>
        <w:overflowPunct/>
        <w:autoSpaceDE/>
        <w:autoSpaceDN/>
        <w:adjustRightInd/>
        <w:snapToGrid w:val="0"/>
        <w:spacing w:after="60"/>
        <w:ind w:left="5103" w:firstLine="0"/>
        <w:jc w:val="left"/>
        <w:textAlignment w:val="auto"/>
        <w:rPr>
          <w:rFonts w:ascii="Arial" w:hAnsi="Arial"/>
          <w:sz w:val="16"/>
          <w:lang w:eastAsia="de-DE"/>
        </w:rPr>
      </w:pPr>
      <w:r w:rsidRPr="00A82320">
        <w:rPr>
          <w:rFonts w:ascii="Arial" w:hAnsi="Arial"/>
          <w:sz w:val="16"/>
          <w:lang w:eastAsia="de-DE"/>
        </w:rPr>
        <w:t>Allgemeine Verteilung</w:t>
      </w:r>
    </w:p>
    <w:p w14:paraId="4C7748DA" w14:textId="1FD7341F" w:rsidR="00A82320" w:rsidRPr="00A82320" w:rsidRDefault="00D22348" w:rsidP="00A82320">
      <w:pPr>
        <w:widowControl/>
        <w:tabs>
          <w:tab w:val="right" w:pos="3856"/>
          <w:tab w:val="left" w:pos="5670"/>
        </w:tabs>
        <w:overflowPunct/>
        <w:autoSpaceDE/>
        <w:autoSpaceDN/>
        <w:adjustRightInd/>
        <w:snapToGrid w:val="0"/>
        <w:ind w:left="5103" w:firstLine="0"/>
        <w:jc w:val="left"/>
        <w:textAlignment w:val="auto"/>
        <w:rPr>
          <w:rFonts w:ascii="Arial" w:hAnsi="Arial"/>
          <w:lang w:eastAsia="de-DE"/>
        </w:rPr>
      </w:pPr>
      <w:r>
        <w:rPr>
          <w:rFonts w:ascii="Arial" w:hAnsi="Arial"/>
          <w:lang w:eastAsia="de-DE"/>
        </w:rPr>
        <w:t>29</w:t>
      </w:r>
      <w:r w:rsidR="00A82320" w:rsidRPr="00A82320">
        <w:rPr>
          <w:rFonts w:ascii="Arial" w:hAnsi="Arial"/>
          <w:lang w:eastAsia="de-DE"/>
        </w:rPr>
        <w:t xml:space="preserve">. </w:t>
      </w:r>
      <w:r>
        <w:rPr>
          <w:rFonts w:ascii="Arial" w:hAnsi="Arial"/>
          <w:lang w:eastAsia="de-DE"/>
        </w:rPr>
        <w:t>April</w:t>
      </w:r>
      <w:r w:rsidR="00A82320" w:rsidRPr="00A82320">
        <w:rPr>
          <w:rFonts w:ascii="Arial" w:hAnsi="Arial"/>
          <w:lang w:eastAsia="de-DE"/>
        </w:rPr>
        <w:t xml:space="preserve"> 202</w:t>
      </w:r>
      <w:r w:rsidR="009763A5">
        <w:rPr>
          <w:rFonts w:ascii="Arial" w:hAnsi="Arial"/>
          <w:lang w:eastAsia="de-DE"/>
        </w:rPr>
        <w:t>4</w:t>
      </w:r>
    </w:p>
    <w:p w14:paraId="1732BE6C" w14:textId="6484DDDB" w:rsidR="00A82320" w:rsidRPr="00A82320" w:rsidRDefault="00A82320" w:rsidP="00A82320">
      <w:pPr>
        <w:widowControl/>
        <w:tabs>
          <w:tab w:val="right" w:pos="3856"/>
          <w:tab w:val="left" w:pos="5670"/>
        </w:tabs>
        <w:overflowPunct/>
        <w:autoSpaceDE/>
        <w:autoSpaceDN/>
        <w:adjustRightInd/>
        <w:snapToGrid w:val="0"/>
        <w:ind w:left="5103" w:right="565" w:firstLine="0"/>
        <w:jc w:val="left"/>
        <w:textAlignment w:val="auto"/>
        <w:rPr>
          <w:rFonts w:ascii="Arial" w:eastAsia="Arial" w:hAnsi="Arial"/>
          <w:sz w:val="16"/>
        </w:rPr>
      </w:pPr>
      <w:proofErr w:type="spellStart"/>
      <w:r w:rsidRPr="00A82320">
        <w:rPr>
          <w:rFonts w:ascii="Arial" w:hAnsi="Arial"/>
          <w:sz w:val="16"/>
        </w:rPr>
        <w:t>Or</w:t>
      </w:r>
      <w:proofErr w:type="spellEnd"/>
      <w:r w:rsidRPr="00A82320">
        <w:rPr>
          <w:rFonts w:ascii="Arial" w:hAnsi="Arial"/>
          <w:sz w:val="16"/>
        </w:rPr>
        <w:t xml:space="preserve">. </w:t>
      </w:r>
      <w:r w:rsidR="009763A5">
        <w:rPr>
          <w:rFonts w:ascii="Arial" w:hAnsi="Arial"/>
          <w:sz w:val="16"/>
        </w:rPr>
        <w:t>DEUTSCH</w:t>
      </w:r>
    </w:p>
    <w:p w14:paraId="10BFE5F1" w14:textId="77777777" w:rsidR="00A82320" w:rsidRPr="00A82320" w:rsidRDefault="00A82320" w:rsidP="00A82320">
      <w:pPr>
        <w:widowControl/>
        <w:overflowPunct/>
        <w:autoSpaceDE/>
        <w:autoSpaceDN/>
        <w:adjustRightInd/>
        <w:snapToGrid w:val="0"/>
        <w:ind w:left="0" w:firstLine="0"/>
        <w:jc w:val="left"/>
        <w:textAlignment w:val="auto"/>
        <w:rPr>
          <w:rFonts w:ascii="Arial" w:hAnsi="Arial" w:cs="Arial"/>
          <w:sz w:val="16"/>
          <w:szCs w:val="24"/>
          <w:lang w:eastAsia="de-DE"/>
        </w:rPr>
      </w:pPr>
    </w:p>
    <w:p w14:paraId="2CE50493" w14:textId="77777777" w:rsidR="00A82320" w:rsidRPr="00A82320" w:rsidRDefault="00A82320" w:rsidP="00A82320">
      <w:pPr>
        <w:widowControl/>
        <w:tabs>
          <w:tab w:val="left" w:pos="2977"/>
        </w:tabs>
        <w:overflowPunct/>
        <w:autoSpaceDE/>
        <w:autoSpaceDN/>
        <w:adjustRightInd/>
        <w:snapToGrid w:val="0"/>
        <w:ind w:left="3958" w:firstLine="0"/>
        <w:jc w:val="left"/>
        <w:textAlignment w:val="auto"/>
        <w:rPr>
          <w:rFonts w:ascii="Arial" w:hAnsi="Arial"/>
          <w:sz w:val="16"/>
        </w:rPr>
      </w:pPr>
      <w:r w:rsidRPr="00A82320">
        <w:rPr>
          <w:rFonts w:ascii="Arial" w:hAnsi="Arial"/>
          <w:sz w:val="16"/>
        </w:rPr>
        <w:t>GEMEINSAME EXPERTENTAGUNG FÜR DIE DEM ÜBEREINKOMMEN ÜBER DIE INTERNATIONALE BEFÖRDERUNG VON GEFÄHRLICHEN GÜTERN AUF BINNENWASSERSTRAẞEN (ADN) BEIGEFÜGTE VERORDNUNG (SICHERHEITSAUSSCHUSS)</w:t>
      </w:r>
    </w:p>
    <w:p w14:paraId="68ED53D1" w14:textId="30D67ADF" w:rsidR="00A82320" w:rsidRPr="00A82320" w:rsidRDefault="00A82320" w:rsidP="00A82320">
      <w:pPr>
        <w:widowControl/>
        <w:tabs>
          <w:tab w:val="left" w:pos="2977"/>
        </w:tabs>
        <w:overflowPunct/>
        <w:autoSpaceDE/>
        <w:autoSpaceDN/>
        <w:adjustRightInd/>
        <w:snapToGrid w:val="0"/>
        <w:ind w:left="3960" w:firstLine="0"/>
        <w:jc w:val="left"/>
        <w:textAlignment w:val="auto"/>
        <w:rPr>
          <w:rFonts w:ascii="Arial" w:hAnsi="Arial"/>
          <w:sz w:val="16"/>
        </w:rPr>
      </w:pPr>
      <w:r w:rsidRPr="00A82320">
        <w:rPr>
          <w:rFonts w:ascii="Arial" w:hAnsi="Arial"/>
          <w:sz w:val="16"/>
        </w:rPr>
        <w:t xml:space="preserve">(44. Tagung, Genf, </w:t>
      </w:r>
      <w:r w:rsidR="009763A5">
        <w:rPr>
          <w:rFonts w:ascii="Arial" w:hAnsi="Arial"/>
          <w:sz w:val="16"/>
        </w:rPr>
        <w:t>26</w:t>
      </w:r>
      <w:r w:rsidRPr="00A82320">
        <w:rPr>
          <w:rFonts w:ascii="Arial" w:hAnsi="Arial"/>
          <w:sz w:val="16"/>
        </w:rPr>
        <w:t xml:space="preserve">. – </w:t>
      </w:r>
      <w:r w:rsidR="009763A5">
        <w:rPr>
          <w:rFonts w:ascii="Arial" w:hAnsi="Arial"/>
          <w:sz w:val="16"/>
        </w:rPr>
        <w:t>30</w:t>
      </w:r>
      <w:r w:rsidRPr="00A82320">
        <w:rPr>
          <w:rFonts w:ascii="Arial" w:hAnsi="Arial"/>
          <w:sz w:val="16"/>
        </w:rPr>
        <w:t>. August 2024)</w:t>
      </w:r>
    </w:p>
    <w:p w14:paraId="73B55FA6" w14:textId="266D8B89" w:rsidR="00A82320" w:rsidRPr="00A82320" w:rsidRDefault="00A82320" w:rsidP="00A82320">
      <w:pPr>
        <w:widowControl/>
        <w:tabs>
          <w:tab w:val="left" w:pos="2977"/>
        </w:tabs>
        <w:overflowPunct/>
        <w:autoSpaceDE/>
        <w:autoSpaceDN/>
        <w:adjustRightInd/>
        <w:snapToGrid w:val="0"/>
        <w:ind w:left="3960" w:firstLine="0"/>
        <w:jc w:val="left"/>
        <w:textAlignment w:val="auto"/>
        <w:rPr>
          <w:rFonts w:ascii="Arial" w:hAnsi="Arial"/>
          <w:sz w:val="16"/>
          <w:lang w:eastAsia="en-US"/>
        </w:rPr>
      </w:pPr>
      <w:r w:rsidRPr="00A82320">
        <w:rPr>
          <w:rFonts w:ascii="Arial" w:hAnsi="Arial"/>
          <w:sz w:val="16"/>
          <w:lang w:eastAsia="en-US"/>
        </w:rPr>
        <w:t xml:space="preserve">Punkt </w:t>
      </w:r>
      <w:r w:rsidR="00D22348">
        <w:rPr>
          <w:rFonts w:ascii="Arial" w:hAnsi="Arial"/>
          <w:sz w:val="16"/>
          <w:lang w:eastAsia="en-US"/>
        </w:rPr>
        <w:t>4 b</w:t>
      </w:r>
      <w:r w:rsidRPr="00A82320">
        <w:rPr>
          <w:rFonts w:ascii="Arial" w:hAnsi="Arial"/>
          <w:sz w:val="16"/>
          <w:lang w:eastAsia="en-US"/>
        </w:rPr>
        <w:t>) der vorläufigen Tagesordnung</w:t>
      </w:r>
    </w:p>
    <w:p w14:paraId="102364A2" w14:textId="77777777" w:rsidR="00A82320" w:rsidRPr="00A82320" w:rsidRDefault="00A82320" w:rsidP="00A82320">
      <w:pPr>
        <w:widowControl/>
        <w:overflowPunct/>
        <w:autoSpaceDE/>
        <w:autoSpaceDN/>
        <w:adjustRightInd/>
        <w:spacing w:after="120"/>
        <w:ind w:left="3958" w:firstLine="11"/>
        <w:jc w:val="left"/>
        <w:textAlignment w:val="auto"/>
        <w:rPr>
          <w:rFonts w:ascii="Arial" w:hAnsi="Arial"/>
          <w:b/>
          <w:sz w:val="14"/>
          <w:lang w:eastAsia="en-US"/>
        </w:rPr>
      </w:pPr>
      <w:r w:rsidRPr="00A82320">
        <w:rPr>
          <w:rFonts w:ascii="Arial" w:hAnsi="Arial"/>
          <w:b/>
          <w:sz w:val="14"/>
          <w:lang w:eastAsia="en-US"/>
        </w:rPr>
        <w:t>Vorschläge für Änderungen der dem ADN beigefügten Verordnung: Weitere Änderungsvorschläge</w:t>
      </w:r>
    </w:p>
    <w:p w14:paraId="38D8621C" w14:textId="77777777" w:rsidR="00A82320" w:rsidRPr="00A82320" w:rsidRDefault="00A82320" w:rsidP="00A82320">
      <w:pPr>
        <w:pStyle w:val="HChG"/>
        <w:spacing w:line="240" w:lineRule="atLeast"/>
        <w:ind w:right="142"/>
        <w:rPr>
          <w:sz w:val="32"/>
        </w:rPr>
      </w:pPr>
      <w:r w:rsidRPr="00A82320">
        <w:rPr>
          <w:sz w:val="32"/>
        </w:rPr>
        <w:tab/>
      </w:r>
      <w:r w:rsidRPr="00A82320">
        <w:rPr>
          <w:sz w:val="32"/>
        </w:rPr>
        <w:tab/>
        <w:t>Folgeänderungen zu Füllungsgrad und Füllfaktor</w:t>
      </w:r>
    </w:p>
    <w:p w14:paraId="60389C0B" w14:textId="77777777" w:rsidR="00A82320" w:rsidRPr="00A82320" w:rsidRDefault="00A82320" w:rsidP="00A82320">
      <w:pPr>
        <w:spacing w:after="120"/>
        <w:ind w:firstLine="0"/>
        <w:jc w:val="left"/>
        <w:rPr>
          <w:b/>
          <w:sz w:val="24"/>
        </w:rPr>
      </w:pPr>
      <w:r w:rsidRPr="00A82320">
        <w:rPr>
          <w:b/>
          <w:sz w:val="24"/>
        </w:rPr>
        <w:t>Eingereicht von Österreich</w:t>
      </w:r>
      <w:r w:rsidRPr="00A82320">
        <w:rPr>
          <w:b/>
          <w:sz w:val="24"/>
        </w:rPr>
        <w:footnoteReference w:customMarkFollows="1" w:id="1"/>
        <w:t xml:space="preserve">*, </w:t>
      </w:r>
      <w:r w:rsidRPr="00A82320">
        <w:rPr>
          <w:b/>
          <w:sz w:val="24"/>
        </w:rPr>
        <w:footnoteReference w:customMarkFollows="1" w:id="2"/>
        <w:t>**</w:t>
      </w:r>
    </w:p>
    <w:p w14:paraId="76C743F6" w14:textId="77777777" w:rsidR="00A82320" w:rsidRPr="00A82320" w:rsidRDefault="00A82320" w:rsidP="00A82320">
      <w:pPr>
        <w:widowControl/>
        <w:suppressAutoHyphens/>
        <w:overflowPunct/>
        <w:autoSpaceDE/>
        <w:autoSpaceDN/>
        <w:adjustRightInd/>
        <w:spacing w:line="360" w:lineRule="auto"/>
        <w:ind w:left="0" w:firstLine="0"/>
        <w:jc w:val="left"/>
        <w:textAlignment w:val="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A82320" w:rsidRPr="00A82320" w14:paraId="29855134" w14:textId="77777777" w:rsidTr="000B74CE">
        <w:tc>
          <w:tcPr>
            <w:tcW w:w="8387" w:type="dxa"/>
            <w:tcBorders>
              <w:top w:val="single" w:sz="4" w:space="0" w:color="auto"/>
              <w:left w:val="single" w:sz="4" w:space="0" w:color="auto"/>
              <w:bottom w:val="single" w:sz="4" w:space="0" w:color="auto"/>
              <w:right w:val="single" w:sz="4" w:space="0" w:color="auto"/>
            </w:tcBorders>
            <w:hideMark/>
          </w:tcPr>
          <w:p w14:paraId="558718C5" w14:textId="77777777" w:rsidR="00A82320" w:rsidRPr="009C439A" w:rsidRDefault="00A82320" w:rsidP="000B74CE">
            <w:pPr>
              <w:widowControl/>
              <w:suppressAutoHyphens/>
              <w:overflowPunct/>
              <w:autoSpaceDE/>
              <w:autoSpaceDN/>
              <w:adjustRightInd/>
              <w:spacing w:before="120" w:after="120" w:line="240" w:lineRule="atLeast"/>
              <w:ind w:left="0" w:firstLine="0"/>
              <w:jc w:val="left"/>
              <w:textAlignment w:val="auto"/>
              <w:outlineLvl w:val="1"/>
              <w:rPr>
                <w:i/>
                <w:iCs/>
                <w:sz w:val="24"/>
              </w:rPr>
            </w:pPr>
            <w:r w:rsidRPr="00A82320">
              <w:rPr>
                <w:b/>
                <w:bCs/>
                <w:i/>
                <w:iCs/>
                <w:sz w:val="24"/>
                <w:u w:val="single"/>
              </w:rPr>
              <w:br w:type="page"/>
            </w:r>
            <w:r w:rsidRPr="009C439A">
              <w:rPr>
                <w:i/>
                <w:iCs/>
                <w:sz w:val="24"/>
              </w:rPr>
              <w:t>Zusammenfassung</w:t>
            </w:r>
          </w:p>
          <w:p w14:paraId="3ACE26B1" w14:textId="1742A1DB" w:rsidR="00A82320" w:rsidRPr="00A82320" w:rsidRDefault="00A82320" w:rsidP="000B74CE">
            <w:pPr>
              <w:widowControl/>
              <w:suppressAutoHyphens/>
              <w:overflowPunct/>
              <w:autoSpaceDE/>
              <w:autoSpaceDN/>
              <w:adjustRightInd/>
              <w:spacing w:line="240" w:lineRule="atLeast"/>
              <w:ind w:left="2892" w:hanging="2858"/>
              <w:textAlignment w:val="auto"/>
            </w:pPr>
            <w:r w:rsidRPr="00A82320">
              <w:rPr>
                <w:b/>
              </w:rPr>
              <w:t>Analytische Zusammenfassung</w:t>
            </w:r>
            <w:r w:rsidRPr="00A82320">
              <w:t>:</w:t>
            </w:r>
            <w:r w:rsidRPr="00A82320">
              <w:tab/>
              <w:t xml:space="preserve">Mit Dokument </w:t>
            </w:r>
            <w:r w:rsidR="00D22348" w:rsidRPr="00D22348">
              <w:t>CCNR-ZKR/ADN</w:t>
            </w:r>
            <w:r w:rsidR="00D22348">
              <w:t>/</w:t>
            </w:r>
            <w:r w:rsidRPr="00A82320">
              <w:t>WP.15/AC.2/2024/30 wurden Änderungen aus der Gemeinsamen Tagung und WP.15 vorgelegt. Unter anderem werden die Begriffsbestimmungen für „Füllungsgrad“ (für feste und flüssige Stoffe) und für „Füllfaktor“ (für Gase) in das ADN übernommen. Das ADN enthält jedoch auch eine Begriffsbestimmung für „Füllungsgrad (Ladetanks)“, die als Folge einer Überarbeitung bedarf.</w:t>
            </w:r>
          </w:p>
          <w:p w14:paraId="11AF2813" w14:textId="77777777" w:rsidR="00A82320" w:rsidRPr="00A82320" w:rsidRDefault="00A82320" w:rsidP="000B74CE">
            <w:pPr>
              <w:widowControl/>
              <w:suppressAutoHyphens/>
              <w:overflowPunct/>
              <w:autoSpaceDE/>
              <w:autoSpaceDN/>
              <w:adjustRightInd/>
              <w:spacing w:line="240" w:lineRule="atLeast"/>
              <w:ind w:left="2892" w:hanging="2858"/>
              <w:textAlignment w:val="auto"/>
            </w:pPr>
            <w:r w:rsidRPr="00A82320">
              <w:tab/>
              <w:t>Bei allen Fundstellen der genannten Begriffe wäre klarzustellen, welcher der neuen Begriffe tatsächlich gemeint ist.</w:t>
            </w:r>
          </w:p>
          <w:p w14:paraId="07A1173B" w14:textId="66267454" w:rsidR="00A82320" w:rsidRPr="00A82320" w:rsidRDefault="00A82320" w:rsidP="000B74CE">
            <w:pPr>
              <w:widowControl/>
              <w:suppressAutoHyphens/>
              <w:overflowPunct/>
              <w:autoSpaceDE/>
              <w:autoSpaceDN/>
              <w:adjustRightInd/>
              <w:spacing w:line="240" w:lineRule="atLeast"/>
              <w:ind w:left="2892" w:hanging="2858"/>
              <w:textAlignment w:val="auto"/>
            </w:pPr>
            <w:r w:rsidRPr="00A82320">
              <w:tab/>
              <w:t xml:space="preserve">Dieses Dokument beruht auf dem </w:t>
            </w:r>
            <w:r w:rsidR="00D22348">
              <w:t xml:space="preserve">informellen Dokument </w:t>
            </w:r>
            <w:r w:rsidRPr="00A82320">
              <w:t xml:space="preserve">INF 9 der </w:t>
            </w:r>
            <w:r w:rsidR="00D22348">
              <w:t>43. Sitzung</w:t>
            </w:r>
            <w:r w:rsidRPr="00A82320">
              <w:t xml:space="preserve"> und den Ergebnissen der Besprechung im </w:t>
            </w:r>
            <w:r w:rsidR="00D22348">
              <w:t xml:space="preserve">ADN </w:t>
            </w:r>
            <w:r w:rsidRPr="00A82320">
              <w:t>Sicherheitsausschuss.</w:t>
            </w:r>
          </w:p>
          <w:p w14:paraId="4A04D9FF" w14:textId="77777777" w:rsidR="00A82320" w:rsidRPr="00A82320" w:rsidRDefault="00A82320" w:rsidP="000B74CE">
            <w:pPr>
              <w:widowControl/>
              <w:suppressAutoHyphens/>
              <w:overflowPunct/>
              <w:autoSpaceDE/>
              <w:autoSpaceDN/>
              <w:adjustRightInd/>
              <w:spacing w:before="120" w:line="240" w:lineRule="atLeast"/>
              <w:ind w:left="2892" w:hanging="2858"/>
              <w:textAlignment w:val="auto"/>
            </w:pPr>
            <w:r w:rsidRPr="00A82320">
              <w:rPr>
                <w:b/>
              </w:rPr>
              <w:t>Zu ergreifende Maßnahmen:</w:t>
            </w:r>
            <w:r w:rsidRPr="00A82320">
              <w:tab/>
              <w:t>Beschluss der Änderungen für die Ausgabe 2025.</w:t>
            </w:r>
          </w:p>
          <w:p w14:paraId="372BE1E1" w14:textId="47C1DCAD" w:rsidR="00A82320" w:rsidRPr="00A82320" w:rsidRDefault="00A82320" w:rsidP="00D22348">
            <w:pPr>
              <w:widowControl/>
              <w:suppressAutoHyphens/>
              <w:overflowPunct/>
              <w:autoSpaceDE/>
              <w:autoSpaceDN/>
              <w:adjustRightInd/>
              <w:spacing w:before="120" w:after="120" w:line="240" w:lineRule="atLeast"/>
              <w:ind w:left="2892" w:hanging="2858"/>
              <w:jc w:val="left"/>
              <w:textAlignment w:val="auto"/>
            </w:pPr>
            <w:r w:rsidRPr="00A82320">
              <w:rPr>
                <w:b/>
              </w:rPr>
              <w:t>Verbundene Dokumente</w:t>
            </w:r>
            <w:r w:rsidRPr="00A82320">
              <w:t>:</w:t>
            </w:r>
            <w:r w:rsidRPr="00A82320">
              <w:tab/>
            </w:r>
            <w:r w:rsidR="00D22348" w:rsidRPr="00D22348">
              <w:t>CCNR-ZKR/ADN</w:t>
            </w:r>
            <w:r w:rsidR="00D22348">
              <w:t>/</w:t>
            </w:r>
            <w:r w:rsidRPr="00A82320">
              <w:t>WP.15/AC.2/2024/30</w:t>
            </w:r>
            <w:r w:rsidRPr="00A82320">
              <w:br/>
            </w:r>
            <w:r w:rsidR="00D22348">
              <w:t xml:space="preserve">Informelles Dokument </w:t>
            </w:r>
            <w:r w:rsidRPr="00A82320">
              <w:t>INF.11</w:t>
            </w:r>
            <w:r w:rsidR="00D22348">
              <w:t xml:space="preserve"> der 42. Sitzung</w:t>
            </w:r>
            <w:r w:rsidRPr="00A82320">
              <w:br/>
            </w:r>
            <w:r w:rsidR="00D22348">
              <w:t xml:space="preserve">Informelles Dokument </w:t>
            </w:r>
            <w:r w:rsidRPr="00A82320">
              <w:t>INF.9</w:t>
            </w:r>
            <w:r w:rsidR="00D22348">
              <w:t xml:space="preserve"> der 43. Sitzung</w:t>
            </w:r>
          </w:p>
        </w:tc>
      </w:tr>
    </w:tbl>
    <w:p w14:paraId="6FE02D94" w14:textId="6B0A5E20" w:rsidR="009C439A" w:rsidRDefault="009C439A">
      <w:pPr>
        <w:widowControl/>
        <w:overflowPunct/>
        <w:autoSpaceDE/>
        <w:autoSpaceDN/>
        <w:adjustRightInd/>
        <w:ind w:left="0" w:firstLine="0"/>
        <w:jc w:val="left"/>
        <w:textAlignment w:val="auto"/>
        <w:rPr>
          <w:b/>
          <w:bCs/>
          <w:sz w:val="28"/>
          <w:szCs w:val="28"/>
        </w:rPr>
      </w:pPr>
    </w:p>
    <w:p w14:paraId="7A88F0E8" w14:textId="733FC11B" w:rsidR="00A82320" w:rsidRPr="00D22348" w:rsidRDefault="00A82320" w:rsidP="00677582">
      <w:pPr>
        <w:widowControl/>
        <w:suppressAutoHyphens/>
        <w:overflowPunct/>
        <w:autoSpaceDE/>
        <w:autoSpaceDN/>
        <w:adjustRightInd/>
        <w:spacing w:line="240" w:lineRule="atLeast"/>
        <w:ind w:left="1418" w:hanging="284"/>
        <w:jc w:val="left"/>
        <w:textAlignment w:val="auto"/>
        <w:outlineLvl w:val="2"/>
        <w:rPr>
          <w:b/>
          <w:bCs/>
          <w:sz w:val="28"/>
          <w:szCs w:val="28"/>
        </w:rPr>
      </w:pPr>
      <w:r w:rsidRPr="00D22348">
        <w:rPr>
          <w:b/>
          <w:bCs/>
          <w:sz w:val="28"/>
          <w:szCs w:val="28"/>
        </w:rPr>
        <w:t>Einleitung</w:t>
      </w:r>
    </w:p>
    <w:p w14:paraId="728EFD3F" w14:textId="0C453DC0" w:rsidR="00A82320" w:rsidRPr="00A82320" w:rsidRDefault="00A82320" w:rsidP="00A82320">
      <w:pPr>
        <w:widowControl/>
        <w:tabs>
          <w:tab w:val="left" w:pos="1701"/>
        </w:tabs>
        <w:suppressAutoHyphens/>
        <w:overflowPunct/>
        <w:autoSpaceDE/>
        <w:autoSpaceDN/>
        <w:adjustRightInd/>
        <w:spacing w:before="240" w:line="240" w:lineRule="atLeast"/>
        <w:ind w:firstLine="0"/>
        <w:textAlignment w:val="auto"/>
        <w:outlineLvl w:val="2"/>
      </w:pPr>
      <w:r w:rsidRPr="00A82320">
        <w:t>1.</w:t>
      </w:r>
      <w:r w:rsidRPr="00A82320">
        <w:tab/>
        <w:t xml:space="preserve">Mit Dokument </w:t>
      </w:r>
      <w:r w:rsidR="00D22348" w:rsidRPr="00D22348">
        <w:t>CCNR-ZKR/ADN</w:t>
      </w:r>
      <w:r w:rsidR="00D22348">
        <w:t>/</w:t>
      </w:r>
      <w:r w:rsidRPr="00A82320">
        <w:t>AC.2/2024/30 wurden Änderungen aus der Gemeinsamen Tagung und WP.15 vorgelegt. Unter anderem enthält dieses Dokument Begriffsbestimmungen für „Füllungsgrad“ (für feste und flüssige Stoffe) und für „Füllfaktor“ (für Gase), die in das ADN übernommen werden sollen. Da diese Begriffe in den harmonisierten Teilen des ADN und auch in den referenzierten Teilen 4 und 6 des ADR und RID verwendet werden, ist die Übernahme dieser Begriffsbestimmungen in das ADN erforderlich.</w:t>
      </w:r>
    </w:p>
    <w:p w14:paraId="2D8A0CF4" w14:textId="77777777" w:rsidR="00D16B38" w:rsidRDefault="00D16B38">
      <w:pPr>
        <w:widowControl/>
        <w:overflowPunct/>
        <w:autoSpaceDE/>
        <w:autoSpaceDN/>
        <w:adjustRightInd/>
        <w:ind w:left="0" w:firstLine="0"/>
        <w:jc w:val="left"/>
        <w:textAlignment w:val="auto"/>
      </w:pPr>
      <w:r>
        <w:br w:type="page"/>
      </w:r>
    </w:p>
    <w:p w14:paraId="0D447385" w14:textId="65489BB3" w:rsidR="00A82320" w:rsidRPr="00171A35" w:rsidRDefault="00C16C6C" w:rsidP="00A82320">
      <w:pPr>
        <w:widowControl/>
        <w:tabs>
          <w:tab w:val="left" w:pos="1701"/>
        </w:tabs>
        <w:suppressAutoHyphens/>
        <w:overflowPunct/>
        <w:autoSpaceDE/>
        <w:autoSpaceDN/>
        <w:adjustRightInd/>
        <w:spacing w:before="240" w:line="240" w:lineRule="atLeast"/>
        <w:ind w:firstLine="0"/>
        <w:textAlignment w:val="auto"/>
        <w:outlineLvl w:val="2"/>
      </w:pPr>
      <w:r w:rsidRPr="00171A35">
        <w:lastRenderedPageBreak/>
        <w:t>2.</w:t>
      </w:r>
      <w:r w:rsidRPr="00171A35">
        <w:tab/>
      </w:r>
      <w:r w:rsidR="00A82320" w:rsidRPr="00171A35">
        <w:t>Das ADN enthält jedoch auch eine Begriffsbestimmung für „Füllungsgrad (Ladetanks)“, die von den harmonisierten Begriffsbestimmungen abweicht. Im ADN 2005 bezog sich diese Begriffsbestimmung noch auf eine Temperatur von 15 °C. Aber bereits in der ersten offiziellen Ausgabe des ADN 2009 war diese Referenztemperatur gestrichen. Es ist daher nicht mehr gestattet beim Füllen eines Ladetanks mit einer Flüssigkeit mit einer höheren Temperatur als 15 °C die Markierung des höchstzulässigen Füllungsgrades zu überschreiten. Würde die Begriffsbestimmung „Füllungsgrad (Ladetank)“ nun gestrichen, würde wieder die Situation vor 2009 hergestellt, was nicht erwünscht ist. Die temperaturunabhängige Begriffsbestimmung „Füllungsgrad (Ladetank)“ sollte daher beibehalten werden.</w:t>
      </w:r>
    </w:p>
    <w:p w14:paraId="161069B2" w14:textId="77777777" w:rsidR="00A82320" w:rsidRPr="00A82320" w:rsidRDefault="00A82320" w:rsidP="00A82320">
      <w:pPr>
        <w:widowControl/>
        <w:tabs>
          <w:tab w:val="left" w:pos="1701"/>
        </w:tabs>
        <w:suppressAutoHyphens/>
        <w:overflowPunct/>
        <w:autoSpaceDE/>
        <w:autoSpaceDN/>
        <w:adjustRightInd/>
        <w:spacing w:before="240" w:line="240" w:lineRule="atLeast"/>
        <w:ind w:firstLine="0"/>
        <w:textAlignment w:val="auto"/>
        <w:outlineLvl w:val="2"/>
      </w:pPr>
      <w:r w:rsidRPr="00171A35">
        <w:t>3.</w:t>
      </w:r>
      <w:r w:rsidRPr="00171A35">
        <w:tab/>
        <w:t>Durch die beiden neuen, harmonisierten Begriffsbestimmungen wird jedoch deutlich, dass für flüssige und feste Stoffe ein Füllungsgrad in Volumenprozent anzugeben ist, während für Gase ein Füllfaktor in Masseprozent zu verwenden ist. Bisher wurde in Tabelle C in der deutschen Fassung der Begriff „maximal zulässiger Tankfüllungsgrad in %“ verwendet, der es ermöglichte, für flüssige Stoffe die Begriffsbestimmung „Füllungsgrad (Ladetank)“ anzuwenden und für Gase die bisherige Begriffsbestimmung „Füllungsgrad“, die sich auf Gase bezog. Da die zweite Begriffsbestimmung nun zu „Füllfaktor“ geändert wird, ist diese Interpretation nicht mehr möglich. Es</w:t>
      </w:r>
      <w:r w:rsidRPr="00A82320">
        <w:t xml:space="preserve"> muss daher klargestellt werden, worauf sich Spalte 11 bezieht.</w:t>
      </w:r>
    </w:p>
    <w:p w14:paraId="0EB383DF" w14:textId="18706D00" w:rsidR="00A82320" w:rsidRPr="00A82320" w:rsidRDefault="00A82320" w:rsidP="00A82320">
      <w:pPr>
        <w:widowControl/>
        <w:tabs>
          <w:tab w:val="left" w:pos="1701"/>
        </w:tabs>
        <w:suppressAutoHyphens/>
        <w:overflowPunct/>
        <w:autoSpaceDE/>
        <w:autoSpaceDN/>
        <w:adjustRightInd/>
        <w:spacing w:before="240" w:line="240" w:lineRule="atLeast"/>
        <w:ind w:firstLine="0"/>
        <w:textAlignment w:val="auto"/>
        <w:outlineLvl w:val="2"/>
      </w:pPr>
      <w:r w:rsidRPr="00A82320">
        <w:t>4.</w:t>
      </w:r>
      <w:r w:rsidRPr="00A82320">
        <w:tab/>
        <w:t xml:space="preserve">In der englischen Fassung wird in Tabelle C </w:t>
      </w:r>
      <w:r w:rsidR="00C47039">
        <w:t>„</w:t>
      </w:r>
      <w:r w:rsidRPr="00171A35">
        <w:rPr>
          <w:i/>
          <w:iCs/>
        </w:rPr>
        <w:t xml:space="preserve">maximum </w:t>
      </w:r>
      <w:proofErr w:type="spellStart"/>
      <w:r w:rsidRPr="00171A35">
        <w:rPr>
          <w:i/>
          <w:iCs/>
        </w:rPr>
        <w:t>degree</w:t>
      </w:r>
      <w:proofErr w:type="spellEnd"/>
      <w:r w:rsidRPr="00171A35">
        <w:rPr>
          <w:i/>
          <w:iCs/>
        </w:rPr>
        <w:t xml:space="preserve"> of </w:t>
      </w:r>
      <w:proofErr w:type="spellStart"/>
      <w:r w:rsidRPr="00171A35">
        <w:rPr>
          <w:i/>
          <w:iCs/>
        </w:rPr>
        <w:t>filling</w:t>
      </w:r>
      <w:proofErr w:type="spellEnd"/>
      <w:r w:rsidRPr="00171A35">
        <w:rPr>
          <w:i/>
          <w:iCs/>
        </w:rPr>
        <w:t xml:space="preserve"> in %</w:t>
      </w:r>
      <w:r w:rsidR="00C47039">
        <w:t>“</w:t>
      </w:r>
      <w:r w:rsidRPr="00A82320">
        <w:t xml:space="preserve"> verwendet, während 1.2.1 Definitionen für </w:t>
      </w:r>
      <w:r w:rsidR="00C47039">
        <w:t>„</w:t>
      </w:r>
      <w:proofErr w:type="spellStart"/>
      <w:r w:rsidRPr="00171A35">
        <w:rPr>
          <w:i/>
          <w:iCs/>
        </w:rPr>
        <w:t>Filling</w:t>
      </w:r>
      <w:proofErr w:type="spellEnd"/>
      <w:r w:rsidRPr="00171A35">
        <w:rPr>
          <w:i/>
          <w:iCs/>
        </w:rPr>
        <w:t xml:space="preserve"> </w:t>
      </w:r>
      <w:proofErr w:type="spellStart"/>
      <w:r w:rsidRPr="00171A35">
        <w:rPr>
          <w:i/>
          <w:iCs/>
        </w:rPr>
        <w:t>ratio</w:t>
      </w:r>
      <w:proofErr w:type="spellEnd"/>
      <w:r w:rsidR="00C47039">
        <w:t>“</w:t>
      </w:r>
      <w:r w:rsidRPr="00A82320">
        <w:t xml:space="preserve"> (für Gase) und </w:t>
      </w:r>
      <w:r w:rsidR="00C47039">
        <w:t>„</w:t>
      </w:r>
      <w:proofErr w:type="spellStart"/>
      <w:r w:rsidRPr="00171A35">
        <w:rPr>
          <w:i/>
          <w:iCs/>
        </w:rPr>
        <w:t>Filling</w:t>
      </w:r>
      <w:proofErr w:type="spellEnd"/>
      <w:r w:rsidRPr="00171A35">
        <w:rPr>
          <w:i/>
          <w:iCs/>
        </w:rPr>
        <w:t xml:space="preserve"> </w:t>
      </w:r>
      <w:proofErr w:type="spellStart"/>
      <w:r w:rsidRPr="00171A35">
        <w:rPr>
          <w:i/>
          <w:iCs/>
        </w:rPr>
        <w:t>ratio</w:t>
      </w:r>
      <w:proofErr w:type="spellEnd"/>
      <w:r w:rsidRPr="00171A35">
        <w:rPr>
          <w:i/>
          <w:iCs/>
        </w:rPr>
        <w:t xml:space="preserve"> (</w:t>
      </w:r>
      <w:proofErr w:type="spellStart"/>
      <w:r w:rsidRPr="00171A35">
        <w:rPr>
          <w:i/>
          <w:iCs/>
        </w:rPr>
        <w:t>cargo</w:t>
      </w:r>
      <w:proofErr w:type="spellEnd"/>
      <w:r w:rsidRPr="00171A35">
        <w:rPr>
          <w:i/>
          <w:iCs/>
        </w:rPr>
        <w:t xml:space="preserve"> </w:t>
      </w:r>
      <w:proofErr w:type="spellStart"/>
      <w:r w:rsidRPr="00171A35">
        <w:rPr>
          <w:i/>
          <w:iCs/>
        </w:rPr>
        <w:t>tanks</w:t>
      </w:r>
      <w:proofErr w:type="spellEnd"/>
      <w:r w:rsidRPr="00171A35">
        <w:rPr>
          <w:i/>
          <w:iCs/>
        </w:rPr>
        <w:t>)</w:t>
      </w:r>
      <w:r w:rsidR="00C47039">
        <w:t>“</w:t>
      </w:r>
      <w:r w:rsidRPr="00A82320">
        <w:t xml:space="preserve"> enthält. In der französischen Fassung wird in Tabelle C </w:t>
      </w:r>
      <w:r w:rsidR="00C47039">
        <w:t>„</w:t>
      </w:r>
      <w:proofErr w:type="spellStart"/>
      <w:r w:rsidRPr="00171A35">
        <w:rPr>
          <w:i/>
          <w:iCs/>
        </w:rPr>
        <w:t>Degré</w:t>
      </w:r>
      <w:proofErr w:type="spellEnd"/>
      <w:r w:rsidRPr="00171A35">
        <w:rPr>
          <w:i/>
          <w:iCs/>
        </w:rPr>
        <w:t xml:space="preserve"> maximal de </w:t>
      </w:r>
      <w:proofErr w:type="spellStart"/>
      <w:r w:rsidRPr="00171A35">
        <w:rPr>
          <w:i/>
          <w:iCs/>
        </w:rPr>
        <w:t>remplissage</w:t>
      </w:r>
      <w:proofErr w:type="spellEnd"/>
      <w:r w:rsidRPr="00171A35">
        <w:rPr>
          <w:i/>
          <w:iCs/>
        </w:rPr>
        <w:t xml:space="preserve"> en %</w:t>
      </w:r>
      <w:r w:rsidR="00C47039">
        <w:t>“</w:t>
      </w:r>
      <w:r w:rsidRPr="00A82320">
        <w:t xml:space="preserve"> verwendet, während in Abschnitt 1.2.1 Definitionen für </w:t>
      </w:r>
      <w:r w:rsidR="00C47039">
        <w:t>„</w:t>
      </w:r>
      <w:proofErr w:type="spellStart"/>
      <w:r w:rsidRPr="00171A35">
        <w:rPr>
          <w:i/>
          <w:iCs/>
        </w:rPr>
        <w:t>Taux</w:t>
      </w:r>
      <w:proofErr w:type="spellEnd"/>
      <w:r w:rsidRPr="00171A35">
        <w:rPr>
          <w:i/>
          <w:iCs/>
        </w:rPr>
        <w:t xml:space="preserve"> de </w:t>
      </w:r>
      <w:proofErr w:type="spellStart"/>
      <w:r w:rsidRPr="00171A35">
        <w:rPr>
          <w:i/>
          <w:iCs/>
        </w:rPr>
        <w:t>remplissage</w:t>
      </w:r>
      <w:proofErr w:type="spellEnd"/>
      <w:r w:rsidR="00C47039">
        <w:t>“</w:t>
      </w:r>
      <w:r w:rsidRPr="00A82320">
        <w:t xml:space="preserve"> (für Gase) und </w:t>
      </w:r>
      <w:r w:rsidR="00C47039">
        <w:t>„</w:t>
      </w:r>
      <w:proofErr w:type="spellStart"/>
      <w:r w:rsidRPr="00171A35">
        <w:rPr>
          <w:i/>
          <w:iCs/>
        </w:rPr>
        <w:t>Taux</w:t>
      </w:r>
      <w:proofErr w:type="spellEnd"/>
      <w:r w:rsidRPr="00171A35">
        <w:rPr>
          <w:i/>
          <w:iCs/>
        </w:rPr>
        <w:t xml:space="preserve"> de </w:t>
      </w:r>
      <w:proofErr w:type="spellStart"/>
      <w:r w:rsidRPr="00171A35">
        <w:rPr>
          <w:i/>
          <w:iCs/>
        </w:rPr>
        <w:t>remplissage</w:t>
      </w:r>
      <w:proofErr w:type="spellEnd"/>
      <w:r w:rsidRPr="00171A35">
        <w:rPr>
          <w:i/>
          <w:iCs/>
        </w:rPr>
        <w:t xml:space="preserve"> (</w:t>
      </w:r>
      <w:proofErr w:type="spellStart"/>
      <w:r w:rsidRPr="00171A35">
        <w:rPr>
          <w:i/>
          <w:iCs/>
        </w:rPr>
        <w:t>citerne</w:t>
      </w:r>
      <w:proofErr w:type="spellEnd"/>
      <w:r w:rsidRPr="00171A35">
        <w:rPr>
          <w:i/>
          <w:iCs/>
        </w:rPr>
        <w:t xml:space="preserve"> à </w:t>
      </w:r>
      <w:proofErr w:type="spellStart"/>
      <w:r w:rsidRPr="00171A35">
        <w:rPr>
          <w:i/>
          <w:iCs/>
        </w:rPr>
        <w:t>cargaison</w:t>
      </w:r>
      <w:proofErr w:type="spellEnd"/>
      <w:r w:rsidRPr="00171A35">
        <w:rPr>
          <w:i/>
          <w:iCs/>
        </w:rPr>
        <w:t>)</w:t>
      </w:r>
      <w:r w:rsidR="00C47039">
        <w:t>“</w:t>
      </w:r>
      <w:r w:rsidRPr="00A82320">
        <w:t xml:space="preserve"> enthalten sind. Eine Klarstellung ist in beiden Sprachen erforderlich.</w:t>
      </w:r>
    </w:p>
    <w:p w14:paraId="17D6A9F4" w14:textId="77777777" w:rsidR="00A82320" w:rsidRPr="00A82320" w:rsidRDefault="00A82320" w:rsidP="00A82320">
      <w:pPr>
        <w:widowControl/>
        <w:tabs>
          <w:tab w:val="left" w:pos="1701"/>
        </w:tabs>
        <w:suppressAutoHyphens/>
        <w:overflowPunct/>
        <w:autoSpaceDE/>
        <w:autoSpaceDN/>
        <w:adjustRightInd/>
        <w:spacing w:before="240" w:line="240" w:lineRule="atLeast"/>
        <w:ind w:firstLine="0"/>
        <w:textAlignment w:val="auto"/>
        <w:outlineLvl w:val="2"/>
      </w:pPr>
      <w:r w:rsidRPr="00A82320">
        <w:t>5.</w:t>
      </w:r>
      <w:r w:rsidRPr="00A82320">
        <w:tab/>
        <w:t>Auch bei allen anderen Fundstellen der genannten Begriffe wäre klarzustellen, welcher der neuen Begriffe tatsächlich gemeint ist.</w:t>
      </w:r>
    </w:p>
    <w:p w14:paraId="2142A200" w14:textId="600C7A13" w:rsidR="00A82320" w:rsidRPr="00A82320" w:rsidRDefault="00A82320" w:rsidP="00A82320">
      <w:pPr>
        <w:widowControl/>
        <w:tabs>
          <w:tab w:val="left" w:pos="1701"/>
        </w:tabs>
        <w:suppressAutoHyphens/>
        <w:overflowPunct/>
        <w:autoSpaceDE/>
        <w:autoSpaceDN/>
        <w:adjustRightInd/>
        <w:spacing w:before="240" w:line="240" w:lineRule="atLeast"/>
        <w:ind w:firstLine="0"/>
        <w:textAlignment w:val="auto"/>
        <w:outlineLvl w:val="2"/>
      </w:pPr>
      <w:r w:rsidRPr="00A82320">
        <w:t>6.</w:t>
      </w:r>
      <w:r w:rsidRPr="00A82320">
        <w:tab/>
        <w:t xml:space="preserve">Der </w:t>
      </w:r>
      <w:r w:rsidR="00D22348">
        <w:t xml:space="preserve">ADN </w:t>
      </w:r>
      <w:r w:rsidRPr="00A82320">
        <w:t>Sicherheitsausschuss kam bei der Sitzung im Januar zum Schluss, dass die Begriffsbestimmung für Füllfaktor bei der Beförderung in Ladetanks nur für Gase zur Anwendung kommen soll, die gasförmig befördert werden, während für Gase, die unter Druck verflüssigt oder gekühlt verflüssigt befördert werden, der Füllungsgrad (Volumenprozent) genutzt werden soll.</w:t>
      </w:r>
    </w:p>
    <w:p w14:paraId="144DA1DC" w14:textId="77777777" w:rsidR="00A82320" w:rsidRPr="00D22348" w:rsidRDefault="00A82320" w:rsidP="00A82320">
      <w:pPr>
        <w:widowControl/>
        <w:suppressAutoHyphens/>
        <w:overflowPunct/>
        <w:autoSpaceDE/>
        <w:autoSpaceDN/>
        <w:adjustRightInd/>
        <w:spacing w:before="240" w:line="240" w:lineRule="atLeast"/>
        <w:ind w:hanging="425"/>
        <w:textAlignment w:val="auto"/>
        <w:outlineLvl w:val="2"/>
        <w:rPr>
          <w:b/>
          <w:bCs/>
          <w:sz w:val="28"/>
          <w:szCs w:val="28"/>
        </w:rPr>
      </w:pPr>
      <w:r w:rsidRPr="00D22348">
        <w:rPr>
          <w:b/>
          <w:bCs/>
          <w:sz w:val="28"/>
          <w:szCs w:val="28"/>
        </w:rPr>
        <w:t>I.</w:t>
      </w:r>
      <w:r w:rsidRPr="00D22348">
        <w:rPr>
          <w:b/>
          <w:bCs/>
          <w:sz w:val="28"/>
          <w:szCs w:val="28"/>
        </w:rPr>
        <w:tab/>
        <w:t>Vorschlag</w:t>
      </w:r>
    </w:p>
    <w:p w14:paraId="5D22DB97" w14:textId="7661A383" w:rsidR="00312970" w:rsidRPr="00D16B38" w:rsidRDefault="00BA19A8" w:rsidP="00BA19A8">
      <w:pPr>
        <w:widowControl/>
        <w:tabs>
          <w:tab w:val="left" w:pos="1701"/>
        </w:tabs>
        <w:suppressAutoHyphens/>
        <w:overflowPunct/>
        <w:autoSpaceDE/>
        <w:autoSpaceDN/>
        <w:adjustRightInd/>
        <w:spacing w:before="240" w:line="240" w:lineRule="atLeast"/>
        <w:ind w:firstLine="0"/>
        <w:jc w:val="left"/>
        <w:textAlignment w:val="auto"/>
        <w:outlineLvl w:val="2"/>
      </w:pPr>
      <w:r w:rsidRPr="00D16B38">
        <w:t>7.</w:t>
      </w:r>
      <w:r w:rsidRPr="00D16B38">
        <w:tab/>
      </w:r>
      <w:r w:rsidR="00A82320" w:rsidRPr="00D16B38">
        <w:t>1.2.1</w:t>
      </w:r>
      <w:r w:rsidR="00312970" w:rsidRPr="00D16B38">
        <w:t xml:space="preserve"> In der bestehenden</w:t>
      </w:r>
      <w:r w:rsidR="00A82320" w:rsidRPr="00D16B38">
        <w:t xml:space="preserve"> Begriffsbestimmung </w:t>
      </w:r>
      <w:r w:rsidR="00312970" w:rsidRPr="00D16B38">
        <w:t xml:space="preserve">von </w:t>
      </w:r>
      <w:r w:rsidR="00A82320" w:rsidRPr="00D16B38">
        <w:t>„</w:t>
      </w:r>
      <w:r w:rsidR="00A82320" w:rsidRPr="00D16B38">
        <w:rPr>
          <w:b/>
          <w:bCs/>
          <w:i/>
        </w:rPr>
        <w:t>Füllungsgrad</w:t>
      </w:r>
      <w:r w:rsidR="00A82320" w:rsidRPr="00D16B38">
        <w:t>“</w:t>
      </w:r>
      <w:r w:rsidR="00A82320" w:rsidRPr="00D16B38">
        <w:br/>
      </w:r>
      <w:r w:rsidR="00312970" w:rsidRPr="00D16B38">
        <w:t>folgende Änderungen vornehmen:</w:t>
      </w:r>
    </w:p>
    <w:p w14:paraId="1D4F0E58" w14:textId="358BEE9F" w:rsidR="00312970" w:rsidRPr="00D16B38" w:rsidRDefault="00312970" w:rsidP="00D16B38">
      <w:pPr>
        <w:pStyle w:val="Paragraphedeliste"/>
        <w:widowControl/>
        <w:numPr>
          <w:ilvl w:val="0"/>
          <w:numId w:val="10"/>
        </w:numPr>
        <w:suppressAutoHyphens/>
        <w:overflowPunct/>
        <w:autoSpaceDE/>
        <w:autoSpaceDN/>
        <w:adjustRightInd/>
        <w:spacing w:before="120" w:line="240" w:lineRule="atLeast"/>
        <w:jc w:val="left"/>
        <w:textAlignment w:val="auto"/>
        <w:outlineLvl w:val="2"/>
      </w:pPr>
      <w:r w:rsidRPr="00D16B38">
        <w:t>„Füllungsgrad“ ändern in: „Füllfaktor“.</w:t>
      </w:r>
    </w:p>
    <w:p w14:paraId="7CE5FB50" w14:textId="77777777" w:rsidR="00312970" w:rsidRPr="00D16B38" w:rsidRDefault="00312970" w:rsidP="00D16B38">
      <w:pPr>
        <w:widowControl/>
        <w:suppressAutoHyphens/>
        <w:overflowPunct/>
        <w:autoSpaceDE/>
        <w:autoSpaceDN/>
        <w:adjustRightInd/>
        <w:spacing w:line="240" w:lineRule="atLeast"/>
        <w:ind w:left="1843" w:firstLine="0"/>
        <w:jc w:val="left"/>
        <w:textAlignment w:val="auto"/>
        <w:outlineLvl w:val="2"/>
      </w:pPr>
      <w:r w:rsidRPr="00D16B38">
        <w:t>[betrifft nur die deutsche Fassung]</w:t>
      </w:r>
    </w:p>
    <w:p w14:paraId="1DE738DB" w14:textId="3FC54D1E" w:rsidR="00312970" w:rsidRPr="00D16B38" w:rsidRDefault="00312970" w:rsidP="00D16B38">
      <w:pPr>
        <w:pStyle w:val="Paragraphedeliste"/>
        <w:widowControl/>
        <w:numPr>
          <w:ilvl w:val="0"/>
          <w:numId w:val="13"/>
        </w:numPr>
        <w:suppressAutoHyphens/>
        <w:overflowPunct/>
        <w:autoSpaceDE/>
        <w:autoSpaceDN/>
        <w:adjustRightInd/>
        <w:spacing w:before="120" w:line="240" w:lineRule="atLeast"/>
        <w:ind w:left="1843"/>
        <w:textAlignment w:val="auto"/>
        <w:outlineLvl w:val="2"/>
      </w:pPr>
      <w:r w:rsidRPr="00D16B38">
        <w:t>„die ein für die Verwendung vorbereitetes Druckgefäß“ ändern in: „die das für die Verwendung vorbereitete Umschließungsmittel“.</w:t>
      </w:r>
    </w:p>
    <w:p w14:paraId="01472FD2" w14:textId="2C124B21" w:rsidR="00A82320" w:rsidRPr="00D16B38" w:rsidRDefault="00A82320" w:rsidP="00D16B38">
      <w:pPr>
        <w:pStyle w:val="Paragraphedeliste"/>
        <w:widowControl/>
        <w:numPr>
          <w:ilvl w:val="1"/>
          <w:numId w:val="13"/>
        </w:numPr>
        <w:suppressAutoHyphens/>
        <w:overflowPunct/>
        <w:autoSpaceDE/>
        <w:autoSpaceDN/>
        <w:adjustRightInd/>
        <w:spacing w:before="120" w:line="240" w:lineRule="atLeast"/>
        <w:jc w:val="left"/>
        <w:textAlignment w:val="auto"/>
        <w:outlineLvl w:val="2"/>
      </w:pPr>
      <w:r w:rsidRPr="00D16B38">
        <w:t>folgende Bemerkung hinzufügen: „</w:t>
      </w:r>
      <w:r w:rsidRPr="00D16B38">
        <w:rPr>
          <w:b/>
        </w:rPr>
        <w:t>Bem</w:t>
      </w:r>
      <w:r w:rsidRPr="00D16B38">
        <w:t xml:space="preserve">.: Für den Füllungsgrad von Ladetanks siehe </w:t>
      </w:r>
      <w:r w:rsidRPr="00D16B38">
        <w:rPr>
          <w:i/>
        </w:rPr>
        <w:t>Füllungsgrad des Ladetanks</w:t>
      </w:r>
      <w:r w:rsidRPr="00D16B38">
        <w:t>.“</w:t>
      </w:r>
      <w:r w:rsidR="00C47039">
        <w:t>.</w:t>
      </w:r>
    </w:p>
    <w:p w14:paraId="2A26A715" w14:textId="544D2F6E" w:rsidR="00312970" w:rsidRPr="00D16B38" w:rsidRDefault="00BA19A8" w:rsidP="00BA19A8">
      <w:pPr>
        <w:widowControl/>
        <w:tabs>
          <w:tab w:val="left" w:pos="1701"/>
        </w:tabs>
        <w:suppressAutoHyphens/>
        <w:overflowPunct/>
        <w:autoSpaceDE/>
        <w:autoSpaceDN/>
        <w:adjustRightInd/>
        <w:spacing w:before="240" w:line="240" w:lineRule="atLeast"/>
        <w:ind w:firstLine="0"/>
        <w:jc w:val="left"/>
        <w:textAlignment w:val="auto"/>
        <w:outlineLvl w:val="2"/>
      </w:pPr>
      <w:r w:rsidRPr="00D16B38">
        <w:t>8.</w:t>
      </w:r>
      <w:r w:rsidRPr="00D16B38">
        <w:tab/>
      </w:r>
      <w:r w:rsidR="00312970" w:rsidRPr="00D16B38">
        <w:t>1.2.1 Folgende neue Begriffsbestimmung in alphabetischer Reihenfolge einfügen:</w:t>
      </w:r>
    </w:p>
    <w:p w14:paraId="27E49112" w14:textId="77777777" w:rsidR="00312970" w:rsidRPr="00D16B38" w:rsidRDefault="00312970" w:rsidP="006A7656">
      <w:pPr>
        <w:widowControl/>
        <w:suppressAutoHyphens/>
        <w:overflowPunct/>
        <w:autoSpaceDE/>
        <w:autoSpaceDN/>
        <w:adjustRightInd/>
        <w:spacing w:before="120" w:line="240" w:lineRule="atLeast"/>
        <w:ind w:firstLine="0"/>
        <w:textAlignment w:val="auto"/>
        <w:outlineLvl w:val="2"/>
      </w:pPr>
      <w:r w:rsidRPr="00D16B38">
        <w:t>„</w:t>
      </w:r>
      <w:r w:rsidRPr="00D16B38">
        <w:rPr>
          <w:b/>
          <w:bCs/>
          <w:i/>
        </w:rPr>
        <w:t>Füllungsgrad</w:t>
      </w:r>
      <w:r w:rsidRPr="00D16B38">
        <w:t>: Das Verhältnis zwischen dem Volumen des bei 15 °C in das Umschließungsmittel eingebrachten flüssigen oder festen Stoffes und dem Volumen des gebrauchsfertigen Umschließungsmittels, ausgedrückt in %.“.</w:t>
      </w:r>
    </w:p>
    <w:p w14:paraId="6D76833F" w14:textId="77777777" w:rsidR="00D16B38" w:rsidRDefault="00D16B38">
      <w:pPr>
        <w:widowControl/>
        <w:overflowPunct/>
        <w:autoSpaceDE/>
        <w:autoSpaceDN/>
        <w:adjustRightInd/>
        <w:ind w:left="0" w:firstLine="0"/>
        <w:jc w:val="left"/>
        <w:textAlignment w:val="auto"/>
      </w:pPr>
      <w:r>
        <w:br w:type="page"/>
      </w:r>
    </w:p>
    <w:p w14:paraId="230235ED" w14:textId="241FA7D6" w:rsidR="00A82320" w:rsidRPr="00A82320" w:rsidRDefault="00BA19A8" w:rsidP="00BA19A8">
      <w:pPr>
        <w:widowControl/>
        <w:tabs>
          <w:tab w:val="left" w:pos="1701"/>
        </w:tabs>
        <w:suppressAutoHyphens/>
        <w:overflowPunct/>
        <w:autoSpaceDE/>
        <w:autoSpaceDN/>
        <w:adjustRightInd/>
        <w:spacing w:before="240" w:line="240" w:lineRule="atLeast"/>
        <w:ind w:firstLine="0"/>
        <w:textAlignment w:val="auto"/>
        <w:outlineLvl w:val="2"/>
      </w:pPr>
      <w:r w:rsidRPr="00D16B38">
        <w:lastRenderedPageBreak/>
        <w:t>9.</w:t>
      </w:r>
      <w:r w:rsidRPr="00D16B38">
        <w:tab/>
      </w:r>
      <w:r w:rsidR="00A82320" w:rsidRPr="00D16B38">
        <w:t xml:space="preserve">1.2.1 Die Begriffsbestimmung </w:t>
      </w:r>
      <w:r w:rsidR="0072383E" w:rsidRPr="00D16B38">
        <w:rPr>
          <w:b/>
          <w:bCs/>
        </w:rPr>
        <w:t>„</w:t>
      </w:r>
      <w:r w:rsidR="00A82320" w:rsidRPr="00D16B38">
        <w:rPr>
          <w:b/>
          <w:bCs/>
          <w:i/>
        </w:rPr>
        <w:t>Füllungsgrad (Ladetanks</w:t>
      </w:r>
      <w:r w:rsidR="00A82320" w:rsidRPr="00677582">
        <w:rPr>
          <w:b/>
          <w:bCs/>
          <w:i/>
        </w:rPr>
        <w:t>)</w:t>
      </w:r>
      <w:r w:rsidR="0072383E" w:rsidRPr="00677582">
        <w:rPr>
          <w:b/>
          <w:bCs/>
          <w:i/>
        </w:rPr>
        <w:t>“</w:t>
      </w:r>
      <w:r w:rsidR="00A82320" w:rsidRPr="00A82320">
        <w:t xml:space="preserve"> wird ersetzt durch: </w:t>
      </w:r>
      <w:r w:rsidR="0072383E">
        <w:t>„</w:t>
      </w:r>
      <w:r w:rsidR="00A82320" w:rsidRPr="0072383E">
        <w:rPr>
          <w:b/>
          <w:bCs/>
          <w:i/>
        </w:rPr>
        <w:t>Füllungsgrad des Ladetanks</w:t>
      </w:r>
      <w:r w:rsidR="00A82320" w:rsidRPr="00A82320">
        <w:t xml:space="preserve">: wird bei der Beförderung von flüssigen oder geschmolzenen Stoffen, unter Druck verflüssigten Gasen oder tiefgekühlt verflüssigten Gasen für Ladetanks ein Füllungsgrad angegeben, bezeichnet dieser den Prozentsatz des Ladetankvolumens, der mit Flüssigkeit gefüllt ist. Bei der Beförderung von Gasen, die in der Gasphase in Drucktanks befördert werden, bezeichnet der Füllungsgrad des Ladetanks das Verhältnis zwischen der Masse an Gas und der Masse an Wasser bei 15 °C, die den Drucktank vollständig ausfüllen würde, was einem </w:t>
      </w:r>
      <w:r w:rsidR="00A82320" w:rsidRPr="00A82320">
        <w:rPr>
          <w:i/>
        </w:rPr>
        <w:t>Füllfaktor</w:t>
      </w:r>
      <w:r w:rsidR="00A82320" w:rsidRPr="00A82320">
        <w:t xml:space="preserve"> entspricht.“.</w:t>
      </w:r>
    </w:p>
    <w:p w14:paraId="26DB8623" w14:textId="0FE8E293"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10.</w:t>
      </w:r>
      <w:r>
        <w:tab/>
      </w:r>
      <w:r w:rsidR="00A82320" w:rsidRPr="00A82320">
        <w:t>1.6.7.2.2.2: In der Übergangsbestimmung für 9.3.3.21.1 b) wird „Füllungsgrad“ durch „Füllungsgrad des Ladetanks“ ersetzt.</w:t>
      </w:r>
    </w:p>
    <w:p w14:paraId="4EB5C52B" w14:textId="685C5255" w:rsidR="00A82320" w:rsidRPr="00A82320" w:rsidRDefault="0072383E" w:rsidP="0072383E">
      <w:pPr>
        <w:widowControl/>
        <w:tabs>
          <w:tab w:val="left" w:pos="1701"/>
          <w:tab w:val="left" w:pos="5245"/>
        </w:tabs>
        <w:suppressAutoHyphens/>
        <w:overflowPunct/>
        <w:autoSpaceDE/>
        <w:autoSpaceDN/>
        <w:adjustRightInd/>
        <w:spacing w:before="240" w:line="240" w:lineRule="atLeast"/>
        <w:ind w:firstLine="0"/>
        <w:textAlignment w:val="auto"/>
        <w:outlineLvl w:val="2"/>
      </w:pPr>
      <w:r>
        <w:t>11.</w:t>
      </w:r>
      <w:r>
        <w:tab/>
      </w:r>
      <w:r w:rsidR="00A82320" w:rsidRPr="00A82320">
        <w:t>2.2.2.1.1: „Füllungsgrad“ wird in „Füllfaktor, Füllungsgrad des Ladetanks“ geändert, da sich die Bestimmung auf Gase bezieht.</w:t>
      </w:r>
    </w:p>
    <w:p w14:paraId="47FFA15A" w14:textId="57A09662"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12.</w:t>
      </w:r>
      <w:r>
        <w:tab/>
      </w:r>
      <w:r w:rsidR="00A82320" w:rsidRPr="00A82320">
        <w:t>3.2.3.1, Erläuternde Bemerkung zu Spalte (11)</w:t>
      </w:r>
    </w:p>
    <w:p w14:paraId="34DDD0B0" w14:textId="77777777" w:rsidR="00A82320" w:rsidRPr="00A82320" w:rsidRDefault="00A82320" w:rsidP="00A82320">
      <w:pPr>
        <w:widowControl/>
        <w:suppressAutoHyphens/>
        <w:overflowPunct/>
        <w:autoSpaceDE/>
        <w:autoSpaceDN/>
        <w:adjustRightInd/>
        <w:spacing w:line="240" w:lineRule="atLeast"/>
        <w:ind w:firstLine="0"/>
        <w:textAlignment w:val="auto"/>
        <w:outlineLvl w:val="2"/>
      </w:pPr>
      <w:r w:rsidRPr="00A82320">
        <w:t>In der Überschrift wird „Füllungsgrad“ durch „Füllungsgrad des Ladetanks“ ersetzt.</w:t>
      </w:r>
    </w:p>
    <w:p w14:paraId="3C9BC55B" w14:textId="6A20596F"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13.</w:t>
      </w:r>
      <w:r>
        <w:tab/>
      </w:r>
      <w:r w:rsidR="00A82320" w:rsidRPr="00A82320">
        <w:t>3.2.3.1, Erläuternde Bemerkung Nr. 42 zu Spalte (20)</w:t>
      </w:r>
    </w:p>
    <w:p w14:paraId="3EEF1098" w14:textId="77777777" w:rsidR="00A82320" w:rsidRPr="00A82320" w:rsidRDefault="00A82320" w:rsidP="00A82320">
      <w:pPr>
        <w:widowControl/>
        <w:suppressAutoHyphens/>
        <w:overflowPunct/>
        <w:autoSpaceDE/>
        <w:autoSpaceDN/>
        <w:adjustRightInd/>
        <w:spacing w:line="240" w:lineRule="atLeast"/>
        <w:ind w:firstLine="0"/>
        <w:textAlignment w:val="auto"/>
        <w:outlineLvl w:val="2"/>
      </w:pPr>
      <w:r w:rsidRPr="00A82320">
        <w:t>„Füllungsgrad“ wird in „Füllungsgrad des Ladetanks“ geändert.</w:t>
      </w:r>
    </w:p>
    <w:p w14:paraId="745C7D91" w14:textId="2FB00C72"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14.</w:t>
      </w:r>
      <w:r>
        <w:tab/>
      </w:r>
      <w:r w:rsidR="00A82320" w:rsidRPr="00A82320">
        <w:t>3.2.3.2, Tabelle C, Überschrift von Spalte (11): „max. zul. Tankfüllungsgrad in %“. Wird durch „max. zul. Füllungsgrad des Ladetanks in %“ ersetzt.</w:t>
      </w:r>
    </w:p>
    <w:p w14:paraId="1B4A2887" w14:textId="520B9D11"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15.</w:t>
      </w:r>
      <w:r>
        <w:tab/>
      </w:r>
      <w:r w:rsidR="00A82320" w:rsidRPr="00A82320">
        <w:t>3.3.1, SV 392 Buchstabe f): „Füllungsgrades“ wird in „Füllfaktors“ geändert, da sich die Bestimmung auf Gase bezieht.</w:t>
      </w:r>
    </w:p>
    <w:p w14:paraId="07017878" w14:textId="2619195A"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16.</w:t>
      </w:r>
      <w:r>
        <w:tab/>
      </w:r>
      <w:r w:rsidR="00A82320" w:rsidRPr="00A82320">
        <w:t>7.2.4.16.17, dritter Anstrich: „Füllungsgrad“ wird durch „Füllungsgrad des Ladetanks“ ersetzt.</w:t>
      </w:r>
    </w:p>
    <w:p w14:paraId="5E775AA0" w14:textId="16ED0696"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17.</w:t>
      </w:r>
      <w:r>
        <w:tab/>
      </w:r>
      <w:r w:rsidR="00A82320" w:rsidRPr="00A82320">
        <w:t>7.2.4.21.1: „Füllungsgrad für den einzelnen Ladetank“ wird durch „Füllungsgrad des Landetanks“ ersetzt.</w:t>
      </w:r>
    </w:p>
    <w:p w14:paraId="23DC8D75" w14:textId="1028FC2F" w:rsidR="00A82320" w:rsidRPr="00A82320" w:rsidRDefault="0072383E" w:rsidP="0072383E">
      <w:pPr>
        <w:widowControl/>
        <w:tabs>
          <w:tab w:val="left" w:pos="1701"/>
        </w:tabs>
        <w:suppressAutoHyphens/>
        <w:overflowPunct/>
        <w:autoSpaceDE/>
        <w:autoSpaceDN/>
        <w:adjustRightInd/>
        <w:spacing w:before="240" w:line="240" w:lineRule="atLeast"/>
        <w:ind w:firstLine="0"/>
        <w:textAlignment w:val="auto"/>
        <w:outlineLvl w:val="2"/>
      </w:pPr>
      <w:r>
        <w:t>18.</w:t>
      </w:r>
      <w:r>
        <w:tab/>
      </w:r>
      <w:r w:rsidR="00A82320" w:rsidRPr="00A82320">
        <w:t>7.2.4.21.2: „Füllungsgrad“ wird durch „Füllungsgrad des Ladetanks“ ersetzt (zwei Mal).</w:t>
      </w:r>
    </w:p>
    <w:p w14:paraId="5F2B9978" w14:textId="6E178755"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19.</w:t>
      </w:r>
      <w:r>
        <w:tab/>
      </w:r>
      <w:r w:rsidR="00A82320" w:rsidRPr="00A82320">
        <w:t>7.2.4.21.3 bezieht sich im Einleitungssatz bereits auf „Füllungsgrad des Ladetanks“. In der Folge und in 7.2.4.21.4 wird „Füllungsgrad“ verwendet. Da der Begriff hier in eindeutigem Zusammenhang mit dem Einleitungssatz steht, erscheint es nicht erforderlich ihn jedes Mal durch „Füllungsgrad des Ladetanks“ zu ersetzen.</w:t>
      </w:r>
    </w:p>
    <w:p w14:paraId="26AB73E0" w14:textId="4B7E2045"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20.</w:t>
      </w:r>
      <w:r>
        <w:tab/>
      </w:r>
      <w:r w:rsidR="00A82320" w:rsidRPr="00A82320">
        <w:t>8.2.2.3.3.1: „Füllungsgrad“ wird durch „Füllungsgrad des Ladetanks“ ersetzt (zwei Mal).</w:t>
      </w:r>
    </w:p>
    <w:p w14:paraId="1A8925B4" w14:textId="1D2F91B8"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21.</w:t>
      </w:r>
      <w:r>
        <w:tab/>
      </w:r>
      <w:r w:rsidR="00A82320" w:rsidRPr="00A82320">
        <w:t>8.2.2.3.3.2: „maximale Füllungsgrade“ wird durch „maximaler Füllungsgrad des Ladetanks“ ersetzt. „Füllungsgrad“ wird durch „Füllungsgrad des Ladetanks“ ersetzt.</w:t>
      </w:r>
    </w:p>
    <w:p w14:paraId="1A782F41" w14:textId="611195F8"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22.</w:t>
      </w:r>
      <w:r>
        <w:tab/>
      </w:r>
      <w:r w:rsidR="00A82320" w:rsidRPr="00A82320">
        <w:t>9.1.0.40.2.10, 9.1.0.40.2.11, 9.1.0.40.2.13, 9.3.x.40.2.10, 9.3.x.40.2.11, 9.3.x.40.2.13: Bei „Füllungsgrad“ wird folgende Fußnote ergänzt: „*) Der Text wurde aus dem ES-TRIN übernommen und die Begriffsbestimmung für Füllungsgrad ist daher nicht anwendbar.“</w:t>
      </w:r>
    </w:p>
    <w:p w14:paraId="0FB98152" w14:textId="206EF771"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23.</w:t>
      </w:r>
      <w:r>
        <w:tab/>
      </w:r>
      <w:r w:rsidR="00A82320" w:rsidRPr="00A82320">
        <w:t>9.3.1.21.1 Buchstabe c) und d): „einer Füllung“ wird durch „einem Füllungsgrad des Ladetanks“ ersetzt.</w:t>
      </w:r>
    </w:p>
    <w:p w14:paraId="5AA2DCD0" w14:textId="151BC339"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24.</w:t>
      </w:r>
      <w:r>
        <w:tab/>
      </w:r>
      <w:r w:rsidR="00A82320" w:rsidRPr="00A82320">
        <w:t>9.3.1.21.2: „Füllungsgrad“ wird durch „Füllungsgrad des Ladetanks“ ersetzt.</w:t>
      </w:r>
    </w:p>
    <w:p w14:paraId="7CC59DFD" w14:textId="77777777" w:rsidR="007971FB" w:rsidRDefault="007971FB">
      <w:pPr>
        <w:widowControl/>
        <w:overflowPunct/>
        <w:autoSpaceDE/>
        <w:autoSpaceDN/>
        <w:adjustRightInd/>
        <w:ind w:left="0" w:firstLine="0"/>
        <w:jc w:val="left"/>
        <w:textAlignment w:val="auto"/>
      </w:pPr>
      <w:r>
        <w:br w:type="page"/>
      </w:r>
    </w:p>
    <w:p w14:paraId="34FDEFFB" w14:textId="09C2445F"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lastRenderedPageBreak/>
        <w:t>25.</w:t>
      </w:r>
      <w:r>
        <w:tab/>
      </w:r>
      <w:r w:rsidR="00A82320" w:rsidRPr="00A82320">
        <w:t>9.3.2.21.1 Buchstabe a): „Füllungsgrad“ wird durch „Füllungsgrad des Ladetanks“ ersetzt.</w:t>
      </w:r>
    </w:p>
    <w:p w14:paraId="0CEC308D" w14:textId="6488AC89"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26.</w:t>
      </w:r>
      <w:r>
        <w:tab/>
      </w:r>
      <w:r w:rsidR="00A82320" w:rsidRPr="00A82320">
        <w:t>9.3.2.21.1 Buchstabe c) und d): „einer Füllung“ wird durch „einem Füllungsgrad des Ladetanks“ ersetzt.</w:t>
      </w:r>
    </w:p>
    <w:p w14:paraId="5C0F45D2" w14:textId="5F6948CA"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27.</w:t>
      </w:r>
      <w:r>
        <w:tab/>
      </w:r>
      <w:r w:rsidR="00A82320" w:rsidRPr="00A82320">
        <w:t>9.3.2.21.2: „Füllungsgrad“ wird durch „Füllungsgrad des Ladetanks“ ersetzt.</w:t>
      </w:r>
    </w:p>
    <w:p w14:paraId="50F676C2" w14:textId="5D7841AB"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28.</w:t>
      </w:r>
      <w:r>
        <w:tab/>
      </w:r>
      <w:r w:rsidR="00A82320" w:rsidRPr="00A82320">
        <w:t>9.3.3.21.1 Buchstabe a): „Füllungsgrad“ wird durch „Füllungsgrad des Ladetanks“ ersetzt.</w:t>
      </w:r>
    </w:p>
    <w:p w14:paraId="1A36D8C8" w14:textId="44DA0EAC"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29.</w:t>
      </w:r>
      <w:r>
        <w:tab/>
      </w:r>
      <w:r w:rsidR="00A82320" w:rsidRPr="00A82320">
        <w:t>9.3.3.21.1 Buchstabe c) und d): „einer Füllung“ wird durch „einem Füllungsgrad des Ladetanks“ ersetzt.</w:t>
      </w:r>
    </w:p>
    <w:p w14:paraId="45271E23" w14:textId="2B999268"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30.</w:t>
      </w:r>
      <w:r>
        <w:tab/>
      </w:r>
      <w:r w:rsidR="00A82320" w:rsidRPr="00A82320">
        <w:t>9.3.3.21.2: „Füllungsgrad“ wird durch „Füllungsgrad des Ladetanks“ ersetzt.</w:t>
      </w:r>
    </w:p>
    <w:p w14:paraId="08BC0860" w14:textId="237C28EF" w:rsidR="00A82320" w:rsidRPr="00A82320" w:rsidRDefault="00A82320" w:rsidP="00A82320">
      <w:pPr>
        <w:widowControl/>
        <w:overflowPunct/>
        <w:autoSpaceDE/>
        <w:autoSpaceDN/>
        <w:adjustRightInd/>
        <w:ind w:left="0" w:firstLine="0"/>
        <w:jc w:val="left"/>
        <w:textAlignment w:val="auto"/>
      </w:pPr>
    </w:p>
    <w:p w14:paraId="3099EE51" w14:textId="77777777" w:rsidR="00A82320" w:rsidRPr="0072383E" w:rsidRDefault="00A82320" w:rsidP="00A82320">
      <w:pPr>
        <w:widowControl/>
        <w:suppressAutoHyphens/>
        <w:overflowPunct/>
        <w:autoSpaceDE/>
        <w:autoSpaceDN/>
        <w:adjustRightInd/>
        <w:spacing w:before="240" w:line="240" w:lineRule="atLeast"/>
        <w:ind w:hanging="425"/>
        <w:textAlignment w:val="auto"/>
        <w:outlineLvl w:val="2"/>
        <w:rPr>
          <w:b/>
          <w:bCs/>
          <w:sz w:val="28"/>
          <w:szCs w:val="28"/>
        </w:rPr>
      </w:pPr>
      <w:r w:rsidRPr="0072383E">
        <w:rPr>
          <w:b/>
          <w:bCs/>
          <w:sz w:val="28"/>
          <w:szCs w:val="28"/>
        </w:rPr>
        <w:t>II.</w:t>
      </w:r>
      <w:r w:rsidRPr="0072383E">
        <w:rPr>
          <w:b/>
          <w:bCs/>
          <w:sz w:val="28"/>
          <w:szCs w:val="28"/>
        </w:rPr>
        <w:tab/>
        <w:t>Begründung</w:t>
      </w:r>
    </w:p>
    <w:p w14:paraId="1C58700C" w14:textId="4854A649" w:rsidR="00A82320" w:rsidRPr="00A82320" w:rsidRDefault="009C439A" w:rsidP="009C439A">
      <w:pPr>
        <w:widowControl/>
        <w:tabs>
          <w:tab w:val="left" w:pos="1701"/>
        </w:tabs>
        <w:suppressAutoHyphens/>
        <w:overflowPunct/>
        <w:autoSpaceDE/>
        <w:autoSpaceDN/>
        <w:adjustRightInd/>
        <w:spacing w:before="240" w:line="240" w:lineRule="atLeast"/>
        <w:ind w:firstLine="0"/>
        <w:textAlignment w:val="auto"/>
        <w:outlineLvl w:val="2"/>
      </w:pPr>
      <w:r>
        <w:t>31.</w:t>
      </w:r>
      <w:r>
        <w:tab/>
      </w:r>
      <w:r w:rsidR="00A82320" w:rsidRPr="00A82320">
        <w:t>Sicherheit: Durch die redaktionellen Änderungen wird sichergestellt, dass die Einführung neuer Begriffsbestimmungen keine Auswirkungen auf die Sicherheit hat.</w:t>
      </w:r>
    </w:p>
    <w:p w14:paraId="07CF2EF1" w14:textId="77777777" w:rsidR="00A82320" w:rsidRPr="00A82320" w:rsidRDefault="00A82320" w:rsidP="00A82320">
      <w:pPr>
        <w:widowControl/>
        <w:suppressAutoHyphens/>
        <w:overflowPunct/>
        <w:autoSpaceDE/>
        <w:autoSpaceDN/>
        <w:adjustRightInd/>
        <w:spacing w:line="240" w:lineRule="atLeast"/>
        <w:ind w:firstLine="0"/>
        <w:textAlignment w:val="auto"/>
        <w:outlineLvl w:val="2"/>
      </w:pPr>
    </w:p>
    <w:p w14:paraId="324877F8" w14:textId="2197F9F5" w:rsidR="00A82320" w:rsidRPr="00A82320" w:rsidRDefault="009C439A" w:rsidP="009C439A">
      <w:pPr>
        <w:widowControl/>
        <w:tabs>
          <w:tab w:val="left" w:pos="1701"/>
        </w:tabs>
        <w:suppressAutoHyphens/>
        <w:overflowPunct/>
        <w:autoSpaceDE/>
        <w:autoSpaceDN/>
        <w:adjustRightInd/>
        <w:spacing w:line="240" w:lineRule="atLeast"/>
        <w:ind w:firstLine="0"/>
        <w:textAlignment w:val="auto"/>
        <w:outlineLvl w:val="2"/>
      </w:pPr>
      <w:r>
        <w:t>32.</w:t>
      </w:r>
      <w:r>
        <w:tab/>
      </w:r>
      <w:r w:rsidR="00A82320" w:rsidRPr="00A82320">
        <w:t>Übergangsfrist: Es ist keine Übergangsfrist erforderlich.</w:t>
      </w:r>
    </w:p>
    <w:p w14:paraId="212F2336" w14:textId="77777777" w:rsidR="00A82320" w:rsidRPr="00A82320" w:rsidRDefault="00A82320" w:rsidP="00A82320">
      <w:pPr>
        <w:widowControl/>
        <w:suppressAutoHyphens/>
        <w:overflowPunct/>
        <w:autoSpaceDE/>
        <w:autoSpaceDN/>
        <w:adjustRightInd/>
        <w:spacing w:line="240" w:lineRule="atLeast"/>
        <w:ind w:firstLine="0"/>
        <w:textAlignment w:val="auto"/>
      </w:pPr>
    </w:p>
    <w:p w14:paraId="28669859" w14:textId="0C7825BA" w:rsidR="00A82320" w:rsidRPr="00A82320" w:rsidRDefault="009C439A" w:rsidP="009C439A">
      <w:pPr>
        <w:widowControl/>
        <w:tabs>
          <w:tab w:val="left" w:pos="1701"/>
        </w:tabs>
        <w:suppressAutoHyphens/>
        <w:overflowPunct/>
        <w:autoSpaceDE/>
        <w:autoSpaceDN/>
        <w:adjustRightInd/>
        <w:spacing w:line="240" w:lineRule="atLeast"/>
        <w:ind w:firstLine="0"/>
        <w:textAlignment w:val="auto"/>
      </w:pPr>
      <w:r>
        <w:t>33.</w:t>
      </w:r>
      <w:r>
        <w:tab/>
      </w:r>
      <w:r w:rsidR="00A82320" w:rsidRPr="00A82320">
        <w:t>Durchsetzbarkeit: Der Text wird durch die redaktionellen Änderungen klarer.</w:t>
      </w:r>
    </w:p>
    <w:p w14:paraId="02EF5DFC" w14:textId="77777777" w:rsidR="00A82320" w:rsidRPr="00A82320" w:rsidRDefault="00A82320" w:rsidP="00A82320">
      <w:pPr>
        <w:widowControl/>
        <w:suppressAutoHyphens/>
        <w:overflowPunct/>
        <w:autoSpaceDE/>
        <w:autoSpaceDN/>
        <w:adjustRightInd/>
        <w:spacing w:line="240" w:lineRule="atLeast"/>
        <w:ind w:firstLine="0"/>
        <w:textAlignment w:val="auto"/>
      </w:pPr>
    </w:p>
    <w:p w14:paraId="554CE08E" w14:textId="33F5433F" w:rsidR="006C6CA7" w:rsidRPr="00A82320" w:rsidRDefault="00A82320" w:rsidP="00A82320">
      <w:pPr>
        <w:widowControl/>
        <w:tabs>
          <w:tab w:val="left" w:pos="1701"/>
          <w:tab w:val="left" w:pos="2268"/>
          <w:tab w:val="left" w:pos="2835"/>
        </w:tabs>
        <w:overflowPunct/>
        <w:autoSpaceDE/>
        <w:autoSpaceDN/>
        <w:adjustRightInd/>
        <w:spacing w:after="120" w:line="240" w:lineRule="atLeast"/>
        <w:ind w:right="1134" w:firstLine="0"/>
        <w:jc w:val="center"/>
        <w:textAlignment w:val="auto"/>
      </w:pPr>
      <w:r w:rsidRPr="00A82320">
        <w:t>***</w:t>
      </w:r>
    </w:p>
    <w:sectPr w:rsidR="006C6CA7" w:rsidRPr="00A82320" w:rsidSect="00E06CF7">
      <w:headerReference w:type="even" r:id="rId12"/>
      <w:headerReference w:type="default" r:id="rId13"/>
      <w:footerReference w:type="even" r:id="rId14"/>
      <w:footerReference w:type="default" r:id="rId15"/>
      <w:headerReference w:type="first" r:id="rId16"/>
      <w:footerReference w:type="first" r:id="rId17"/>
      <w:pgSz w:w="11906" w:h="16838"/>
      <w:pgMar w:top="1701"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780AD" w14:textId="77777777" w:rsidR="00325411" w:rsidRDefault="00325411" w:rsidP="0011702A">
      <w:r>
        <w:separator/>
      </w:r>
    </w:p>
  </w:endnote>
  <w:endnote w:type="continuationSeparator" w:id="0">
    <w:p w14:paraId="52B734C3" w14:textId="77777777" w:rsidR="00325411" w:rsidRDefault="0032541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16D6D" w14:textId="60701638" w:rsidR="00915307" w:rsidRPr="00A82320" w:rsidRDefault="00AF1227" w:rsidP="00A82320">
    <w:pPr>
      <w:suppressAutoHyphens/>
      <w:jc w:val="right"/>
      <w:rPr>
        <w:rFonts w:ascii="Arial" w:hAnsi="Arial"/>
        <w:snapToGrid w:val="0"/>
        <w:sz w:val="12"/>
        <w:lang w:val="nl-NL"/>
      </w:rPr>
    </w:pPr>
    <w:proofErr w:type="gramStart"/>
    <w:r w:rsidRPr="00A82320">
      <w:rPr>
        <w:rFonts w:ascii="Arial" w:hAnsi="Arial"/>
        <w:snapToGrid w:val="0"/>
        <w:sz w:val="12"/>
        <w:lang w:val="nl-NL"/>
      </w:rPr>
      <w:t>mm</w:t>
    </w:r>
    <w:proofErr w:type="gramEnd"/>
    <w:r w:rsidRPr="00A82320">
      <w:rPr>
        <w:rFonts w:ascii="Arial" w:hAnsi="Arial"/>
        <w:snapToGrid w:val="0"/>
        <w:sz w:val="12"/>
        <w:lang w:val="nl-NL"/>
      </w:rPr>
      <w:t>/adn_wp15_ac2_202</w:t>
    </w:r>
    <w:r w:rsidR="00AE5D4A" w:rsidRPr="00A82320">
      <w:rPr>
        <w:rFonts w:ascii="Arial" w:hAnsi="Arial"/>
        <w:snapToGrid w:val="0"/>
        <w:sz w:val="12"/>
        <w:lang w:val="nl-NL"/>
      </w:rPr>
      <w:t>4</w:t>
    </w:r>
    <w:r w:rsidRPr="00A82320">
      <w:rPr>
        <w:rFonts w:ascii="Arial" w:hAnsi="Arial"/>
        <w:snapToGrid w:val="0"/>
        <w:sz w:val="12"/>
        <w:lang w:val="nl-NL"/>
      </w:rPr>
      <w:t>_</w:t>
    </w:r>
    <w:r w:rsidR="00F00F21">
      <w:rPr>
        <w:rFonts w:ascii="Arial" w:hAnsi="Arial"/>
        <w:snapToGrid w:val="0"/>
        <w:sz w:val="12"/>
        <w:lang w:val="nl-NL"/>
      </w:rPr>
      <w:t>35</w:t>
    </w:r>
    <w:r w:rsidRPr="00A82320">
      <w:rPr>
        <w:rFonts w:ascii="Arial" w:hAnsi="Arial"/>
        <w:snapToGrid w:val="0"/>
        <w:sz w:val="12"/>
        <w:lang w:val="nl-NL"/>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8697" w14:textId="2975E1C3" w:rsidR="00455E11" w:rsidRPr="00A82320" w:rsidRDefault="008848EC" w:rsidP="00A82320">
    <w:pPr>
      <w:suppressAutoHyphens/>
      <w:jc w:val="right"/>
      <w:rPr>
        <w:rFonts w:ascii="Arial" w:hAnsi="Arial"/>
        <w:snapToGrid w:val="0"/>
        <w:sz w:val="12"/>
        <w:lang w:val="nl-NL"/>
      </w:rPr>
    </w:pPr>
    <w:proofErr w:type="gramStart"/>
    <w:r w:rsidRPr="00A82320">
      <w:rPr>
        <w:rFonts w:ascii="Arial" w:hAnsi="Arial"/>
        <w:snapToGrid w:val="0"/>
        <w:sz w:val="12"/>
        <w:lang w:val="nl-NL"/>
      </w:rPr>
      <w:t>m</w:t>
    </w:r>
    <w:r w:rsidR="006B59D6" w:rsidRPr="00A82320">
      <w:rPr>
        <w:rFonts w:ascii="Arial" w:hAnsi="Arial"/>
        <w:snapToGrid w:val="0"/>
        <w:sz w:val="12"/>
        <w:lang w:val="nl-NL"/>
      </w:rPr>
      <w:t>m</w:t>
    </w:r>
    <w:proofErr w:type="gramEnd"/>
    <w:r w:rsidR="006B59D6" w:rsidRPr="00A82320">
      <w:rPr>
        <w:rFonts w:ascii="Arial" w:hAnsi="Arial"/>
        <w:snapToGrid w:val="0"/>
        <w:sz w:val="12"/>
        <w:lang w:val="nl-NL"/>
      </w:rPr>
      <w:t>/adn_wp15_ac2_202</w:t>
    </w:r>
    <w:r w:rsidR="00AE5D4A" w:rsidRPr="00A82320">
      <w:rPr>
        <w:rFonts w:ascii="Arial" w:hAnsi="Arial"/>
        <w:snapToGrid w:val="0"/>
        <w:sz w:val="12"/>
        <w:lang w:val="nl-NL"/>
      </w:rPr>
      <w:t>4</w:t>
    </w:r>
    <w:r w:rsidR="006B59D6" w:rsidRPr="00A82320">
      <w:rPr>
        <w:rFonts w:ascii="Arial" w:hAnsi="Arial"/>
        <w:snapToGrid w:val="0"/>
        <w:sz w:val="12"/>
        <w:lang w:val="nl-NL"/>
      </w:rPr>
      <w:t>_</w:t>
    </w:r>
    <w:r w:rsidR="00F00F21">
      <w:rPr>
        <w:rFonts w:ascii="Arial" w:hAnsi="Arial"/>
        <w:snapToGrid w:val="0"/>
        <w:sz w:val="12"/>
        <w:lang w:val="nl-NL"/>
      </w:rPr>
      <w:t>35</w:t>
    </w:r>
    <w:r w:rsidR="006B59D6" w:rsidRPr="00A82320">
      <w:rPr>
        <w:rFonts w:ascii="Arial" w:hAnsi="Arial"/>
        <w:snapToGrid w:val="0"/>
        <w:sz w:val="12"/>
        <w:lang w:val="nl-NL"/>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D3CFF" w14:textId="77777777" w:rsidR="00A82320" w:rsidRDefault="00A823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83403" w14:textId="77777777" w:rsidR="00325411" w:rsidRDefault="00325411" w:rsidP="0011702A">
      <w:r>
        <w:separator/>
      </w:r>
    </w:p>
  </w:footnote>
  <w:footnote w:type="continuationSeparator" w:id="0">
    <w:p w14:paraId="326AC1A9" w14:textId="77777777" w:rsidR="00325411" w:rsidRDefault="00325411" w:rsidP="0011702A">
      <w:r>
        <w:continuationSeparator/>
      </w:r>
    </w:p>
  </w:footnote>
  <w:footnote w:id="1">
    <w:p w14:paraId="12321CBD" w14:textId="515492E1" w:rsidR="00A82320" w:rsidRPr="00A82320" w:rsidRDefault="00A82320" w:rsidP="00A82320">
      <w:pPr>
        <w:pStyle w:val="Notedebasdepage"/>
        <w:rPr>
          <w:sz w:val="16"/>
        </w:rPr>
      </w:pPr>
      <w:r w:rsidRPr="00A82320">
        <w:rPr>
          <w:rStyle w:val="Appelnotedebasdep"/>
        </w:rPr>
        <w:tab/>
        <w:t>*</w:t>
      </w:r>
      <w:r w:rsidRPr="00A82320">
        <w:rPr>
          <w:rStyle w:val="Appelnotedebasdep"/>
        </w:rPr>
        <w:tab/>
      </w:r>
      <w:r w:rsidRPr="00A82320">
        <w:rPr>
          <w:sz w:val="16"/>
        </w:rPr>
        <w:t>Von der UNECE in Englisch, Französisch und Russisch unter dem Aktenzeichen ECE/TRANS/WP.15/AC.2/2024/</w:t>
      </w:r>
      <w:r w:rsidR="00D22348">
        <w:rPr>
          <w:sz w:val="16"/>
        </w:rPr>
        <w:t>35</w:t>
      </w:r>
      <w:r w:rsidRPr="00A82320">
        <w:rPr>
          <w:sz w:val="16"/>
        </w:rPr>
        <w:t>.</w:t>
      </w:r>
    </w:p>
  </w:footnote>
  <w:footnote w:id="2">
    <w:p w14:paraId="278526E6" w14:textId="77777777" w:rsidR="00A82320" w:rsidRPr="00A82320" w:rsidRDefault="00A82320" w:rsidP="00A82320">
      <w:pPr>
        <w:pStyle w:val="Notedebasdepage"/>
        <w:rPr>
          <w:sz w:val="16"/>
        </w:rPr>
      </w:pPr>
      <w:r w:rsidRPr="00A82320">
        <w:rPr>
          <w:rStyle w:val="Appelnotedebasdep"/>
        </w:rPr>
        <w:tab/>
        <w:t>**</w:t>
      </w:r>
      <w:r w:rsidRPr="00A82320">
        <w:rPr>
          <w:rStyle w:val="Appelnotedebasdep"/>
        </w:rPr>
        <w:tab/>
      </w:r>
      <w:r w:rsidRPr="00A82320">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3FF0B" w14:textId="77B9DD81" w:rsidR="00DA541A" w:rsidRPr="00A82320" w:rsidRDefault="00DA541A" w:rsidP="00A82320">
    <w:pPr>
      <w:widowControl/>
      <w:suppressAutoHyphens/>
      <w:overflowPunct/>
      <w:autoSpaceDE/>
      <w:autoSpaceDN/>
      <w:adjustRightInd/>
      <w:ind w:left="0" w:firstLine="0"/>
      <w:jc w:val="left"/>
      <w:textAlignment w:val="auto"/>
      <w:rPr>
        <w:rFonts w:ascii="Arial" w:hAnsi="Arial"/>
        <w:snapToGrid w:val="0"/>
        <w:sz w:val="16"/>
        <w:lang w:val="en-GB"/>
      </w:rPr>
    </w:pPr>
    <w:r w:rsidRPr="00A82320">
      <w:rPr>
        <w:rFonts w:ascii="Arial" w:hAnsi="Arial"/>
        <w:snapToGrid w:val="0"/>
        <w:sz w:val="16"/>
        <w:lang w:val="en-GB"/>
      </w:rPr>
      <w:t>CCNR-ZKR/ADN/WP.15/AC.2/202</w:t>
    </w:r>
    <w:r w:rsidR="00AE5D4A" w:rsidRPr="00A82320">
      <w:rPr>
        <w:rFonts w:ascii="Arial" w:hAnsi="Arial"/>
        <w:snapToGrid w:val="0"/>
        <w:sz w:val="16"/>
        <w:lang w:val="en-GB"/>
      </w:rPr>
      <w:t>4</w:t>
    </w:r>
    <w:r w:rsidRPr="00A82320">
      <w:rPr>
        <w:rFonts w:ascii="Arial" w:hAnsi="Arial"/>
        <w:snapToGrid w:val="0"/>
        <w:sz w:val="16"/>
        <w:lang w:val="en-GB"/>
      </w:rPr>
      <w:t>/</w:t>
    </w:r>
    <w:r w:rsidR="00F00F21">
      <w:rPr>
        <w:rFonts w:ascii="Arial" w:hAnsi="Arial"/>
        <w:snapToGrid w:val="0"/>
        <w:sz w:val="16"/>
        <w:lang w:val="en-GB"/>
      </w:rPr>
      <w:t>35</w:t>
    </w:r>
  </w:p>
  <w:p w14:paraId="532A701C" w14:textId="77777777" w:rsidR="00DA541A" w:rsidRPr="00A82320" w:rsidRDefault="00DA541A" w:rsidP="00A82320">
    <w:pPr>
      <w:widowControl/>
      <w:suppressAutoHyphens/>
      <w:overflowPunct/>
      <w:autoSpaceDE/>
      <w:autoSpaceDN/>
      <w:adjustRightInd/>
      <w:ind w:left="0" w:firstLine="0"/>
      <w:jc w:val="left"/>
      <w:textAlignment w:val="auto"/>
      <w:rPr>
        <w:rFonts w:ascii="Arial" w:hAnsi="Arial"/>
        <w:snapToGrid w:val="0"/>
        <w:sz w:val="16"/>
      </w:rPr>
    </w:pPr>
    <w:r w:rsidRPr="00A82320">
      <w:rPr>
        <w:rFonts w:ascii="Arial" w:hAnsi="Arial"/>
        <w:snapToGrid w:val="0"/>
        <w:sz w:val="16"/>
      </w:rPr>
      <w:t xml:space="preserve">Seite </w:t>
    </w:r>
    <w:r w:rsidRPr="00A82320">
      <w:rPr>
        <w:rFonts w:ascii="Arial" w:hAnsi="Arial"/>
        <w:snapToGrid w:val="0"/>
        <w:sz w:val="16"/>
      </w:rPr>
      <w:fldChar w:fldCharType="begin"/>
    </w:r>
    <w:r w:rsidRPr="00A82320">
      <w:rPr>
        <w:rFonts w:ascii="Arial" w:hAnsi="Arial"/>
        <w:snapToGrid w:val="0"/>
        <w:sz w:val="16"/>
      </w:rPr>
      <w:instrText xml:space="preserve"> PAGE  \* MERGEFORMAT </w:instrText>
    </w:r>
    <w:r w:rsidRPr="00A82320">
      <w:rPr>
        <w:rFonts w:ascii="Arial" w:hAnsi="Arial"/>
        <w:snapToGrid w:val="0"/>
        <w:sz w:val="16"/>
      </w:rPr>
      <w:fldChar w:fldCharType="separate"/>
    </w:r>
    <w:r w:rsidR="009767E1" w:rsidRPr="00A82320">
      <w:rPr>
        <w:rFonts w:ascii="Arial" w:hAnsi="Arial"/>
        <w:snapToGrid w:val="0"/>
        <w:sz w:val="16"/>
      </w:rPr>
      <w:t>2</w:t>
    </w:r>
    <w:r w:rsidRPr="00A82320">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84A4C" w14:textId="52A78DD6" w:rsidR="00DA541A" w:rsidRPr="00A82320" w:rsidRDefault="00DA541A" w:rsidP="00A82320">
    <w:pPr>
      <w:widowControl/>
      <w:suppressAutoHyphens/>
      <w:overflowPunct/>
      <w:autoSpaceDE/>
      <w:autoSpaceDN/>
      <w:adjustRightInd/>
      <w:ind w:left="0" w:firstLine="0"/>
      <w:jc w:val="right"/>
      <w:textAlignment w:val="auto"/>
      <w:rPr>
        <w:rFonts w:ascii="Arial" w:hAnsi="Arial"/>
        <w:snapToGrid w:val="0"/>
        <w:sz w:val="16"/>
        <w:lang w:val="en-GB"/>
      </w:rPr>
    </w:pPr>
    <w:r w:rsidRPr="00A82320">
      <w:rPr>
        <w:rFonts w:ascii="Arial" w:hAnsi="Arial"/>
        <w:snapToGrid w:val="0"/>
        <w:sz w:val="16"/>
        <w:lang w:val="en-GB"/>
      </w:rPr>
      <w:t>CCNR-ZKR/ADN/WP.15/AC.2/202</w:t>
    </w:r>
    <w:r w:rsidR="00AE5D4A" w:rsidRPr="00A82320">
      <w:rPr>
        <w:rFonts w:ascii="Arial" w:hAnsi="Arial"/>
        <w:snapToGrid w:val="0"/>
        <w:sz w:val="16"/>
        <w:lang w:val="en-GB"/>
      </w:rPr>
      <w:t>4</w:t>
    </w:r>
    <w:r w:rsidRPr="00A82320">
      <w:rPr>
        <w:rFonts w:ascii="Arial" w:hAnsi="Arial"/>
        <w:snapToGrid w:val="0"/>
        <w:sz w:val="16"/>
        <w:lang w:val="en-GB"/>
      </w:rPr>
      <w:t>/</w:t>
    </w:r>
    <w:r w:rsidR="00DF446E" w:rsidRPr="00A82320">
      <w:rPr>
        <w:rFonts w:ascii="Arial" w:hAnsi="Arial"/>
        <w:snapToGrid w:val="0"/>
        <w:sz w:val="16"/>
        <w:lang w:val="en-GB"/>
      </w:rPr>
      <w:t>BB1</w:t>
    </w:r>
  </w:p>
  <w:p w14:paraId="526710C3" w14:textId="77777777" w:rsidR="00DA541A" w:rsidRPr="00A82320" w:rsidRDefault="00DA541A" w:rsidP="00A82320">
    <w:pPr>
      <w:widowControl/>
      <w:suppressAutoHyphens/>
      <w:overflowPunct/>
      <w:autoSpaceDE/>
      <w:autoSpaceDN/>
      <w:adjustRightInd/>
      <w:ind w:left="0" w:firstLine="0"/>
      <w:jc w:val="right"/>
      <w:textAlignment w:val="auto"/>
      <w:rPr>
        <w:rFonts w:ascii="Arial" w:hAnsi="Arial"/>
        <w:snapToGrid w:val="0"/>
        <w:sz w:val="16"/>
      </w:rPr>
    </w:pPr>
    <w:r w:rsidRPr="00A82320">
      <w:rPr>
        <w:rFonts w:ascii="Arial" w:hAnsi="Arial"/>
        <w:snapToGrid w:val="0"/>
        <w:sz w:val="16"/>
      </w:rPr>
      <w:t xml:space="preserve">Seite </w:t>
    </w:r>
    <w:r w:rsidRPr="00A82320">
      <w:rPr>
        <w:rFonts w:ascii="Arial" w:hAnsi="Arial"/>
        <w:snapToGrid w:val="0"/>
        <w:sz w:val="16"/>
      </w:rPr>
      <w:fldChar w:fldCharType="begin"/>
    </w:r>
    <w:r w:rsidRPr="00A82320">
      <w:rPr>
        <w:rFonts w:ascii="Arial" w:hAnsi="Arial"/>
        <w:snapToGrid w:val="0"/>
        <w:sz w:val="16"/>
      </w:rPr>
      <w:instrText xml:space="preserve"> PAGE  \* MERGEFORMAT </w:instrText>
    </w:r>
    <w:r w:rsidRPr="00A82320">
      <w:rPr>
        <w:rFonts w:ascii="Arial" w:hAnsi="Arial"/>
        <w:snapToGrid w:val="0"/>
        <w:sz w:val="16"/>
      </w:rPr>
      <w:fldChar w:fldCharType="separate"/>
    </w:r>
    <w:r w:rsidR="00C96029" w:rsidRPr="00A82320">
      <w:rPr>
        <w:rFonts w:ascii="Arial" w:hAnsi="Arial"/>
        <w:snapToGrid w:val="0"/>
        <w:sz w:val="16"/>
      </w:rPr>
      <w:t>3</w:t>
    </w:r>
    <w:r w:rsidRPr="00A82320">
      <w:rPr>
        <w:rFonts w:ascii="Arial" w:hAnsi="Arial"/>
        <w:snapToGrid w:val="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1A433" w14:textId="77777777" w:rsidR="00A82320" w:rsidRDefault="00A823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51A3338"/>
    <w:multiLevelType w:val="hybridMultilevel"/>
    <w:tmpl w:val="386AAD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255D2A02"/>
    <w:multiLevelType w:val="hybridMultilevel"/>
    <w:tmpl w:val="8764960C"/>
    <w:lvl w:ilvl="0" w:tplc="1BDAF9CA">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15:restartNumberingAfterBreak="0">
    <w:nsid w:val="4A864CB6"/>
    <w:multiLevelType w:val="hybridMultilevel"/>
    <w:tmpl w:val="42261728"/>
    <w:lvl w:ilvl="0" w:tplc="1BDAF9CA">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3A63D5"/>
    <w:multiLevelType w:val="hybridMultilevel"/>
    <w:tmpl w:val="CCFC9E12"/>
    <w:lvl w:ilvl="0" w:tplc="040C0001">
      <w:start w:val="1"/>
      <w:numFmt w:val="bullet"/>
      <w:lvlText w:val=""/>
      <w:lvlJc w:val="left"/>
      <w:pPr>
        <w:ind w:left="1494" w:hanging="360"/>
      </w:pPr>
      <w:rPr>
        <w:rFonts w:ascii="Symbol" w:hAnsi="Symbol" w:hint="default"/>
      </w:rPr>
    </w:lvl>
    <w:lvl w:ilvl="1" w:tplc="040C0001">
      <w:start w:val="1"/>
      <w:numFmt w:val="bullet"/>
      <w:lvlText w:val=""/>
      <w:lvlJc w:val="left"/>
      <w:pPr>
        <w:ind w:left="2214" w:hanging="360"/>
      </w:pPr>
      <w:rPr>
        <w:rFonts w:ascii="Symbol" w:hAnsi="Symbo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3"/>
  </w:num>
  <w:num w:numId="3" w16cid:durableId="887492727">
    <w:abstractNumId w:val="10"/>
  </w:num>
  <w:num w:numId="4" w16cid:durableId="58795070">
    <w:abstractNumId w:val="12"/>
  </w:num>
  <w:num w:numId="5" w16cid:durableId="2117282849">
    <w:abstractNumId w:val="5"/>
  </w:num>
  <w:num w:numId="6" w16cid:durableId="64181020">
    <w:abstractNumId w:val="4"/>
  </w:num>
  <w:num w:numId="7" w16cid:durableId="447357181">
    <w:abstractNumId w:val="8"/>
  </w:num>
  <w:num w:numId="8" w16cid:durableId="222369782">
    <w:abstractNumId w:val="1"/>
  </w:num>
  <w:num w:numId="9" w16cid:durableId="1770274270">
    <w:abstractNumId w:val="6"/>
  </w:num>
  <w:num w:numId="10" w16cid:durableId="1277785599">
    <w:abstractNumId w:val="2"/>
  </w:num>
  <w:num w:numId="11" w16cid:durableId="450364422">
    <w:abstractNumId w:val="7"/>
  </w:num>
  <w:num w:numId="12" w16cid:durableId="1914661953">
    <w:abstractNumId w:val="9"/>
  </w:num>
  <w:num w:numId="13" w16cid:durableId="208303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0E2C"/>
    <w:rsid w:val="00025C95"/>
    <w:rsid w:val="00026176"/>
    <w:rsid w:val="0003284B"/>
    <w:rsid w:val="00034828"/>
    <w:rsid w:val="00036FD5"/>
    <w:rsid w:val="000402D6"/>
    <w:rsid w:val="00041328"/>
    <w:rsid w:val="0004134B"/>
    <w:rsid w:val="000415F3"/>
    <w:rsid w:val="000432E3"/>
    <w:rsid w:val="000439F1"/>
    <w:rsid w:val="00043FEC"/>
    <w:rsid w:val="00047E84"/>
    <w:rsid w:val="00052E7E"/>
    <w:rsid w:val="000543C2"/>
    <w:rsid w:val="000563D5"/>
    <w:rsid w:val="00056B10"/>
    <w:rsid w:val="00057DC8"/>
    <w:rsid w:val="0006299C"/>
    <w:rsid w:val="00071E8B"/>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3C6"/>
    <w:rsid w:val="000D7FD6"/>
    <w:rsid w:val="000E3D90"/>
    <w:rsid w:val="000E4620"/>
    <w:rsid w:val="000E6786"/>
    <w:rsid w:val="000F17DE"/>
    <w:rsid w:val="000F6242"/>
    <w:rsid w:val="000F79E4"/>
    <w:rsid w:val="001013D7"/>
    <w:rsid w:val="001015D4"/>
    <w:rsid w:val="00103513"/>
    <w:rsid w:val="00105AE1"/>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57E97"/>
    <w:rsid w:val="0016040C"/>
    <w:rsid w:val="0016468C"/>
    <w:rsid w:val="00165DD4"/>
    <w:rsid w:val="0016790C"/>
    <w:rsid w:val="00171A35"/>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0F27"/>
    <w:rsid w:val="001D1B0A"/>
    <w:rsid w:val="001D34F6"/>
    <w:rsid w:val="001D4239"/>
    <w:rsid w:val="001D7319"/>
    <w:rsid w:val="001E4D07"/>
    <w:rsid w:val="001E515F"/>
    <w:rsid w:val="001E7BF9"/>
    <w:rsid w:val="0020240A"/>
    <w:rsid w:val="00202E6D"/>
    <w:rsid w:val="0020337F"/>
    <w:rsid w:val="00205465"/>
    <w:rsid w:val="002132D2"/>
    <w:rsid w:val="0021469F"/>
    <w:rsid w:val="00221D05"/>
    <w:rsid w:val="00223DF9"/>
    <w:rsid w:val="00231D22"/>
    <w:rsid w:val="00235B56"/>
    <w:rsid w:val="00240203"/>
    <w:rsid w:val="002406C8"/>
    <w:rsid w:val="0024118A"/>
    <w:rsid w:val="002421A1"/>
    <w:rsid w:val="002431F2"/>
    <w:rsid w:val="002460C4"/>
    <w:rsid w:val="00250FDB"/>
    <w:rsid w:val="00253DB1"/>
    <w:rsid w:val="002546D9"/>
    <w:rsid w:val="00255192"/>
    <w:rsid w:val="0027414F"/>
    <w:rsid w:val="002748A2"/>
    <w:rsid w:val="00280779"/>
    <w:rsid w:val="00283323"/>
    <w:rsid w:val="00290B95"/>
    <w:rsid w:val="00291CB3"/>
    <w:rsid w:val="00291CFA"/>
    <w:rsid w:val="00293696"/>
    <w:rsid w:val="002945CA"/>
    <w:rsid w:val="002A337E"/>
    <w:rsid w:val="002A53A6"/>
    <w:rsid w:val="002B0567"/>
    <w:rsid w:val="002B0630"/>
    <w:rsid w:val="002B3FEF"/>
    <w:rsid w:val="002B4C67"/>
    <w:rsid w:val="002B5AED"/>
    <w:rsid w:val="002B5AFB"/>
    <w:rsid w:val="002C0469"/>
    <w:rsid w:val="002C2878"/>
    <w:rsid w:val="002C382E"/>
    <w:rsid w:val="002C742A"/>
    <w:rsid w:val="002D1BFB"/>
    <w:rsid w:val="002D4720"/>
    <w:rsid w:val="002D7C79"/>
    <w:rsid w:val="002E05AA"/>
    <w:rsid w:val="002E0D39"/>
    <w:rsid w:val="002E2DAD"/>
    <w:rsid w:val="002E3745"/>
    <w:rsid w:val="002E3FE8"/>
    <w:rsid w:val="002E6A16"/>
    <w:rsid w:val="002E7227"/>
    <w:rsid w:val="002F4FC6"/>
    <w:rsid w:val="00303233"/>
    <w:rsid w:val="003033DD"/>
    <w:rsid w:val="00312970"/>
    <w:rsid w:val="00316D5A"/>
    <w:rsid w:val="0032045B"/>
    <w:rsid w:val="00320C5F"/>
    <w:rsid w:val="00322953"/>
    <w:rsid w:val="003233C8"/>
    <w:rsid w:val="00325411"/>
    <w:rsid w:val="00325D76"/>
    <w:rsid w:val="003263B1"/>
    <w:rsid w:val="00326B14"/>
    <w:rsid w:val="00337027"/>
    <w:rsid w:val="00337284"/>
    <w:rsid w:val="00342BA1"/>
    <w:rsid w:val="003439FC"/>
    <w:rsid w:val="00344C19"/>
    <w:rsid w:val="003510C9"/>
    <w:rsid w:val="00351F70"/>
    <w:rsid w:val="00357412"/>
    <w:rsid w:val="00361725"/>
    <w:rsid w:val="00363525"/>
    <w:rsid w:val="0036362E"/>
    <w:rsid w:val="00364E68"/>
    <w:rsid w:val="003702C7"/>
    <w:rsid w:val="00372561"/>
    <w:rsid w:val="0037328B"/>
    <w:rsid w:val="00374B30"/>
    <w:rsid w:val="0038428F"/>
    <w:rsid w:val="003866B8"/>
    <w:rsid w:val="00386A42"/>
    <w:rsid w:val="00387545"/>
    <w:rsid w:val="00394763"/>
    <w:rsid w:val="00395742"/>
    <w:rsid w:val="00395748"/>
    <w:rsid w:val="00397E52"/>
    <w:rsid w:val="003A2337"/>
    <w:rsid w:val="003B23DA"/>
    <w:rsid w:val="003C0CEA"/>
    <w:rsid w:val="003C5AFD"/>
    <w:rsid w:val="003C61C4"/>
    <w:rsid w:val="003D3605"/>
    <w:rsid w:val="003D5B9B"/>
    <w:rsid w:val="003D7BD0"/>
    <w:rsid w:val="003E1B4C"/>
    <w:rsid w:val="003E328C"/>
    <w:rsid w:val="003E5B17"/>
    <w:rsid w:val="003E6E61"/>
    <w:rsid w:val="003F334D"/>
    <w:rsid w:val="00400ADD"/>
    <w:rsid w:val="00401179"/>
    <w:rsid w:val="0040118C"/>
    <w:rsid w:val="004027F5"/>
    <w:rsid w:val="0040293E"/>
    <w:rsid w:val="00405327"/>
    <w:rsid w:val="00406965"/>
    <w:rsid w:val="00410285"/>
    <w:rsid w:val="00415794"/>
    <w:rsid w:val="004176F9"/>
    <w:rsid w:val="00421FD0"/>
    <w:rsid w:val="0042706E"/>
    <w:rsid w:val="00427609"/>
    <w:rsid w:val="00427804"/>
    <w:rsid w:val="00430CD0"/>
    <w:rsid w:val="00432779"/>
    <w:rsid w:val="00432C11"/>
    <w:rsid w:val="0043373F"/>
    <w:rsid w:val="0043787C"/>
    <w:rsid w:val="00442166"/>
    <w:rsid w:val="00446085"/>
    <w:rsid w:val="0045323C"/>
    <w:rsid w:val="0045350F"/>
    <w:rsid w:val="00454151"/>
    <w:rsid w:val="0045596C"/>
    <w:rsid w:val="00455E11"/>
    <w:rsid w:val="004621A8"/>
    <w:rsid w:val="00464867"/>
    <w:rsid w:val="00466FB5"/>
    <w:rsid w:val="00472198"/>
    <w:rsid w:val="004819A4"/>
    <w:rsid w:val="0048292C"/>
    <w:rsid w:val="00483272"/>
    <w:rsid w:val="004847DC"/>
    <w:rsid w:val="00492FA6"/>
    <w:rsid w:val="004957ED"/>
    <w:rsid w:val="004965DA"/>
    <w:rsid w:val="0049785E"/>
    <w:rsid w:val="004A0752"/>
    <w:rsid w:val="004A3FE7"/>
    <w:rsid w:val="004A46B8"/>
    <w:rsid w:val="004A7E8E"/>
    <w:rsid w:val="004B0D93"/>
    <w:rsid w:val="004B25CA"/>
    <w:rsid w:val="004B7EA6"/>
    <w:rsid w:val="004C18DE"/>
    <w:rsid w:val="004D23FB"/>
    <w:rsid w:val="004D323E"/>
    <w:rsid w:val="004D760D"/>
    <w:rsid w:val="004E41F6"/>
    <w:rsid w:val="004E622A"/>
    <w:rsid w:val="004F2E32"/>
    <w:rsid w:val="004F3B7F"/>
    <w:rsid w:val="004F4DE3"/>
    <w:rsid w:val="004F5608"/>
    <w:rsid w:val="004F7A39"/>
    <w:rsid w:val="005030D3"/>
    <w:rsid w:val="00503BC0"/>
    <w:rsid w:val="005100DF"/>
    <w:rsid w:val="0051114B"/>
    <w:rsid w:val="0051476B"/>
    <w:rsid w:val="00514AB7"/>
    <w:rsid w:val="0051535A"/>
    <w:rsid w:val="00527B1B"/>
    <w:rsid w:val="00534340"/>
    <w:rsid w:val="00536AB1"/>
    <w:rsid w:val="00540161"/>
    <w:rsid w:val="00540683"/>
    <w:rsid w:val="005533B4"/>
    <w:rsid w:val="00561447"/>
    <w:rsid w:val="0056152E"/>
    <w:rsid w:val="005641A5"/>
    <w:rsid w:val="0056605A"/>
    <w:rsid w:val="0056608B"/>
    <w:rsid w:val="005718EF"/>
    <w:rsid w:val="00573D3E"/>
    <w:rsid w:val="0057786D"/>
    <w:rsid w:val="0058025F"/>
    <w:rsid w:val="00582B60"/>
    <w:rsid w:val="00583496"/>
    <w:rsid w:val="00584069"/>
    <w:rsid w:val="00585999"/>
    <w:rsid w:val="00586819"/>
    <w:rsid w:val="00591A7D"/>
    <w:rsid w:val="005920BB"/>
    <w:rsid w:val="00593E26"/>
    <w:rsid w:val="00595C5C"/>
    <w:rsid w:val="00596953"/>
    <w:rsid w:val="005A1A44"/>
    <w:rsid w:val="005A20E4"/>
    <w:rsid w:val="005A5B6A"/>
    <w:rsid w:val="005B6280"/>
    <w:rsid w:val="005C2ECA"/>
    <w:rsid w:val="005C558D"/>
    <w:rsid w:val="005C7246"/>
    <w:rsid w:val="005E1804"/>
    <w:rsid w:val="005E5A86"/>
    <w:rsid w:val="005E5EF7"/>
    <w:rsid w:val="005F26AD"/>
    <w:rsid w:val="005F2AEB"/>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8C2"/>
    <w:rsid w:val="00626C86"/>
    <w:rsid w:val="006277B3"/>
    <w:rsid w:val="00630422"/>
    <w:rsid w:val="00635463"/>
    <w:rsid w:val="00635F4A"/>
    <w:rsid w:val="00642215"/>
    <w:rsid w:val="00643AEA"/>
    <w:rsid w:val="00651386"/>
    <w:rsid w:val="00651558"/>
    <w:rsid w:val="00653BDC"/>
    <w:rsid w:val="00660D40"/>
    <w:rsid w:val="0066312D"/>
    <w:rsid w:val="00663395"/>
    <w:rsid w:val="006639F3"/>
    <w:rsid w:val="00666284"/>
    <w:rsid w:val="00670028"/>
    <w:rsid w:val="006702A6"/>
    <w:rsid w:val="00672E12"/>
    <w:rsid w:val="006739C8"/>
    <w:rsid w:val="00677582"/>
    <w:rsid w:val="00687752"/>
    <w:rsid w:val="006904D9"/>
    <w:rsid w:val="00691292"/>
    <w:rsid w:val="0069164E"/>
    <w:rsid w:val="006920A8"/>
    <w:rsid w:val="006924C5"/>
    <w:rsid w:val="00693A58"/>
    <w:rsid w:val="006970A1"/>
    <w:rsid w:val="006A0959"/>
    <w:rsid w:val="006A1747"/>
    <w:rsid w:val="006A507B"/>
    <w:rsid w:val="006A73AD"/>
    <w:rsid w:val="006A7656"/>
    <w:rsid w:val="006A7F94"/>
    <w:rsid w:val="006B1AA4"/>
    <w:rsid w:val="006B2A78"/>
    <w:rsid w:val="006B51FD"/>
    <w:rsid w:val="006B57B7"/>
    <w:rsid w:val="006B59D6"/>
    <w:rsid w:val="006B5F03"/>
    <w:rsid w:val="006B63B1"/>
    <w:rsid w:val="006B7C55"/>
    <w:rsid w:val="006C6354"/>
    <w:rsid w:val="006C6A7F"/>
    <w:rsid w:val="006C6CA7"/>
    <w:rsid w:val="006D594B"/>
    <w:rsid w:val="006D6D01"/>
    <w:rsid w:val="006E10F5"/>
    <w:rsid w:val="006F3126"/>
    <w:rsid w:val="006F3C42"/>
    <w:rsid w:val="006F4A9E"/>
    <w:rsid w:val="006F61F7"/>
    <w:rsid w:val="0070287D"/>
    <w:rsid w:val="00702BE6"/>
    <w:rsid w:val="00706883"/>
    <w:rsid w:val="007147BF"/>
    <w:rsid w:val="007225A1"/>
    <w:rsid w:val="0072383E"/>
    <w:rsid w:val="00741D8D"/>
    <w:rsid w:val="00742BD3"/>
    <w:rsid w:val="00742E01"/>
    <w:rsid w:val="00751575"/>
    <w:rsid w:val="00754516"/>
    <w:rsid w:val="00760FB2"/>
    <w:rsid w:val="007705CB"/>
    <w:rsid w:val="0077210B"/>
    <w:rsid w:val="00773B7E"/>
    <w:rsid w:val="0079124E"/>
    <w:rsid w:val="00792E94"/>
    <w:rsid w:val="00794CE8"/>
    <w:rsid w:val="007971FB"/>
    <w:rsid w:val="007A19A7"/>
    <w:rsid w:val="007A3544"/>
    <w:rsid w:val="007A584D"/>
    <w:rsid w:val="007B200A"/>
    <w:rsid w:val="007B35E7"/>
    <w:rsid w:val="007B5D5A"/>
    <w:rsid w:val="007C1775"/>
    <w:rsid w:val="007C1AA7"/>
    <w:rsid w:val="007D1EF9"/>
    <w:rsid w:val="007D2FA0"/>
    <w:rsid w:val="007D6265"/>
    <w:rsid w:val="007E4902"/>
    <w:rsid w:val="007E7F2A"/>
    <w:rsid w:val="007F1EF0"/>
    <w:rsid w:val="00801478"/>
    <w:rsid w:val="00802F0A"/>
    <w:rsid w:val="00803440"/>
    <w:rsid w:val="00805AEB"/>
    <w:rsid w:val="00810504"/>
    <w:rsid w:val="0081450F"/>
    <w:rsid w:val="008149EA"/>
    <w:rsid w:val="00820289"/>
    <w:rsid w:val="008221C0"/>
    <w:rsid w:val="00826787"/>
    <w:rsid w:val="00830A6D"/>
    <w:rsid w:val="00830EC1"/>
    <w:rsid w:val="00834438"/>
    <w:rsid w:val="00835551"/>
    <w:rsid w:val="00836749"/>
    <w:rsid w:val="00837FB8"/>
    <w:rsid w:val="00841328"/>
    <w:rsid w:val="00854209"/>
    <w:rsid w:val="0086266B"/>
    <w:rsid w:val="0086477D"/>
    <w:rsid w:val="008650FC"/>
    <w:rsid w:val="008677BA"/>
    <w:rsid w:val="0087179D"/>
    <w:rsid w:val="00873972"/>
    <w:rsid w:val="0087551D"/>
    <w:rsid w:val="00876F50"/>
    <w:rsid w:val="008848EC"/>
    <w:rsid w:val="00893B16"/>
    <w:rsid w:val="00894221"/>
    <w:rsid w:val="00896081"/>
    <w:rsid w:val="008967B7"/>
    <w:rsid w:val="008A13A6"/>
    <w:rsid w:val="008A42A5"/>
    <w:rsid w:val="008A6928"/>
    <w:rsid w:val="008A6D40"/>
    <w:rsid w:val="008B3106"/>
    <w:rsid w:val="008B56D1"/>
    <w:rsid w:val="008B6668"/>
    <w:rsid w:val="008B7C4B"/>
    <w:rsid w:val="008C42D5"/>
    <w:rsid w:val="008C5274"/>
    <w:rsid w:val="008D3CEC"/>
    <w:rsid w:val="008D3DAE"/>
    <w:rsid w:val="008F2601"/>
    <w:rsid w:val="008F283A"/>
    <w:rsid w:val="008F4B57"/>
    <w:rsid w:val="00901FC4"/>
    <w:rsid w:val="00903D48"/>
    <w:rsid w:val="0090748A"/>
    <w:rsid w:val="00912A46"/>
    <w:rsid w:val="009136F6"/>
    <w:rsid w:val="00915307"/>
    <w:rsid w:val="009411AB"/>
    <w:rsid w:val="009422FA"/>
    <w:rsid w:val="0094594F"/>
    <w:rsid w:val="00946D8A"/>
    <w:rsid w:val="00953866"/>
    <w:rsid w:val="009629E6"/>
    <w:rsid w:val="00962E31"/>
    <w:rsid w:val="00965DC5"/>
    <w:rsid w:val="00966CE6"/>
    <w:rsid w:val="00975B09"/>
    <w:rsid w:val="009763A5"/>
    <w:rsid w:val="009767E1"/>
    <w:rsid w:val="009771C0"/>
    <w:rsid w:val="009777E8"/>
    <w:rsid w:val="00981397"/>
    <w:rsid w:val="0098158C"/>
    <w:rsid w:val="00987D27"/>
    <w:rsid w:val="0099031A"/>
    <w:rsid w:val="00991BA0"/>
    <w:rsid w:val="00992A56"/>
    <w:rsid w:val="009A330E"/>
    <w:rsid w:val="009A34CB"/>
    <w:rsid w:val="009A4FC8"/>
    <w:rsid w:val="009A69DE"/>
    <w:rsid w:val="009B0BB9"/>
    <w:rsid w:val="009B3B1B"/>
    <w:rsid w:val="009C228D"/>
    <w:rsid w:val="009C439A"/>
    <w:rsid w:val="009C79C4"/>
    <w:rsid w:val="009E0ED9"/>
    <w:rsid w:val="009E281C"/>
    <w:rsid w:val="009E2F53"/>
    <w:rsid w:val="009E3EBD"/>
    <w:rsid w:val="009E6799"/>
    <w:rsid w:val="009E795B"/>
    <w:rsid w:val="009F2629"/>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12EE"/>
    <w:rsid w:val="00A34A45"/>
    <w:rsid w:val="00A43936"/>
    <w:rsid w:val="00A53208"/>
    <w:rsid w:val="00A57CE8"/>
    <w:rsid w:val="00A62126"/>
    <w:rsid w:val="00A71FAE"/>
    <w:rsid w:val="00A73F86"/>
    <w:rsid w:val="00A77993"/>
    <w:rsid w:val="00A77C4E"/>
    <w:rsid w:val="00A81D2D"/>
    <w:rsid w:val="00A82320"/>
    <w:rsid w:val="00A917C1"/>
    <w:rsid w:val="00A94B80"/>
    <w:rsid w:val="00A952F9"/>
    <w:rsid w:val="00AA26CB"/>
    <w:rsid w:val="00AA4A27"/>
    <w:rsid w:val="00AA4EE7"/>
    <w:rsid w:val="00AB0162"/>
    <w:rsid w:val="00AB23F2"/>
    <w:rsid w:val="00AB6055"/>
    <w:rsid w:val="00AB6CAD"/>
    <w:rsid w:val="00AC1577"/>
    <w:rsid w:val="00AC3059"/>
    <w:rsid w:val="00AC79AA"/>
    <w:rsid w:val="00AD1D10"/>
    <w:rsid w:val="00AD68F2"/>
    <w:rsid w:val="00AD69C2"/>
    <w:rsid w:val="00AE50D2"/>
    <w:rsid w:val="00AE5D4A"/>
    <w:rsid w:val="00AE73A7"/>
    <w:rsid w:val="00AE7E9E"/>
    <w:rsid w:val="00AF1227"/>
    <w:rsid w:val="00AF6E21"/>
    <w:rsid w:val="00B02145"/>
    <w:rsid w:val="00B041A6"/>
    <w:rsid w:val="00B11AE6"/>
    <w:rsid w:val="00B152A7"/>
    <w:rsid w:val="00B17A75"/>
    <w:rsid w:val="00B2269A"/>
    <w:rsid w:val="00B26810"/>
    <w:rsid w:val="00B30626"/>
    <w:rsid w:val="00B33316"/>
    <w:rsid w:val="00B34544"/>
    <w:rsid w:val="00B40836"/>
    <w:rsid w:val="00B41BB5"/>
    <w:rsid w:val="00B45122"/>
    <w:rsid w:val="00B4533C"/>
    <w:rsid w:val="00B47F6F"/>
    <w:rsid w:val="00B55F41"/>
    <w:rsid w:val="00B60659"/>
    <w:rsid w:val="00B71545"/>
    <w:rsid w:val="00B737F6"/>
    <w:rsid w:val="00B7461E"/>
    <w:rsid w:val="00B76631"/>
    <w:rsid w:val="00B80DBC"/>
    <w:rsid w:val="00B81581"/>
    <w:rsid w:val="00B81860"/>
    <w:rsid w:val="00B827ED"/>
    <w:rsid w:val="00B87AB9"/>
    <w:rsid w:val="00B91D33"/>
    <w:rsid w:val="00B92BF7"/>
    <w:rsid w:val="00B9368D"/>
    <w:rsid w:val="00B940F8"/>
    <w:rsid w:val="00BA19A8"/>
    <w:rsid w:val="00BA2F7E"/>
    <w:rsid w:val="00BA358B"/>
    <w:rsid w:val="00BA3F1F"/>
    <w:rsid w:val="00BA6693"/>
    <w:rsid w:val="00BB165F"/>
    <w:rsid w:val="00BB2346"/>
    <w:rsid w:val="00BC00D3"/>
    <w:rsid w:val="00BC0C56"/>
    <w:rsid w:val="00BC224B"/>
    <w:rsid w:val="00BC453B"/>
    <w:rsid w:val="00BC4EC9"/>
    <w:rsid w:val="00BD6076"/>
    <w:rsid w:val="00BD77CE"/>
    <w:rsid w:val="00BF10E1"/>
    <w:rsid w:val="00BF2066"/>
    <w:rsid w:val="00BF414C"/>
    <w:rsid w:val="00BF6A72"/>
    <w:rsid w:val="00BF7D16"/>
    <w:rsid w:val="00C01D3D"/>
    <w:rsid w:val="00C05BE8"/>
    <w:rsid w:val="00C05CED"/>
    <w:rsid w:val="00C1252B"/>
    <w:rsid w:val="00C161A1"/>
    <w:rsid w:val="00C16233"/>
    <w:rsid w:val="00C16C6C"/>
    <w:rsid w:val="00C24FA8"/>
    <w:rsid w:val="00C27690"/>
    <w:rsid w:val="00C3512B"/>
    <w:rsid w:val="00C40388"/>
    <w:rsid w:val="00C42401"/>
    <w:rsid w:val="00C47039"/>
    <w:rsid w:val="00C4703A"/>
    <w:rsid w:val="00C47665"/>
    <w:rsid w:val="00C47775"/>
    <w:rsid w:val="00C509C1"/>
    <w:rsid w:val="00C532C5"/>
    <w:rsid w:val="00C64A71"/>
    <w:rsid w:val="00C7003A"/>
    <w:rsid w:val="00C7159B"/>
    <w:rsid w:val="00C7193B"/>
    <w:rsid w:val="00C72A39"/>
    <w:rsid w:val="00C75520"/>
    <w:rsid w:val="00C763E4"/>
    <w:rsid w:val="00C801B5"/>
    <w:rsid w:val="00C82985"/>
    <w:rsid w:val="00C90787"/>
    <w:rsid w:val="00C93A09"/>
    <w:rsid w:val="00C942C1"/>
    <w:rsid w:val="00C945EC"/>
    <w:rsid w:val="00C95218"/>
    <w:rsid w:val="00C96029"/>
    <w:rsid w:val="00CA2B03"/>
    <w:rsid w:val="00CA71CC"/>
    <w:rsid w:val="00CB17EE"/>
    <w:rsid w:val="00CB257D"/>
    <w:rsid w:val="00CC5599"/>
    <w:rsid w:val="00CC62F9"/>
    <w:rsid w:val="00CD1C39"/>
    <w:rsid w:val="00CD7A4F"/>
    <w:rsid w:val="00CE1F32"/>
    <w:rsid w:val="00CE293A"/>
    <w:rsid w:val="00CE77BC"/>
    <w:rsid w:val="00CF2359"/>
    <w:rsid w:val="00CF378E"/>
    <w:rsid w:val="00CF3E33"/>
    <w:rsid w:val="00CF645B"/>
    <w:rsid w:val="00D00407"/>
    <w:rsid w:val="00D03FC5"/>
    <w:rsid w:val="00D04647"/>
    <w:rsid w:val="00D048ED"/>
    <w:rsid w:val="00D064E0"/>
    <w:rsid w:val="00D078DB"/>
    <w:rsid w:val="00D12EA3"/>
    <w:rsid w:val="00D14A73"/>
    <w:rsid w:val="00D16A29"/>
    <w:rsid w:val="00D16B38"/>
    <w:rsid w:val="00D20ACE"/>
    <w:rsid w:val="00D2115D"/>
    <w:rsid w:val="00D218BF"/>
    <w:rsid w:val="00D22348"/>
    <w:rsid w:val="00D2514D"/>
    <w:rsid w:val="00D32C3C"/>
    <w:rsid w:val="00D33B77"/>
    <w:rsid w:val="00D35074"/>
    <w:rsid w:val="00D35314"/>
    <w:rsid w:val="00D362FF"/>
    <w:rsid w:val="00D37D09"/>
    <w:rsid w:val="00D4056A"/>
    <w:rsid w:val="00D46495"/>
    <w:rsid w:val="00D474F4"/>
    <w:rsid w:val="00D510D9"/>
    <w:rsid w:val="00D52AF0"/>
    <w:rsid w:val="00D52F95"/>
    <w:rsid w:val="00D53E0F"/>
    <w:rsid w:val="00D55720"/>
    <w:rsid w:val="00D566C8"/>
    <w:rsid w:val="00D6320C"/>
    <w:rsid w:val="00D65991"/>
    <w:rsid w:val="00D70FE0"/>
    <w:rsid w:val="00D7150D"/>
    <w:rsid w:val="00D72351"/>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797"/>
    <w:rsid w:val="00DD2ED1"/>
    <w:rsid w:val="00DE103A"/>
    <w:rsid w:val="00DE554A"/>
    <w:rsid w:val="00DF0113"/>
    <w:rsid w:val="00DF426C"/>
    <w:rsid w:val="00DF446E"/>
    <w:rsid w:val="00DF7632"/>
    <w:rsid w:val="00E0097F"/>
    <w:rsid w:val="00E040C4"/>
    <w:rsid w:val="00E06CF7"/>
    <w:rsid w:val="00E1103A"/>
    <w:rsid w:val="00E13946"/>
    <w:rsid w:val="00E14568"/>
    <w:rsid w:val="00E15BFC"/>
    <w:rsid w:val="00E16720"/>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18FA"/>
    <w:rsid w:val="00E521C8"/>
    <w:rsid w:val="00E619C6"/>
    <w:rsid w:val="00E626D1"/>
    <w:rsid w:val="00E66171"/>
    <w:rsid w:val="00E734D8"/>
    <w:rsid w:val="00E73800"/>
    <w:rsid w:val="00E73B9B"/>
    <w:rsid w:val="00E82CF7"/>
    <w:rsid w:val="00E86945"/>
    <w:rsid w:val="00E86C83"/>
    <w:rsid w:val="00E8770E"/>
    <w:rsid w:val="00E93819"/>
    <w:rsid w:val="00EA0422"/>
    <w:rsid w:val="00EA2C25"/>
    <w:rsid w:val="00EA7A70"/>
    <w:rsid w:val="00EB4479"/>
    <w:rsid w:val="00EB4ADF"/>
    <w:rsid w:val="00EB4D3D"/>
    <w:rsid w:val="00EB5EF1"/>
    <w:rsid w:val="00EC05BE"/>
    <w:rsid w:val="00EC2C52"/>
    <w:rsid w:val="00ED1827"/>
    <w:rsid w:val="00ED49D7"/>
    <w:rsid w:val="00ED557F"/>
    <w:rsid w:val="00EE4226"/>
    <w:rsid w:val="00EE457F"/>
    <w:rsid w:val="00EE5CAB"/>
    <w:rsid w:val="00EE703C"/>
    <w:rsid w:val="00EF00ED"/>
    <w:rsid w:val="00EF022A"/>
    <w:rsid w:val="00EF6C77"/>
    <w:rsid w:val="00EF7231"/>
    <w:rsid w:val="00F00F21"/>
    <w:rsid w:val="00F0449A"/>
    <w:rsid w:val="00F07812"/>
    <w:rsid w:val="00F1023C"/>
    <w:rsid w:val="00F10D47"/>
    <w:rsid w:val="00F12E99"/>
    <w:rsid w:val="00F24CA4"/>
    <w:rsid w:val="00F26C2C"/>
    <w:rsid w:val="00F31FEF"/>
    <w:rsid w:val="00F330E1"/>
    <w:rsid w:val="00F35912"/>
    <w:rsid w:val="00F37E1D"/>
    <w:rsid w:val="00F42DC0"/>
    <w:rsid w:val="00F463C6"/>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6AC"/>
    <w:rsid w:val="00F92BF9"/>
    <w:rsid w:val="00F93402"/>
    <w:rsid w:val="00FA2262"/>
    <w:rsid w:val="00FA5DB6"/>
    <w:rsid w:val="00FA6782"/>
    <w:rsid w:val="00FA6888"/>
    <w:rsid w:val="00FA712F"/>
    <w:rsid w:val="00FB0778"/>
    <w:rsid w:val="00FB305A"/>
    <w:rsid w:val="00FB3CFC"/>
    <w:rsid w:val="00FB48D2"/>
    <w:rsid w:val="00FC032F"/>
    <w:rsid w:val="00FC2D7D"/>
    <w:rsid w:val="00FC5E77"/>
    <w:rsid w:val="00FC7393"/>
    <w:rsid w:val="00FC7DE1"/>
    <w:rsid w:val="00FD17D7"/>
    <w:rsid w:val="00FD4BC8"/>
    <w:rsid w:val="00FD5B54"/>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HChGChar">
    <w:name w:val="_ H _Ch_G Char"/>
    <w:link w:val="HChG"/>
    <w:rsid w:val="00D14A73"/>
    <w:rPr>
      <w:b/>
      <w:sz w:val="28"/>
      <w:lang w:val="de-DE" w:eastAsia="fr-FR"/>
    </w:rPr>
  </w:style>
  <w:style w:type="character" w:customStyle="1" w:styleId="SingleTxtGChar">
    <w:name w:val="_ Single Txt_G Char"/>
    <w:link w:val="SingleTxtG"/>
    <w:qFormat/>
    <w:locked/>
    <w:rsid w:val="008221C0"/>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6E282A5C-841C-4DD8-884E-AB5F0F948FC8}">
  <ds:schemaRefs>
    <ds:schemaRef ds:uri="http://schemas.microsoft.com/sharepoint/v3/contenttype/forms"/>
  </ds:schemaRefs>
</ds:datastoreItem>
</file>

<file path=customXml/itemProps3.xml><?xml version="1.0" encoding="utf-8"?>
<ds:datastoreItem xmlns:ds="http://schemas.openxmlformats.org/officeDocument/2006/customXml" ds:itemID="{C3688682-7E9A-44E1-8B29-773A5BB2DA7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9F954FD-62C0-41DA-A678-CA39B66D3460}"/>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7444</Characters>
  <Application>Microsoft Office Word</Application>
  <DocSecurity>0</DocSecurity>
  <Lines>62</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Folgeänderungen zu Füllungsgrad und Füllfaktor</vt: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Folgeänderungen zu Füllungsgrad und Füllfaktor</dc:title>
  <dc:creator>Martine Moench</dc:creator>
  <cp:lastModifiedBy>Martine Moench</cp:lastModifiedBy>
  <cp:revision>2</cp:revision>
  <cp:lastPrinted>2017-06-06T08:16:00Z</cp:lastPrinted>
  <dcterms:created xsi:type="dcterms:W3CDTF">2024-05-14T16:17:00Z</dcterms:created>
  <dcterms:modified xsi:type="dcterms:W3CDTF">2024-05-14T16:17:00Z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