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56C5E48" w14:textId="77777777" w:rsidTr="00295CCA">
        <w:trPr>
          <w:trHeight w:hRule="exact" w:val="851"/>
        </w:trPr>
        <w:tc>
          <w:tcPr>
            <w:tcW w:w="1276" w:type="dxa"/>
            <w:tcBorders>
              <w:bottom w:val="single" w:sz="4" w:space="0" w:color="auto"/>
            </w:tcBorders>
          </w:tcPr>
          <w:p w14:paraId="45D605B6" w14:textId="77777777" w:rsidR="001433FD" w:rsidRPr="00DB58B5" w:rsidRDefault="001433FD" w:rsidP="009D7A81"/>
        </w:tc>
        <w:tc>
          <w:tcPr>
            <w:tcW w:w="2268" w:type="dxa"/>
            <w:tcBorders>
              <w:bottom w:val="single" w:sz="4" w:space="0" w:color="auto"/>
            </w:tcBorders>
            <w:vAlign w:val="bottom"/>
          </w:tcPr>
          <w:p w14:paraId="3EA5E498"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3F6E03" w14:textId="53B90784" w:rsidR="001433FD" w:rsidRPr="00DB58B5" w:rsidRDefault="009D7A81" w:rsidP="009D7A81">
            <w:pPr>
              <w:jc w:val="right"/>
            </w:pPr>
            <w:r w:rsidRPr="009D7A81">
              <w:rPr>
                <w:sz w:val="40"/>
              </w:rPr>
              <w:t>ECE</w:t>
            </w:r>
            <w:r>
              <w:t>/CEP/AC.13/2024/5</w:t>
            </w:r>
          </w:p>
        </w:tc>
      </w:tr>
      <w:tr w:rsidR="001433FD" w:rsidRPr="00DB58B5" w14:paraId="34B7C6B0" w14:textId="77777777" w:rsidTr="00295CCA">
        <w:trPr>
          <w:trHeight w:hRule="exact" w:val="2835"/>
        </w:trPr>
        <w:tc>
          <w:tcPr>
            <w:tcW w:w="1276" w:type="dxa"/>
            <w:tcBorders>
              <w:top w:val="single" w:sz="4" w:space="0" w:color="auto"/>
              <w:bottom w:val="single" w:sz="12" w:space="0" w:color="auto"/>
            </w:tcBorders>
          </w:tcPr>
          <w:p w14:paraId="2969A6EE" w14:textId="77777777" w:rsidR="001433FD" w:rsidRPr="00DB58B5" w:rsidRDefault="001433FD" w:rsidP="00295CCA">
            <w:pPr>
              <w:spacing w:before="120"/>
              <w:jc w:val="center"/>
            </w:pPr>
            <w:r>
              <w:rPr>
                <w:noProof/>
                <w:lang w:eastAsia="fr-CH"/>
              </w:rPr>
              <w:drawing>
                <wp:inline distT="0" distB="0" distL="0" distR="0" wp14:anchorId="4ED2A9DD" wp14:editId="02CB505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35C9D5"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E36CD0" w14:textId="77777777" w:rsidR="001433FD" w:rsidRDefault="009D7A81" w:rsidP="00295CCA">
            <w:pPr>
              <w:spacing w:before="240"/>
            </w:pPr>
            <w:proofErr w:type="spellStart"/>
            <w:r>
              <w:t>Distr</w:t>
            </w:r>
            <w:proofErr w:type="spellEnd"/>
            <w:r>
              <w:t>. générale</w:t>
            </w:r>
          </w:p>
          <w:p w14:paraId="49F1E1BC" w14:textId="77777777" w:rsidR="009D7A81" w:rsidRDefault="009D7A81" w:rsidP="009D7A81">
            <w:pPr>
              <w:spacing w:line="240" w:lineRule="exact"/>
            </w:pPr>
            <w:r>
              <w:t>20 mars 2024</w:t>
            </w:r>
          </w:p>
          <w:p w14:paraId="0DE65DCD" w14:textId="77777777" w:rsidR="009D7A81" w:rsidRDefault="009D7A81" w:rsidP="009D7A81">
            <w:pPr>
              <w:spacing w:line="240" w:lineRule="exact"/>
            </w:pPr>
            <w:r>
              <w:t>Français</w:t>
            </w:r>
          </w:p>
          <w:p w14:paraId="0B8CD443" w14:textId="38D1286C" w:rsidR="009D7A81" w:rsidRPr="00DB58B5" w:rsidRDefault="009D7A81" w:rsidP="009D7A81">
            <w:pPr>
              <w:spacing w:line="240" w:lineRule="exact"/>
            </w:pPr>
            <w:r>
              <w:t>Original : anglais</w:t>
            </w:r>
          </w:p>
        </w:tc>
      </w:tr>
    </w:tbl>
    <w:p w14:paraId="094E1832" w14:textId="77777777" w:rsidR="005316B0" w:rsidRPr="000312C0" w:rsidRDefault="005316B0" w:rsidP="009D7A81">
      <w:pPr>
        <w:spacing w:before="100"/>
        <w:rPr>
          <w:b/>
          <w:sz w:val="28"/>
          <w:szCs w:val="28"/>
        </w:rPr>
      </w:pPr>
      <w:r w:rsidRPr="000312C0">
        <w:rPr>
          <w:b/>
          <w:sz w:val="28"/>
          <w:szCs w:val="28"/>
        </w:rPr>
        <w:t>Commission économique pour l’Europe</w:t>
      </w:r>
    </w:p>
    <w:p w14:paraId="2C8D051B" w14:textId="77777777" w:rsidR="009D7A81" w:rsidRDefault="009D7A81" w:rsidP="009D7A81">
      <w:pPr>
        <w:spacing w:before="100" w:line="240" w:lineRule="auto"/>
        <w:rPr>
          <w:sz w:val="28"/>
          <w:szCs w:val="28"/>
          <w:lang w:val="fr-FR"/>
        </w:rPr>
      </w:pPr>
      <w:r w:rsidRPr="009D7A81">
        <w:rPr>
          <w:sz w:val="28"/>
          <w:szCs w:val="28"/>
          <w:lang w:val="fr-FR"/>
        </w:rPr>
        <w:t>Comité des politiques de l’environnement</w:t>
      </w:r>
    </w:p>
    <w:p w14:paraId="3909B53A" w14:textId="0C06F2FF" w:rsidR="009D7A81" w:rsidRPr="00495AE7" w:rsidRDefault="009D7A81" w:rsidP="009D7A81">
      <w:pPr>
        <w:spacing w:before="100"/>
        <w:rPr>
          <w:b/>
          <w:bCs/>
          <w:sz w:val="24"/>
          <w:szCs w:val="24"/>
        </w:rPr>
      </w:pPr>
      <w:r w:rsidRPr="00495AE7">
        <w:rPr>
          <w:b/>
          <w:bCs/>
          <w:sz w:val="24"/>
          <w:szCs w:val="24"/>
          <w:lang w:val="fr-FR"/>
        </w:rPr>
        <w:t>Comité directeur pour l</w:t>
      </w:r>
      <w:r>
        <w:rPr>
          <w:b/>
          <w:bCs/>
          <w:sz w:val="24"/>
          <w:szCs w:val="24"/>
          <w:lang w:val="fr-FR"/>
        </w:rPr>
        <w:t>’</w:t>
      </w:r>
      <w:r w:rsidRPr="00495AE7">
        <w:rPr>
          <w:b/>
          <w:bCs/>
          <w:sz w:val="24"/>
          <w:szCs w:val="24"/>
          <w:lang w:val="fr-FR"/>
        </w:rPr>
        <w:t xml:space="preserve">éducation au service </w:t>
      </w:r>
      <w:r>
        <w:rPr>
          <w:b/>
          <w:bCs/>
          <w:sz w:val="24"/>
          <w:szCs w:val="24"/>
          <w:lang w:val="fr-FR"/>
        </w:rPr>
        <w:br/>
      </w:r>
      <w:r w:rsidRPr="00495AE7">
        <w:rPr>
          <w:b/>
          <w:bCs/>
          <w:sz w:val="24"/>
          <w:szCs w:val="24"/>
          <w:lang w:val="fr-FR"/>
        </w:rPr>
        <w:t xml:space="preserve">du développement durable de la Commission </w:t>
      </w:r>
      <w:r>
        <w:rPr>
          <w:b/>
          <w:bCs/>
          <w:sz w:val="24"/>
          <w:szCs w:val="24"/>
          <w:lang w:val="fr-FR"/>
        </w:rPr>
        <w:br/>
      </w:r>
      <w:r w:rsidRPr="00495AE7">
        <w:rPr>
          <w:b/>
          <w:bCs/>
          <w:sz w:val="24"/>
          <w:szCs w:val="24"/>
          <w:lang w:val="fr-FR"/>
        </w:rPr>
        <w:t>économique pour l</w:t>
      </w:r>
      <w:r>
        <w:rPr>
          <w:b/>
          <w:bCs/>
          <w:sz w:val="24"/>
          <w:szCs w:val="24"/>
          <w:lang w:val="fr-FR"/>
        </w:rPr>
        <w:t>’</w:t>
      </w:r>
      <w:r w:rsidRPr="00495AE7">
        <w:rPr>
          <w:b/>
          <w:bCs/>
          <w:sz w:val="24"/>
          <w:szCs w:val="24"/>
          <w:lang w:val="fr-FR"/>
        </w:rPr>
        <w:t>Europe</w:t>
      </w:r>
    </w:p>
    <w:p w14:paraId="447A326F" w14:textId="77777777" w:rsidR="009D7A81" w:rsidRPr="009D7A81" w:rsidRDefault="009D7A81" w:rsidP="009D7A81">
      <w:pPr>
        <w:spacing w:before="100"/>
        <w:rPr>
          <w:rFonts w:eastAsia="SimSun"/>
          <w:b/>
        </w:rPr>
      </w:pPr>
      <w:r w:rsidRPr="009D7A81">
        <w:rPr>
          <w:b/>
          <w:bCs/>
          <w:lang w:val="fr-FR"/>
        </w:rPr>
        <w:t>Dix-neuvième réunion</w:t>
      </w:r>
    </w:p>
    <w:p w14:paraId="1EEDA74A" w14:textId="762263DE" w:rsidR="009D7A81" w:rsidRPr="009D7A81" w:rsidRDefault="009D7A81" w:rsidP="009D7A81">
      <w:pPr>
        <w:rPr>
          <w:rFonts w:eastAsia="SimSun"/>
        </w:rPr>
      </w:pPr>
      <w:r w:rsidRPr="009D7A81">
        <w:rPr>
          <w:lang w:val="fr-FR"/>
        </w:rPr>
        <w:t>Genève, 29, 30 et 31</w:t>
      </w:r>
      <w:r w:rsidR="00F55CF8">
        <w:rPr>
          <w:lang w:val="fr-FR"/>
        </w:rPr>
        <w:t> </w:t>
      </w:r>
      <w:r w:rsidRPr="009D7A81">
        <w:rPr>
          <w:lang w:val="fr-FR"/>
        </w:rPr>
        <w:t>mai 2024</w:t>
      </w:r>
    </w:p>
    <w:p w14:paraId="1E3788FE" w14:textId="77777777" w:rsidR="009D7A81" w:rsidRPr="009D7A81" w:rsidRDefault="009D7A81" w:rsidP="009D7A81">
      <w:pPr>
        <w:rPr>
          <w:rFonts w:eastAsia="SimSun"/>
        </w:rPr>
      </w:pPr>
      <w:r w:rsidRPr="009D7A81">
        <w:rPr>
          <w:lang w:val="fr-FR"/>
        </w:rPr>
        <w:t>Point 9 de l’ordre du jour provisoire</w:t>
      </w:r>
    </w:p>
    <w:p w14:paraId="538F3A36" w14:textId="7A2B855C" w:rsidR="009D7A81" w:rsidRPr="009D7A81" w:rsidRDefault="009D7A81" w:rsidP="009D7A81">
      <w:pPr>
        <w:rPr>
          <w:rFonts w:eastAsia="SimSun"/>
          <w:b/>
          <w:bCs/>
        </w:rPr>
      </w:pPr>
      <w:r w:rsidRPr="009D7A81">
        <w:rPr>
          <w:b/>
          <w:bCs/>
          <w:lang w:val="fr-FR"/>
        </w:rPr>
        <w:t xml:space="preserve">Proposition finale relative à l’élaboration d’une boîte à outils </w:t>
      </w:r>
      <w:r w:rsidR="00F55CF8">
        <w:rPr>
          <w:b/>
          <w:bCs/>
          <w:lang w:val="fr-FR"/>
        </w:rPr>
        <w:br/>
      </w:r>
      <w:r w:rsidRPr="009D7A81">
        <w:rPr>
          <w:b/>
          <w:bCs/>
          <w:lang w:val="fr-FR"/>
        </w:rPr>
        <w:t>pour</w:t>
      </w:r>
      <w:r>
        <w:rPr>
          <w:b/>
          <w:bCs/>
          <w:lang w:val="fr-FR"/>
        </w:rPr>
        <w:t xml:space="preserve"> </w:t>
      </w:r>
      <w:r w:rsidRPr="009D7A81">
        <w:rPr>
          <w:b/>
          <w:bCs/>
          <w:lang w:val="fr-FR"/>
        </w:rPr>
        <w:t xml:space="preserve">l’approche </w:t>
      </w:r>
      <w:proofErr w:type="spellStart"/>
      <w:r w:rsidRPr="009D7A81">
        <w:rPr>
          <w:b/>
          <w:bCs/>
          <w:lang w:val="fr-FR"/>
        </w:rPr>
        <w:t>paninstitutionnelle</w:t>
      </w:r>
      <w:proofErr w:type="spellEnd"/>
      <w:r w:rsidRPr="009D7A81">
        <w:rPr>
          <w:b/>
          <w:bCs/>
          <w:lang w:val="fr-FR"/>
        </w:rPr>
        <w:t xml:space="preserve"> et l’éducation </w:t>
      </w:r>
      <w:r w:rsidR="00F55CF8">
        <w:rPr>
          <w:b/>
          <w:bCs/>
          <w:lang w:val="fr-FR"/>
        </w:rPr>
        <w:br/>
      </w:r>
      <w:r w:rsidRPr="009D7A81">
        <w:rPr>
          <w:b/>
          <w:bCs/>
          <w:lang w:val="fr-FR"/>
        </w:rPr>
        <w:t>au service du développement durable</w:t>
      </w:r>
    </w:p>
    <w:p w14:paraId="38B8FD76" w14:textId="77777777" w:rsidR="009D7A81" w:rsidRPr="00495AE7" w:rsidRDefault="009D7A81" w:rsidP="009D7A81">
      <w:pPr>
        <w:pStyle w:val="HChG"/>
        <w:spacing w:before="320" w:after="200"/>
        <w:rPr>
          <w:rFonts w:eastAsia="SimSun"/>
        </w:rPr>
      </w:pPr>
      <w:r w:rsidRPr="00495AE7">
        <w:rPr>
          <w:lang w:val="fr-FR"/>
        </w:rPr>
        <w:tab/>
      </w:r>
      <w:r w:rsidRPr="00495AE7">
        <w:rPr>
          <w:lang w:val="fr-FR"/>
        </w:rPr>
        <w:tab/>
        <w:t xml:space="preserve">Proposition finale </w:t>
      </w:r>
      <w:r>
        <w:rPr>
          <w:lang w:val="fr-FR"/>
        </w:rPr>
        <w:t>relative à</w:t>
      </w:r>
      <w:r w:rsidRPr="00495AE7">
        <w:rPr>
          <w:lang w:val="fr-FR"/>
        </w:rPr>
        <w:t xml:space="preserve"> l</w:t>
      </w:r>
      <w:r>
        <w:rPr>
          <w:lang w:val="fr-FR"/>
        </w:rPr>
        <w:t>’</w:t>
      </w:r>
      <w:r w:rsidRPr="00495AE7">
        <w:rPr>
          <w:lang w:val="fr-FR"/>
        </w:rPr>
        <w:t>élaboration d</w:t>
      </w:r>
      <w:r>
        <w:rPr>
          <w:lang w:val="fr-FR"/>
        </w:rPr>
        <w:t>’</w:t>
      </w:r>
      <w:r w:rsidRPr="00495AE7">
        <w:rPr>
          <w:lang w:val="fr-FR"/>
        </w:rPr>
        <w:t xml:space="preserve">une boîte à outils </w:t>
      </w:r>
      <w:r>
        <w:rPr>
          <w:lang w:val="fr-FR"/>
        </w:rPr>
        <w:t xml:space="preserve">pour </w:t>
      </w:r>
      <w:r w:rsidRPr="00495AE7">
        <w:rPr>
          <w:lang w:val="fr-FR"/>
        </w:rPr>
        <w:t>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l</w:t>
      </w:r>
      <w:r>
        <w:rPr>
          <w:lang w:val="fr-FR"/>
        </w:rPr>
        <w:t>’</w:t>
      </w:r>
      <w:r w:rsidRPr="00495AE7">
        <w:rPr>
          <w:lang w:val="fr-FR"/>
        </w:rPr>
        <w:t>éducation au service du développement durable</w:t>
      </w:r>
      <w:bookmarkStart w:id="0" w:name="_Hlk129877013"/>
    </w:p>
    <w:bookmarkEnd w:id="0"/>
    <w:p w14:paraId="2BE07B86" w14:textId="77777777" w:rsidR="009D7A81" w:rsidRDefault="009D7A81" w:rsidP="009D7A81">
      <w:pPr>
        <w:pStyle w:val="H1G"/>
        <w:rPr>
          <w:lang w:val="fr-FR"/>
        </w:rPr>
      </w:pPr>
      <w:r w:rsidRPr="00495AE7">
        <w:rPr>
          <w:lang w:val="fr-FR"/>
        </w:rPr>
        <w:tab/>
      </w:r>
      <w:r w:rsidRPr="00495AE7">
        <w:rPr>
          <w:lang w:val="fr-FR"/>
        </w:rPr>
        <w:tab/>
        <w:t>Note établie par des experts, sous la supervision du Comité directeur</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D7A81" w14:paraId="6E72893C" w14:textId="77777777" w:rsidTr="009D7A81">
        <w:trPr>
          <w:jc w:val="center"/>
        </w:trPr>
        <w:tc>
          <w:tcPr>
            <w:tcW w:w="9628" w:type="dxa"/>
            <w:shd w:val="clear" w:color="auto" w:fill="auto"/>
          </w:tcPr>
          <w:p w14:paraId="5EDD64D8" w14:textId="77777777" w:rsidR="009D7A81" w:rsidRDefault="009D7A81" w:rsidP="009D7A81">
            <w:pPr>
              <w:spacing w:before="240" w:after="120" w:line="236" w:lineRule="atLeast"/>
              <w:ind w:left="255"/>
              <w:rPr>
                <w:i/>
                <w:sz w:val="24"/>
              </w:rPr>
            </w:pPr>
            <w:r>
              <w:rPr>
                <w:i/>
                <w:sz w:val="24"/>
              </w:rPr>
              <w:t>Résumé</w:t>
            </w:r>
          </w:p>
        </w:tc>
      </w:tr>
      <w:tr w:rsidR="009D7A81" w14:paraId="30051476" w14:textId="77777777" w:rsidTr="009D7A81">
        <w:trPr>
          <w:jc w:val="center"/>
        </w:trPr>
        <w:tc>
          <w:tcPr>
            <w:tcW w:w="9628" w:type="dxa"/>
            <w:shd w:val="clear" w:color="auto" w:fill="auto"/>
          </w:tcPr>
          <w:p w14:paraId="3B07A9AD" w14:textId="0AB1A7F5" w:rsidR="009D7A81" w:rsidRDefault="009D7A81" w:rsidP="009D7A81">
            <w:pPr>
              <w:pStyle w:val="SingleTxtG"/>
              <w:spacing w:line="236" w:lineRule="atLeast"/>
              <w:ind w:firstLine="567"/>
            </w:pPr>
            <w:r w:rsidRPr="00495AE7">
              <w:rPr>
                <w:lang w:val="fr-FR"/>
              </w:rPr>
              <w:t>À sa dix-huitième réunion (Genève, 25</w:t>
            </w:r>
            <w:r w:rsidR="00F55CF8">
              <w:rPr>
                <w:lang w:val="fr-FR"/>
              </w:rPr>
              <w:t xml:space="preserve"> et </w:t>
            </w:r>
            <w:r w:rsidRPr="00495AE7">
              <w:rPr>
                <w:lang w:val="fr-FR"/>
              </w:rPr>
              <w:t>26</w:t>
            </w:r>
            <w:r w:rsidR="00F55CF8">
              <w:rPr>
                <w:lang w:val="fr-FR"/>
              </w:rPr>
              <w:t> </w:t>
            </w:r>
            <w:r w:rsidRPr="00495AE7">
              <w:rPr>
                <w:lang w:val="fr-FR"/>
              </w:rPr>
              <w:t xml:space="preserve">mai 2023), le Comité directeur a adopté le </w:t>
            </w:r>
            <w:r>
              <w:rPr>
                <w:lang w:val="fr-FR"/>
              </w:rPr>
              <w:t>P</w:t>
            </w:r>
            <w:r w:rsidRPr="00495AE7">
              <w:rPr>
                <w:lang w:val="fr-FR"/>
              </w:rPr>
              <w:t>lan de travail pour l</w:t>
            </w:r>
            <w:r>
              <w:rPr>
                <w:lang w:val="fr-FR"/>
              </w:rPr>
              <w:t>’</w:t>
            </w:r>
            <w:r w:rsidRPr="00495AE7">
              <w:rPr>
                <w:lang w:val="fr-FR"/>
              </w:rPr>
              <w:t>application de la Stratégie de la Commission économique pour l</w:t>
            </w:r>
            <w:r>
              <w:rPr>
                <w:lang w:val="fr-FR"/>
              </w:rPr>
              <w:t>’</w:t>
            </w:r>
            <w:r w:rsidRPr="00495AE7">
              <w:rPr>
                <w:lang w:val="fr-FR"/>
              </w:rPr>
              <w:t>Europe pour l</w:t>
            </w:r>
            <w:r>
              <w:rPr>
                <w:lang w:val="fr-FR"/>
              </w:rPr>
              <w:t>’</w:t>
            </w:r>
            <w:r w:rsidRPr="00495AE7">
              <w:rPr>
                <w:lang w:val="fr-FR"/>
              </w:rPr>
              <w:t>éducation en vue du développement durable de 2021 à 2025 (ECE/CEP/AC.13/2023/3), tel que modifié (</w:t>
            </w:r>
            <w:r>
              <w:rPr>
                <w:lang w:val="fr-FR"/>
              </w:rPr>
              <w:t>v</w:t>
            </w:r>
            <w:r w:rsidRPr="00495AE7">
              <w:rPr>
                <w:lang w:val="fr-FR"/>
              </w:rPr>
              <w:t>ersion révisée du 23</w:t>
            </w:r>
            <w:r>
              <w:rPr>
                <w:lang w:val="fr-FR"/>
              </w:rPr>
              <w:t> </w:t>
            </w:r>
            <w:r w:rsidRPr="00495AE7">
              <w:rPr>
                <w:lang w:val="fr-FR"/>
              </w:rPr>
              <w:t>mai 2023)</w:t>
            </w:r>
            <w:r>
              <w:rPr>
                <w:lang w:val="fr-FR"/>
              </w:rPr>
              <w:t>. Le</w:t>
            </w:r>
            <w:r w:rsidRPr="00495AE7">
              <w:rPr>
                <w:lang w:val="fr-FR"/>
              </w:rPr>
              <w:t xml:space="preserve"> </w:t>
            </w:r>
            <w:r>
              <w:rPr>
                <w:lang w:val="fr-FR"/>
              </w:rPr>
              <w:t>P</w:t>
            </w:r>
            <w:r w:rsidRPr="00495AE7">
              <w:rPr>
                <w:lang w:val="fr-FR"/>
              </w:rPr>
              <w:t xml:space="preserve">lan de travail comprend un programme des activités à entreprendre pendant la phase </w:t>
            </w:r>
            <w:r>
              <w:rPr>
                <w:lang w:val="fr-FR"/>
              </w:rPr>
              <w:t>de mise en œuvre</w:t>
            </w:r>
            <w:r w:rsidRPr="00495AE7">
              <w:rPr>
                <w:lang w:val="fr-FR"/>
              </w:rPr>
              <w:t xml:space="preserve"> 2021</w:t>
            </w:r>
            <w:r w:rsidR="00F55CF8">
              <w:rPr>
                <w:lang w:val="fr-FR"/>
              </w:rPr>
              <w:noBreakHyphen/>
            </w:r>
            <w:r w:rsidRPr="00495AE7">
              <w:rPr>
                <w:lang w:val="fr-FR"/>
              </w:rPr>
              <w:t xml:space="preserve">2025, </w:t>
            </w:r>
            <w:r>
              <w:rPr>
                <w:lang w:val="fr-FR"/>
              </w:rPr>
              <w:t xml:space="preserve">en particulier </w:t>
            </w:r>
            <w:r w:rsidRPr="00495AE7">
              <w:rPr>
                <w:lang w:val="fr-FR"/>
              </w:rPr>
              <w:t>les trois années restantes (2023</w:t>
            </w:r>
            <w:r w:rsidR="00F55CF8">
              <w:rPr>
                <w:lang w:val="fr-FR"/>
              </w:rPr>
              <w:noBreakHyphen/>
            </w:r>
            <w:r w:rsidRPr="00495AE7">
              <w:rPr>
                <w:lang w:val="fr-FR"/>
              </w:rPr>
              <w:t xml:space="preserve">2025) </w:t>
            </w:r>
            <w:r>
              <w:rPr>
                <w:lang w:val="fr-FR"/>
              </w:rPr>
              <w:t xml:space="preserve">dans </w:t>
            </w:r>
            <w:r w:rsidRPr="00495AE7">
              <w:rPr>
                <w:lang w:val="fr-FR"/>
              </w:rPr>
              <w:t xml:space="preserve">les quatre </w:t>
            </w:r>
            <w:r>
              <w:rPr>
                <w:lang w:val="fr-FR"/>
              </w:rPr>
              <w:t xml:space="preserve">domaines d’action </w:t>
            </w:r>
            <w:r w:rsidRPr="00495AE7">
              <w:rPr>
                <w:lang w:val="fr-FR"/>
              </w:rPr>
              <w:t>prioritaires</w:t>
            </w:r>
            <w:r>
              <w:rPr>
                <w:lang w:val="fr-FR"/>
              </w:rPr>
              <w:t> suivants :</w:t>
            </w:r>
            <w:r w:rsidRPr="00495AE7">
              <w:rPr>
                <w:lang w:val="fr-FR"/>
              </w:rPr>
              <w:t xml:space="preserve"> 1) enseignement de qualité et éducation </w:t>
            </w:r>
            <w:r>
              <w:rPr>
                <w:lang w:val="fr-FR"/>
              </w:rPr>
              <w:t xml:space="preserve">en vue </w:t>
            </w:r>
            <w:r w:rsidRPr="00495AE7">
              <w:rPr>
                <w:lang w:val="fr-FR"/>
              </w:rPr>
              <w:t>du développement durable</w:t>
            </w:r>
            <w:r>
              <w:rPr>
                <w:lang w:val="fr-FR"/>
              </w:rPr>
              <w:t> ;</w:t>
            </w:r>
            <w:r w:rsidRPr="00495AE7">
              <w:rPr>
                <w:lang w:val="fr-FR"/>
              </w:rPr>
              <w:t xml:space="preserve"> 2) approche </w:t>
            </w:r>
            <w:proofErr w:type="spellStart"/>
            <w:r w:rsidRPr="00495AE7">
              <w:rPr>
                <w:lang w:val="fr-FR"/>
              </w:rPr>
              <w:t>paninstitutionnelle</w:t>
            </w:r>
            <w:proofErr w:type="spellEnd"/>
            <w:r w:rsidRPr="00495AE7">
              <w:rPr>
                <w:lang w:val="fr-FR"/>
              </w:rPr>
              <w:t xml:space="preserve"> et éducation au service du développement </w:t>
            </w:r>
            <w:r w:rsidRPr="009D7A81">
              <w:t>durable</w:t>
            </w:r>
            <w:r>
              <w:rPr>
                <w:lang w:val="fr-FR"/>
              </w:rPr>
              <w:t> ;</w:t>
            </w:r>
            <w:r w:rsidRPr="00495AE7">
              <w:rPr>
                <w:lang w:val="fr-FR"/>
              </w:rPr>
              <w:t xml:space="preserve"> 3) éducation numérique, technologies de l</w:t>
            </w:r>
            <w:r>
              <w:rPr>
                <w:lang w:val="fr-FR"/>
              </w:rPr>
              <w:t>’</w:t>
            </w:r>
            <w:r w:rsidRPr="00495AE7">
              <w:rPr>
                <w:lang w:val="fr-FR"/>
              </w:rPr>
              <w:t xml:space="preserve">information et de la communication et éducation </w:t>
            </w:r>
            <w:r>
              <w:rPr>
                <w:lang w:val="fr-FR"/>
              </w:rPr>
              <w:t>en vue</w:t>
            </w:r>
            <w:r w:rsidRPr="00495AE7">
              <w:rPr>
                <w:lang w:val="fr-FR"/>
              </w:rPr>
              <w:t xml:space="preserve"> du développement durable</w:t>
            </w:r>
            <w:r>
              <w:rPr>
                <w:lang w:val="fr-FR"/>
              </w:rPr>
              <w:t> ;</w:t>
            </w:r>
            <w:r w:rsidRPr="00495AE7">
              <w:rPr>
                <w:lang w:val="fr-FR"/>
              </w:rPr>
              <w:t xml:space="preserve"> et 4) entrepreneuriat, emploi, innovation et éducation </w:t>
            </w:r>
            <w:r>
              <w:rPr>
                <w:lang w:val="fr-FR"/>
              </w:rPr>
              <w:t xml:space="preserve">en vue </w:t>
            </w:r>
            <w:r w:rsidRPr="00495AE7">
              <w:rPr>
                <w:lang w:val="fr-FR"/>
              </w:rPr>
              <w:t>du développement durable.</w:t>
            </w:r>
          </w:p>
        </w:tc>
      </w:tr>
      <w:tr w:rsidR="009D7A81" w14:paraId="0E786E90" w14:textId="77777777" w:rsidTr="009D7A81">
        <w:trPr>
          <w:jc w:val="center"/>
        </w:trPr>
        <w:tc>
          <w:tcPr>
            <w:tcW w:w="9628" w:type="dxa"/>
            <w:shd w:val="clear" w:color="auto" w:fill="auto"/>
          </w:tcPr>
          <w:p w14:paraId="15984AC0" w14:textId="7B5EC148" w:rsidR="009D7A81" w:rsidRPr="00495AE7" w:rsidRDefault="009D7A81" w:rsidP="009D7A81">
            <w:pPr>
              <w:pStyle w:val="SingleTxtG"/>
              <w:spacing w:line="236" w:lineRule="atLeast"/>
              <w:ind w:firstLine="567"/>
              <w:rPr>
                <w:lang w:val="fr-FR"/>
              </w:rPr>
            </w:pPr>
            <w:r w:rsidRPr="00495AE7">
              <w:rPr>
                <w:lang w:val="fr-FR"/>
              </w:rPr>
              <w:t xml:space="preserve">À cette même réunion, le Comité directeur a </w:t>
            </w:r>
            <w:r>
              <w:rPr>
                <w:lang w:val="fr-FR"/>
              </w:rPr>
              <w:t xml:space="preserve">également pris connaissance </w:t>
            </w:r>
            <w:r w:rsidRPr="00495AE7">
              <w:rPr>
                <w:lang w:val="fr-FR"/>
              </w:rPr>
              <w:t>d</w:t>
            </w:r>
            <w:r>
              <w:rPr>
                <w:lang w:val="fr-FR"/>
              </w:rPr>
              <w:t>’une</w:t>
            </w:r>
            <w:r w:rsidRPr="00495AE7">
              <w:rPr>
                <w:lang w:val="fr-FR"/>
              </w:rPr>
              <w:t xml:space="preserve"> </w:t>
            </w:r>
            <w:r w:rsidRPr="009D7A81">
              <w:t>proposition</w:t>
            </w:r>
            <w:r w:rsidRPr="00495AE7">
              <w:rPr>
                <w:lang w:val="fr-FR"/>
              </w:rPr>
              <w:t xml:space="preserve"> </w:t>
            </w:r>
            <w:r>
              <w:rPr>
                <w:lang w:val="fr-FR"/>
              </w:rPr>
              <w:t xml:space="preserve">relative </w:t>
            </w:r>
            <w:r w:rsidRPr="00495AE7">
              <w:rPr>
                <w:lang w:val="fr-FR"/>
              </w:rPr>
              <w:t xml:space="preserve">à </w:t>
            </w:r>
            <w:r>
              <w:rPr>
                <w:lang w:val="fr-FR"/>
              </w:rPr>
              <w:t>l’</w:t>
            </w:r>
            <w:r w:rsidRPr="00495AE7">
              <w:rPr>
                <w:lang w:val="fr-FR"/>
              </w:rPr>
              <w:t>élabor</w:t>
            </w:r>
            <w:r>
              <w:rPr>
                <w:lang w:val="fr-FR"/>
              </w:rPr>
              <w:t>ation</w:t>
            </w:r>
            <w:r w:rsidRPr="00495AE7">
              <w:rPr>
                <w:lang w:val="fr-FR"/>
              </w:rPr>
              <w:t xml:space="preserve"> </w:t>
            </w:r>
            <w:r>
              <w:rPr>
                <w:lang w:val="fr-FR"/>
              </w:rPr>
              <w:t>d’</w:t>
            </w:r>
            <w:r w:rsidRPr="00495AE7">
              <w:rPr>
                <w:lang w:val="fr-FR"/>
              </w:rPr>
              <w:t>un programme d</w:t>
            </w:r>
            <w:r>
              <w:rPr>
                <w:lang w:val="fr-FR"/>
              </w:rPr>
              <w:t>’</w:t>
            </w:r>
            <w:r w:rsidRPr="00495AE7">
              <w:rPr>
                <w:lang w:val="fr-FR"/>
              </w:rPr>
              <w:t>activités pour l</w:t>
            </w:r>
            <w:r>
              <w:rPr>
                <w:lang w:val="fr-FR"/>
              </w:rPr>
              <w:t xml:space="preserve">a mise en </w:t>
            </w:r>
            <w:r w:rsidR="00F55CF8">
              <w:rPr>
                <w:lang w:val="fr-FR"/>
              </w:rPr>
              <w:t>œuvre</w:t>
            </w:r>
            <w:r w:rsidRPr="00495AE7">
              <w:rPr>
                <w:lang w:val="fr-FR"/>
              </w:rPr>
              <w:t xml:space="preserve"> du deuxième volet prioritaire </w:t>
            </w:r>
            <w:r>
              <w:rPr>
                <w:lang w:val="fr-FR"/>
              </w:rPr>
              <w:t>sur l’</w:t>
            </w:r>
            <w:r w:rsidRPr="00495AE7">
              <w:rPr>
                <w:lang w:val="fr-FR"/>
              </w:rPr>
              <w:t xml:space="preserve">approche </w:t>
            </w:r>
            <w:proofErr w:type="spellStart"/>
            <w:r w:rsidRPr="00495AE7">
              <w:rPr>
                <w:lang w:val="fr-FR"/>
              </w:rPr>
              <w:t>paninstitutionnelle</w:t>
            </w:r>
            <w:proofErr w:type="spellEnd"/>
            <w:r w:rsidRPr="00495AE7">
              <w:rPr>
                <w:lang w:val="fr-FR"/>
              </w:rPr>
              <w:t xml:space="preserve"> et </w:t>
            </w:r>
            <w:r>
              <w:rPr>
                <w:lang w:val="fr-FR"/>
              </w:rPr>
              <w:t>l’</w:t>
            </w:r>
            <w:r w:rsidRPr="00495AE7">
              <w:rPr>
                <w:lang w:val="fr-FR"/>
              </w:rPr>
              <w:t xml:space="preserve">éducation </w:t>
            </w:r>
            <w:r>
              <w:rPr>
                <w:lang w:val="fr-FR"/>
              </w:rPr>
              <w:t>en vue</w:t>
            </w:r>
            <w:r w:rsidRPr="00495AE7">
              <w:rPr>
                <w:lang w:val="fr-FR"/>
              </w:rPr>
              <w:t xml:space="preserve"> du développement durable énoncé dans le projet de plan de travail, et à mettre au point une boîte à outils à cet effet.</w:t>
            </w:r>
          </w:p>
        </w:tc>
      </w:tr>
      <w:tr w:rsidR="009D7A81" w14:paraId="6EA45F1C" w14:textId="77777777" w:rsidTr="009D7A81">
        <w:trPr>
          <w:jc w:val="center"/>
        </w:trPr>
        <w:tc>
          <w:tcPr>
            <w:tcW w:w="9628" w:type="dxa"/>
            <w:shd w:val="clear" w:color="auto" w:fill="auto"/>
          </w:tcPr>
          <w:p w14:paraId="106ADCC6" w14:textId="52AB22F1" w:rsidR="009D7A81" w:rsidRPr="009D7A81" w:rsidRDefault="009D7A81" w:rsidP="009D7A81">
            <w:pPr>
              <w:pStyle w:val="SingleTxtG"/>
              <w:spacing w:line="236" w:lineRule="atLeast"/>
              <w:ind w:firstLine="567"/>
              <w:rPr>
                <w:lang w:val="fr-FR"/>
              </w:rPr>
            </w:pPr>
            <w:r w:rsidRPr="009D7A81">
              <w:rPr>
                <w:lang w:val="fr-FR"/>
              </w:rPr>
              <w:t xml:space="preserve">On trouvera dans le présent document une proposition finale de boîte à outils pour l’approche </w:t>
            </w:r>
            <w:proofErr w:type="spellStart"/>
            <w:r w:rsidRPr="009D7A81">
              <w:rPr>
                <w:lang w:val="fr-FR"/>
              </w:rPr>
              <w:t>paninstitutionnelle</w:t>
            </w:r>
            <w:proofErr w:type="spellEnd"/>
            <w:r w:rsidRPr="009D7A81">
              <w:rPr>
                <w:lang w:val="fr-FR"/>
              </w:rPr>
              <w:t xml:space="preserve"> et l’éducation en vue du développement durable</w:t>
            </w:r>
          </w:p>
        </w:tc>
      </w:tr>
      <w:tr w:rsidR="009D7A81" w:rsidRPr="009D7A81" w14:paraId="2D4554F0" w14:textId="77777777" w:rsidTr="009D7A81">
        <w:trPr>
          <w:jc w:val="center"/>
        </w:trPr>
        <w:tc>
          <w:tcPr>
            <w:tcW w:w="9628" w:type="dxa"/>
            <w:shd w:val="clear" w:color="auto" w:fill="auto"/>
          </w:tcPr>
          <w:p w14:paraId="44E556F2" w14:textId="148DA97A" w:rsidR="009D7A81" w:rsidRPr="009D7A81" w:rsidRDefault="009D7A81" w:rsidP="009D7A81">
            <w:pPr>
              <w:pStyle w:val="SingleTxtG"/>
              <w:spacing w:line="236" w:lineRule="atLeast"/>
              <w:ind w:firstLine="567"/>
              <w:rPr>
                <w:lang w:val="fr-FR"/>
              </w:rPr>
            </w:pPr>
            <w:r w:rsidRPr="009D7A81">
              <w:rPr>
                <w:lang w:val="fr-FR"/>
              </w:rPr>
              <w:t>Le Comité sera informé des progrès réalisés dans l’élaboration de cette boîte à outils.</w:t>
            </w:r>
          </w:p>
        </w:tc>
      </w:tr>
      <w:tr w:rsidR="009D7A81" w14:paraId="5A308FF4" w14:textId="77777777" w:rsidTr="009D7A81">
        <w:trPr>
          <w:jc w:val="center"/>
        </w:trPr>
        <w:tc>
          <w:tcPr>
            <w:tcW w:w="9628" w:type="dxa"/>
            <w:shd w:val="clear" w:color="auto" w:fill="auto"/>
          </w:tcPr>
          <w:p w14:paraId="4DEEB8B3" w14:textId="32574B38" w:rsidR="009D7A81" w:rsidRDefault="009D7A81" w:rsidP="00900E2B">
            <w:pPr>
              <w:tabs>
                <w:tab w:val="left" w:pos="1705"/>
              </w:tabs>
            </w:pPr>
          </w:p>
        </w:tc>
      </w:tr>
    </w:tbl>
    <w:p w14:paraId="21A53E62" w14:textId="77777777" w:rsidR="009D7A81" w:rsidRPr="00495AE7" w:rsidRDefault="009D7A81" w:rsidP="009D7A81">
      <w:pPr>
        <w:pStyle w:val="HChG"/>
      </w:pPr>
      <w:r w:rsidRPr="00495AE7">
        <w:rPr>
          <w:lang w:val="fr-FR"/>
        </w:rPr>
        <w:lastRenderedPageBreak/>
        <w:tab/>
      </w:r>
      <w:r w:rsidRPr="00495AE7">
        <w:rPr>
          <w:lang w:val="fr-FR"/>
        </w:rPr>
        <w:tab/>
        <w:t xml:space="preserve">Contexte </w:t>
      </w:r>
    </w:p>
    <w:p w14:paraId="5B570699" w14:textId="221E1BDC" w:rsidR="009D7A81" w:rsidRPr="00495AE7" w:rsidRDefault="009D7A81" w:rsidP="009D7A81">
      <w:pPr>
        <w:pStyle w:val="SingleTxtG"/>
      </w:pPr>
      <w:r w:rsidRPr="00495AE7">
        <w:rPr>
          <w:lang w:val="fr-FR"/>
        </w:rPr>
        <w:t>1.</w:t>
      </w:r>
      <w:r w:rsidRPr="00495AE7">
        <w:rPr>
          <w:lang w:val="fr-FR"/>
        </w:rPr>
        <w:tab/>
        <w:t>Dans le cadre de ses objectifs, la Stratégie de la CEE pour l</w:t>
      </w:r>
      <w:r>
        <w:rPr>
          <w:lang w:val="fr-FR"/>
        </w:rPr>
        <w:t>’</w:t>
      </w:r>
      <w:r w:rsidRPr="00495AE7">
        <w:rPr>
          <w:lang w:val="fr-FR"/>
        </w:rPr>
        <w:t>éducation en vue du développement durable souligne l</w:t>
      </w:r>
      <w:r>
        <w:rPr>
          <w:lang w:val="fr-FR"/>
        </w:rPr>
        <w:t>’</w:t>
      </w:r>
      <w:r w:rsidRPr="00495AE7">
        <w:rPr>
          <w:lang w:val="fr-FR"/>
        </w:rPr>
        <w:t xml:space="preserve">importance pour la région de la CEE de disposer des outils nécessaires pour aider les pays à mettre en place </w:t>
      </w:r>
      <w:r>
        <w:rPr>
          <w:lang w:val="fr-FR"/>
        </w:rPr>
        <w:t xml:space="preserve">efficacement </w:t>
      </w:r>
      <w:r w:rsidRPr="00495AE7">
        <w:rPr>
          <w:lang w:val="fr-FR"/>
        </w:rPr>
        <w:t xml:space="preserve">une éducation </w:t>
      </w:r>
      <w:r>
        <w:rPr>
          <w:lang w:val="fr-FR"/>
        </w:rPr>
        <w:t>en vue</w:t>
      </w:r>
      <w:r w:rsidRPr="00495AE7">
        <w:rPr>
          <w:lang w:val="fr-FR"/>
        </w:rPr>
        <w:t xml:space="preserve"> du développement durable</w:t>
      </w:r>
      <w:r w:rsidRPr="00415C9C">
        <w:rPr>
          <w:rStyle w:val="Appelnotedebasdep"/>
        </w:rPr>
        <w:footnoteReference w:id="2"/>
      </w:r>
      <w:r w:rsidRPr="00495AE7">
        <w:rPr>
          <w:lang w:val="fr-FR"/>
        </w:rPr>
        <w:t>. Comme indiqué dans la Stratégie</w:t>
      </w:r>
      <w:r>
        <w:rPr>
          <w:lang w:val="fr-FR"/>
        </w:rPr>
        <w:t>, il</w:t>
      </w:r>
      <w:r w:rsidRPr="00495AE7">
        <w:rPr>
          <w:lang w:val="fr-FR"/>
        </w:rPr>
        <w:t xml:space="preserve"> «</w:t>
      </w:r>
      <w:r w:rsidR="00E7512C">
        <w:rPr>
          <w:lang w:val="fr-FR"/>
        </w:rPr>
        <w:t> </w:t>
      </w:r>
      <w:r w:rsidRPr="00495AE7">
        <w:rPr>
          <w:lang w:val="fr-FR"/>
        </w:rPr>
        <w:t xml:space="preserve">faut mettre au point à tous les niveaux des matériels </w:t>
      </w:r>
      <w:r>
        <w:rPr>
          <w:lang w:val="fr-FR"/>
        </w:rPr>
        <w:t>[</w:t>
      </w:r>
      <w:r w:rsidRPr="00495AE7">
        <w:rPr>
          <w:lang w:val="fr-FR"/>
        </w:rPr>
        <w:t>pour l</w:t>
      </w:r>
      <w:r>
        <w:rPr>
          <w:lang w:val="fr-FR"/>
        </w:rPr>
        <w:t>’</w:t>
      </w:r>
      <w:r w:rsidRPr="00495AE7">
        <w:rPr>
          <w:lang w:val="fr-FR"/>
        </w:rPr>
        <w:t>éducation en vue du développement durable</w:t>
      </w:r>
      <w:r>
        <w:rPr>
          <w:lang w:val="fr-FR"/>
        </w:rPr>
        <w:t>]</w:t>
      </w:r>
      <w:r w:rsidRPr="00495AE7">
        <w:rPr>
          <w:lang w:val="fr-FR"/>
        </w:rPr>
        <w:t>, tant pour les programmes d</w:t>
      </w:r>
      <w:r>
        <w:rPr>
          <w:lang w:val="fr-FR"/>
        </w:rPr>
        <w:t>’</w:t>
      </w:r>
      <w:r w:rsidRPr="00495AE7">
        <w:rPr>
          <w:lang w:val="fr-FR"/>
        </w:rPr>
        <w:t>enseignement général que pour l</w:t>
      </w:r>
      <w:r>
        <w:rPr>
          <w:lang w:val="fr-FR"/>
        </w:rPr>
        <w:t>’</w:t>
      </w:r>
      <w:r w:rsidRPr="00495AE7">
        <w:rPr>
          <w:lang w:val="fr-FR"/>
        </w:rPr>
        <w:t>enseignement spécialisé et l</w:t>
      </w:r>
      <w:r>
        <w:rPr>
          <w:lang w:val="fr-FR"/>
        </w:rPr>
        <w:t>’</w:t>
      </w:r>
      <w:proofErr w:type="spellStart"/>
      <w:r w:rsidRPr="00495AE7">
        <w:rPr>
          <w:lang w:val="fr-FR"/>
        </w:rPr>
        <w:t>autoformation</w:t>
      </w:r>
      <w:proofErr w:type="spellEnd"/>
      <w:r w:rsidRPr="00495AE7">
        <w:rPr>
          <w:lang w:val="fr-FR"/>
        </w:rPr>
        <w:t xml:space="preserve"> et les adapter à la situation et aux besoins locaux »</w:t>
      </w:r>
      <w:r w:rsidRPr="00415C9C">
        <w:rPr>
          <w:rStyle w:val="Appelnotedebasdep"/>
        </w:rPr>
        <w:footnoteReference w:id="3"/>
      </w:r>
      <w:r w:rsidRPr="00495AE7">
        <w:rPr>
          <w:lang w:val="fr-FR"/>
        </w:rPr>
        <w:t>. L</w:t>
      </w:r>
      <w:r>
        <w:rPr>
          <w:lang w:val="fr-FR"/>
        </w:rPr>
        <w:t>’</w:t>
      </w:r>
      <w:r w:rsidRPr="00495AE7">
        <w:rPr>
          <w:lang w:val="fr-FR"/>
        </w:rPr>
        <w:t>élaboration d</w:t>
      </w:r>
      <w:r>
        <w:rPr>
          <w:lang w:val="fr-FR"/>
        </w:rPr>
        <w:t>’</w:t>
      </w:r>
      <w:r w:rsidRPr="00495AE7">
        <w:rPr>
          <w:lang w:val="fr-FR"/>
        </w:rPr>
        <w:t xml:space="preserve">une boîte à outils </w:t>
      </w:r>
      <w:r>
        <w:rPr>
          <w:lang w:val="fr-FR"/>
        </w:rPr>
        <w:t>pour</w:t>
      </w:r>
      <w:r w:rsidRPr="00495AE7">
        <w:rPr>
          <w:lang w:val="fr-FR"/>
        </w:rPr>
        <w:t xml:space="preserve"> l</w:t>
      </w:r>
      <w:r>
        <w:rPr>
          <w:lang w:val="fr-FR"/>
        </w:rPr>
        <w:t>’</w:t>
      </w:r>
      <w:r w:rsidRPr="00495AE7">
        <w:rPr>
          <w:lang w:val="fr-FR"/>
        </w:rPr>
        <w:t xml:space="preserve">approche </w:t>
      </w:r>
      <w:proofErr w:type="spellStart"/>
      <w:r w:rsidRPr="00495AE7">
        <w:rPr>
          <w:lang w:val="fr-FR"/>
        </w:rPr>
        <w:t>paninstitutionnelle</w:t>
      </w:r>
      <w:proofErr w:type="spellEnd"/>
      <w:r w:rsidRPr="00495AE7">
        <w:t xml:space="preserve"> </w:t>
      </w:r>
      <w:r w:rsidRPr="00495AE7">
        <w:rPr>
          <w:lang w:val="fr-FR"/>
        </w:rPr>
        <w:t>(ou approche pédagogique globale) et l</w:t>
      </w:r>
      <w:r>
        <w:rPr>
          <w:lang w:val="fr-FR"/>
        </w:rPr>
        <w:t>’</w:t>
      </w:r>
      <w:r w:rsidRPr="00495AE7">
        <w:rPr>
          <w:lang w:val="fr-FR"/>
        </w:rPr>
        <w:t xml:space="preserve">éducation </w:t>
      </w:r>
      <w:r>
        <w:rPr>
          <w:lang w:val="fr-FR"/>
        </w:rPr>
        <w:t>en vue</w:t>
      </w:r>
      <w:r w:rsidRPr="00495AE7">
        <w:rPr>
          <w:lang w:val="fr-FR"/>
        </w:rPr>
        <w:t xml:space="preserve"> du développement durable est essentielle à l</w:t>
      </w:r>
      <w:r>
        <w:rPr>
          <w:lang w:val="fr-FR"/>
        </w:rPr>
        <w:t>’</w:t>
      </w:r>
      <w:r w:rsidRPr="00495AE7">
        <w:rPr>
          <w:lang w:val="fr-FR"/>
        </w:rPr>
        <w:t>application d</w:t>
      </w:r>
      <w:r>
        <w:rPr>
          <w:lang w:val="fr-FR"/>
        </w:rPr>
        <w:t>’</w:t>
      </w:r>
      <w:r w:rsidRPr="00495AE7">
        <w:rPr>
          <w:lang w:val="fr-FR"/>
        </w:rPr>
        <w:t>une telle approche dans l</w:t>
      </w:r>
      <w:r>
        <w:rPr>
          <w:lang w:val="fr-FR"/>
        </w:rPr>
        <w:t>’</w:t>
      </w:r>
      <w:r w:rsidRPr="00495AE7">
        <w:rPr>
          <w:lang w:val="fr-FR"/>
        </w:rPr>
        <w:t>enseignement formel et non formel et fait partie intégrante de l</w:t>
      </w:r>
      <w:r>
        <w:rPr>
          <w:lang w:val="fr-FR"/>
        </w:rPr>
        <w:t>’</w:t>
      </w:r>
      <w:r w:rsidRPr="00495AE7">
        <w:rPr>
          <w:lang w:val="fr-FR"/>
        </w:rPr>
        <w:t>adoption</w:t>
      </w:r>
      <w:r>
        <w:rPr>
          <w:lang w:val="fr-FR"/>
        </w:rPr>
        <w:t xml:space="preserve">, </w:t>
      </w:r>
      <w:r w:rsidRPr="00495AE7">
        <w:rPr>
          <w:lang w:val="fr-FR"/>
        </w:rPr>
        <w:t>par les États membres de la CEE</w:t>
      </w:r>
      <w:r>
        <w:rPr>
          <w:lang w:val="fr-FR"/>
        </w:rPr>
        <w:t>,</w:t>
      </w:r>
      <w:r w:rsidRPr="00495AE7">
        <w:rPr>
          <w:lang w:val="fr-FR"/>
        </w:rPr>
        <w:t xml:space="preserve"> du nouveau cadre d</w:t>
      </w:r>
      <w:r>
        <w:rPr>
          <w:lang w:val="fr-FR"/>
        </w:rPr>
        <w:t>’</w:t>
      </w:r>
      <w:r w:rsidRPr="00495AE7">
        <w:rPr>
          <w:lang w:val="fr-FR"/>
        </w:rPr>
        <w:t>application de la Stratégie de la CEE pour l</w:t>
      </w:r>
      <w:r>
        <w:rPr>
          <w:lang w:val="fr-FR"/>
        </w:rPr>
        <w:t>’</w:t>
      </w:r>
      <w:r w:rsidRPr="00495AE7">
        <w:rPr>
          <w:lang w:val="fr-FR"/>
        </w:rPr>
        <w:t>éducation en vue du développement durable pour 2021</w:t>
      </w:r>
      <w:r w:rsidR="00E7512C">
        <w:rPr>
          <w:lang w:val="fr-FR"/>
        </w:rPr>
        <w:noBreakHyphen/>
      </w:r>
      <w:r w:rsidRPr="00495AE7">
        <w:rPr>
          <w:lang w:val="fr-FR"/>
        </w:rPr>
        <w:t>2030</w:t>
      </w:r>
      <w:r w:rsidRPr="00415C9C">
        <w:rPr>
          <w:rStyle w:val="Appelnotedebasdep"/>
        </w:rPr>
        <w:footnoteReference w:id="4"/>
      </w:r>
      <w:r w:rsidRPr="00495AE7">
        <w:rPr>
          <w:lang w:val="fr-FR"/>
        </w:rPr>
        <w:t>.</w:t>
      </w:r>
    </w:p>
    <w:p w14:paraId="34A502FC" w14:textId="4D945D2C" w:rsidR="009D7A81" w:rsidRPr="00495AE7" w:rsidRDefault="009D7A81" w:rsidP="009D7A81">
      <w:pPr>
        <w:pStyle w:val="SingleTxtG"/>
        <w:rPr>
          <w:rFonts w:eastAsia="Calibri"/>
        </w:rPr>
      </w:pPr>
      <w:r w:rsidRPr="00495AE7">
        <w:rPr>
          <w:lang w:val="fr-FR"/>
        </w:rPr>
        <w:t>2.</w:t>
      </w:r>
      <w:r w:rsidRPr="00495AE7">
        <w:rPr>
          <w:lang w:val="fr-FR"/>
        </w:rPr>
        <w:tab/>
        <w:t>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est un concept global qui repose sur une approche intégrée. Elle consiste à prendre en compte tous les éléments constitutifs d</w:t>
      </w:r>
      <w:r>
        <w:rPr>
          <w:lang w:val="fr-FR"/>
        </w:rPr>
        <w:t>’</w:t>
      </w:r>
      <w:r w:rsidRPr="00495AE7">
        <w:rPr>
          <w:lang w:val="fr-FR"/>
        </w:rPr>
        <w:t xml:space="preserve">une institution donnée, sa philosophie, </w:t>
      </w:r>
      <w:r>
        <w:rPr>
          <w:lang w:val="fr-FR"/>
        </w:rPr>
        <w:t>s</w:t>
      </w:r>
      <w:r w:rsidRPr="00495AE7">
        <w:rPr>
          <w:lang w:val="fr-FR"/>
        </w:rPr>
        <w:t>a gestion d</w:t>
      </w:r>
      <w:r>
        <w:rPr>
          <w:lang w:val="fr-FR"/>
        </w:rPr>
        <w:t>es</w:t>
      </w:r>
      <w:r w:rsidRPr="00495AE7">
        <w:rPr>
          <w:lang w:val="fr-FR"/>
        </w:rPr>
        <w:t xml:space="preserve"> bâtiment</w:t>
      </w:r>
      <w:r>
        <w:rPr>
          <w:lang w:val="fr-FR"/>
        </w:rPr>
        <w:t>s</w:t>
      </w:r>
      <w:r w:rsidRPr="00495AE7">
        <w:rPr>
          <w:lang w:val="fr-FR"/>
        </w:rPr>
        <w:t xml:space="preserve">, </w:t>
      </w:r>
      <w:r>
        <w:rPr>
          <w:lang w:val="fr-FR"/>
        </w:rPr>
        <w:t xml:space="preserve">ses activités, </w:t>
      </w:r>
      <w:r w:rsidRPr="00495AE7">
        <w:rPr>
          <w:lang w:val="fr-FR"/>
        </w:rPr>
        <w:t>l</w:t>
      </w:r>
      <w:r>
        <w:rPr>
          <w:lang w:val="fr-FR"/>
        </w:rPr>
        <w:t>’</w:t>
      </w:r>
      <w:r w:rsidRPr="00495AE7">
        <w:rPr>
          <w:lang w:val="fr-FR"/>
        </w:rPr>
        <w:t xml:space="preserve">éducation </w:t>
      </w:r>
      <w:r>
        <w:rPr>
          <w:lang w:val="fr-FR"/>
        </w:rPr>
        <w:t xml:space="preserve">qu’elle propose </w:t>
      </w:r>
      <w:r w:rsidRPr="00495AE7">
        <w:rPr>
          <w:lang w:val="fr-FR"/>
        </w:rPr>
        <w:t>(programme</w:t>
      </w:r>
      <w:r>
        <w:rPr>
          <w:lang w:val="fr-FR"/>
        </w:rPr>
        <w:t xml:space="preserve"> d’études</w:t>
      </w:r>
      <w:r w:rsidRPr="00495AE7">
        <w:rPr>
          <w:lang w:val="fr-FR"/>
        </w:rPr>
        <w:t>, pédagogie, enseignement et perfectionnement professionnel) et sa politique de coopération et à les mettre en relation avec le milieu environnant (les entités proches de l</w:t>
      </w:r>
      <w:r>
        <w:rPr>
          <w:lang w:val="fr-FR"/>
        </w:rPr>
        <w:t>’</w:t>
      </w:r>
      <w:r w:rsidRPr="00495AE7">
        <w:rPr>
          <w:lang w:val="fr-FR"/>
        </w:rPr>
        <w:t>institution</w:t>
      </w:r>
      <w:r>
        <w:rPr>
          <w:lang w:val="fr-FR"/>
        </w:rPr>
        <w:t> :</w:t>
      </w:r>
      <w:r w:rsidRPr="00495AE7">
        <w:rPr>
          <w:lang w:val="fr-FR"/>
        </w:rPr>
        <w:t xml:space="preserve"> parents, entreprises, organisations, municipalité, etc.), en tenant compte du contexte culturel, en favorisant la participation des jeunes et en assurant un suivi.</w:t>
      </w:r>
    </w:p>
    <w:p w14:paraId="39704A80" w14:textId="6CCF12A4" w:rsidR="009D7A81" w:rsidRPr="00495AE7" w:rsidRDefault="009D7A81" w:rsidP="009D7A81">
      <w:pPr>
        <w:pStyle w:val="SingleTxtG"/>
        <w:rPr>
          <w:rFonts w:eastAsia="Calibri"/>
        </w:rPr>
      </w:pPr>
      <w:r w:rsidRPr="00495AE7">
        <w:rPr>
          <w:lang w:val="fr-FR"/>
        </w:rPr>
        <w:t>3.</w:t>
      </w:r>
      <w:r w:rsidRPr="00495AE7">
        <w:rPr>
          <w:lang w:val="fr-FR"/>
        </w:rPr>
        <w:tab/>
        <w:t>La présente proposition est axée sur l</w:t>
      </w:r>
      <w:r>
        <w:rPr>
          <w:lang w:val="fr-FR"/>
        </w:rPr>
        <w:t>’</w:t>
      </w:r>
      <w:r w:rsidRPr="00495AE7">
        <w:rPr>
          <w:lang w:val="fr-FR"/>
        </w:rPr>
        <w:t>élaboration d</w:t>
      </w:r>
      <w:r>
        <w:rPr>
          <w:lang w:val="fr-FR"/>
        </w:rPr>
        <w:t>’</w:t>
      </w:r>
      <w:r w:rsidRPr="00495AE7">
        <w:rPr>
          <w:lang w:val="fr-FR"/>
        </w:rPr>
        <w:t>une boîte à outils pour l</w:t>
      </w:r>
      <w:r>
        <w:rPr>
          <w:lang w:val="fr-FR"/>
        </w:rPr>
        <w:t>’</w:t>
      </w:r>
      <w:r w:rsidRPr="00495AE7">
        <w:rPr>
          <w:lang w:val="fr-FR"/>
        </w:rPr>
        <w:t xml:space="preserve">approche </w:t>
      </w:r>
      <w:proofErr w:type="spellStart"/>
      <w:r w:rsidRPr="00495AE7">
        <w:rPr>
          <w:lang w:val="fr-FR"/>
        </w:rPr>
        <w:t>paninstitutionnelle</w:t>
      </w:r>
      <w:proofErr w:type="spellEnd"/>
      <w:r>
        <w:rPr>
          <w:lang w:val="fr-FR"/>
        </w:rPr>
        <w:t>,</w:t>
      </w:r>
      <w:r w:rsidRPr="00495AE7">
        <w:rPr>
          <w:lang w:val="fr-FR"/>
        </w:rPr>
        <w:t xml:space="preserve"> </w:t>
      </w:r>
      <w:r>
        <w:rPr>
          <w:lang w:val="fr-FR"/>
        </w:rPr>
        <w:t>qui</w:t>
      </w:r>
      <w:r w:rsidRPr="00495AE7">
        <w:rPr>
          <w:lang w:val="fr-FR"/>
        </w:rPr>
        <w:t xml:space="preserve"> englobe toute une gamme d</w:t>
      </w:r>
      <w:r>
        <w:rPr>
          <w:lang w:val="fr-FR"/>
        </w:rPr>
        <w:t>’</w:t>
      </w:r>
      <w:r w:rsidRPr="00495AE7">
        <w:rPr>
          <w:lang w:val="fr-FR"/>
        </w:rPr>
        <w:t>établissements d</w:t>
      </w:r>
      <w:r>
        <w:rPr>
          <w:lang w:val="fr-FR"/>
        </w:rPr>
        <w:t>’</w:t>
      </w:r>
      <w:r w:rsidRPr="00495AE7">
        <w:rPr>
          <w:lang w:val="fr-FR"/>
        </w:rPr>
        <w:t>éducation formelle, non formelle et informelle pour les étudiants de tous âges.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concerne tous les </w:t>
      </w:r>
      <w:r>
        <w:rPr>
          <w:lang w:val="fr-FR"/>
        </w:rPr>
        <w:t>établissements actifs</w:t>
      </w:r>
      <w:r w:rsidRPr="00495AE7">
        <w:rPr>
          <w:lang w:val="fr-FR"/>
        </w:rPr>
        <w:t xml:space="preserve"> dans le domaine de l</w:t>
      </w:r>
      <w:r>
        <w:rPr>
          <w:lang w:val="fr-FR"/>
        </w:rPr>
        <w:t>’</w:t>
      </w:r>
      <w:r w:rsidRPr="00495AE7">
        <w:rPr>
          <w:lang w:val="fr-FR"/>
        </w:rPr>
        <w:t xml:space="preserve">éducation </w:t>
      </w:r>
      <w:r>
        <w:rPr>
          <w:lang w:val="fr-FR"/>
        </w:rPr>
        <w:t>en vue</w:t>
      </w:r>
      <w:r w:rsidRPr="00495AE7">
        <w:rPr>
          <w:lang w:val="fr-FR"/>
        </w:rPr>
        <w:t xml:space="preserve"> du développement durable</w:t>
      </w:r>
      <w:r>
        <w:rPr>
          <w:lang w:val="fr-FR"/>
        </w:rPr>
        <w:t> ;</w:t>
      </w:r>
      <w:r w:rsidRPr="00495AE7">
        <w:rPr>
          <w:lang w:val="fr-FR"/>
        </w:rPr>
        <w:t xml:space="preserve"> elle offre à </w:t>
      </w:r>
      <w:r>
        <w:rPr>
          <w:lang w:val="fr-FR"/>
        </w:rPr>
        <w:t xml:space="preserve">tout un </w:t>
      </w:r>
      <w:r w:rsidRPr="00495AE7">
        <w:rPr>
          <w:lang w:val="fr-FR"/>
        </w:rPr>
        <w:t>chacun davantage de possibilités en matière d</w:t>
      </w:r>
      <w:r>
        <w:rPr>
          <w:lang w:val="fr-FR"/>
        </w:rPr>
        <w:t>’</w:t>
      </w:r>
      <w:r w:rsidRPr="00495AE7">
        <w:rPr>
          <w:lang w:val="fr-FR"/>
        </w:rPr>
        <w:t>éducation dans ce domaine, notamment grâce à la coopération avec d</w:t>
      </w:r>
      <w:r>
        <w:rPr>
          <w:lang w:val="fr-FR"/>
        </w:rPr>
        <w:t>’</w:t>
      </w:r>
      <w:r w:rsidRPr="00495AE7">
        <w:rPr>
          <w:lang w:val="fr-FR"/>
        </w:rPr>
        <w:t>autres organismes, tels que les organisations non gouvernementales (ONG), les instituts de formation, les universités, les entreprises et les municipalités.</w:t>
      </w:r>
    </w:p>
    <w:p w14:paraId="23E6D8E2" w14:textId="77777777" w:rsidR="009D7A81" w:rsidRPr="00495AE7" w:rsidRDefault="009D7A81" w:rsidP="009D7A81">
      <w:pPr>
        <w:pStyle w:val="SingleTxtG"/>
        <w:rPr>
          <w:rFonts w:eastAsia="SimSun"/>
        </w:rPr>
      </w:pPr>
      <w:r w:rsidRPr="00495AE7">
        <w:rPr>
          <w:lang w:val="fr-FR"/>
        </w:rPr>
        <w:t>4.</w:t>
      </w:r>
      <w:r w:rsidRPr="00495AE7">
        <w:rPr>
          <w:lang w:val="fr-FR"/>
        </w:rPr>
        <w:tab/>
        <w:t>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établit des critères pour chaque secteur, auxquels les institutions peuvent adhérer. Toutefois, la véritable difficulté consiste à établir des liens entre ces secteurs, par exemple entre les modalités de fonctionnement d</w:t>
      </w:r>
      <w:r>
        <w:rPr>
          <w:lang w:val="fr-FR"/>
        </w:rPr>
        <w:t>’</w:t>
      </w:r>
      <w:r w:rsidRPr="00495AE7">
        <w:rPr>
          <w:lang w:val="fr-FR"/>
        </w:rPr>
        <w:t>une école donnée et son système éducatif, pour une meilleure harmonisation des pratiques. Grâce à cette approche, les établissements peuvent devenir des centres exemplaires en matière de durabilité et d</w:t>
      </w:r>
      <w:r>
        <w:rPr>
          <w:lang w:val="fr-FR"/>
        </w:rPr>
        <w:t>’</w:t>
      </w:r>
      <w:r w:rsidRPr="00495AE7">
        <w:rPr>
          <w:lang w:val="fr-FR"/>
        </w:rPr>
        <w:t>éducation durable. Les institutions qui adopteront cette approche peuvent ainsi éviter d</w:t>
      </w:r>
      <w:r>
        <w:rPr>
          <w:lang w:val="fr-FR"/>
        </w:rPr>
        <w:t>’</w:t>
      </w:r>
      <w:r w:rsidRPr="00495AE7">
        <w:rPr>
          <w:lang w:val="fr-FR"/>
        </w:rPr>
        <w:t>envoyer par inadvertance un mauvais message en raison de leurs mauvaises pratiques de fonctionnement, alors qu</w:t>
      </w:r>
      <w:r>
        <w:rPr>
          <w:lang w:val="fr-FR"/>
        </w:rPr>
        <w:t>’</w:t>
      </w:r>
      <w:r w:rsidRPr="00495AE7">
        <w:rPr>
          <w:lang w:val="fr-FR"/>
        </w:rPr>
        <w:t>elles enseignent aux acteurs de quelle manière adopter des pratiques plus durables.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vise à réunir ces univers disparates pour le bien de la jeunesse et de la société.</w:t>
      </w:r>
    </w:p>
    <w:p w14:paraId="6A1B1B68" w14:textId="77777777" w:rsidR="009D7A81" w:rsidRPr="00495AE7" w:rsidRDefault="009D7A81" w:rsidP="009D7A81">
      <w:pPr>
        <w:pStyle w:val="HChG"/>
        <w:rPr>
          <w:rFonts w:eastAsia="SimSun"/>
        </w:rPr>
      </w:pPr>
      <w:r w:rsidRPr="00495AE7">
        <w:rPr>
          <w:lang w:val="fr-FR"/>
        </w:rPr>
        <w:tab/>
      </w:r>
      <w:r w:rsidRPr="00495AE7">
        <w:rPr>
          <w:lang w:val="fr-FR"/>
        </w:rPr>
        <w:tab/>
        <w:t>Mandat</w:t>
      </w:r>
    </w:p>
    <w:p w14:paraId="2CF765A9" w14:textId="03878541" w:rsidR="009D7A81" w:rsidRPr="00495AE7" w:rsidRDefault="009D7A81" w:rsidP="009D7A81">
      <w:pPr>
        <w:pStyle w:val="SingleTxtG"/>
        <w:rPr>
          <w:rFonts w:eastAsia="SimSun"/>
          <w:b/>
          <w:sz w:val="24"/>
          <w:szCs w:val="24"/>
        </w:rPr>
      </w:pPr>
      <w:r w:rsidRPr="009D7A81">
        <w:t>5.</w:t>
      </w:r>
      <w:r w:rsidRPr="009D7A81">
        <w:tab/>
        <w:t xml:space="preserve">À la troisième Réunion de haut niveau des ministères de l’éducation et de l’environnement (Nicosie, 5 octobre 2022), les ministres ont décidé de créer un groupe d’experts placé sous la direction de Chypre et du Royaume des Pays-Bas, qui sera chargé d’élaborer le plan de travail du deuxième volet prioritaire (approche </w:t>
      </w:r>
      <w:proofErr w:type="spellStart"/>
      <w:r w:rsidRPr="009D7A81">
        <w:t>paninstitutionnelle</w:t>
      </w:r>
      <w:proofErr w:type="spellEnd"/>
      <w:r w:rsidRPr="009D7A81">
        <w:t xml:space="preserve"> et éducation en vue du développement durable dans la région de la CEE). Ce groupe d’experts travaillera en étroite collaboration avec le Comité directeur de la CEE pour l’éducation au service du développement durable et les pays chefs de file afin de mettre au point les instruments et les activités de renforcement des capacités qui faciliteront l’application effective de la boîte à outils par les États membres de la CEE. La boîte à outils sera élaborée </w:t>
      </w:r>
      <w:r w:rsidRPr="009D7A81">
        <w:lastRenderedPageBreak/>
        <w:t>en tenant compte du cadre d’action pour le deuxième volet prioritaire présenté dans le Cadre d’application de la Stratégie de la CEE pour l’éducation en vue du développement durable de 2021 à 2030, lequel fait également partie du plan de travail pour l’adoption du deuxième volet prioritaire.</w:t>
      </w:r>
    </w:p>
    <w:p w14:paraId="2A03C80E" w14:textId="149E317D" w:rsidR="009D7A81" w:rsidRPr="00495AE7" w:rsidRDefault="009D7A81" w:rsidP="009D7A81">
      <w:pPr>
        <w:pStyle w:val="HChG"/>
        <w:rPr>
          <w:rFonts w:eastAsia="SimSun"/>
        </w:rPr>
      </w:pPr>
      <w:r w:rsidRPr="00495AE7">
        <w:rPr>
          <w:lang w:val="fr-FR"/>
        </w:rPr>
        <w:tab/>
      </w:r>
      <w:r w:rsidRPr="00495AE7">
        <w:rPr>
          <w:lang w:val="fr-FR"/>
        </w:rPr>
        <w:tab/>
        <w:t>Synthèse des travaux d</w:t>
      </w:r>
      <w:r>
        <w:rPr>
          <w:lang w:val="fr-FR"/>
        </w:rPr>
        <w:t>u</w:t>
      </w:r>
      <w:r w:rsidRPr="00495AE7">
        <w:rPr>
          <w:lang w:val="fr-FR"/>
        </w:rPr>
        <w:t xml:space="preserve"> groupe d</w:t>
      </w:r>
      <w:r>
        <w:rPr>
          <w:lang w:val="fr-FR"/>
        </w:rPr>
        <w:t>’</w:t>
      </w:r>
      <w:r w:rsidRPr="00495AE7">
        <w:rPr>
          <w:lang w:val="fr-FR"/>
        </w:rPr>
        <w:t xml:space="preserve">experts </w:t>
      </w:r>
      <w:r>
        <w:rPr>
          <w:lang w:val="fr-FR"/>
        </w:rPr>
        <w:br/>
      </w:r>
      <w:r w:rsidRPr="00495AE7">
        <w:rPr>
          <w:lang w:val="fr-FR"/>
        </w:rPr>
        <w:t>et d</w:t>
      </w:r>
      <w:r>
        <w:rPr>
          <w:lang w:val="fr-FR"/>
        </w:rPr>
        <w:t>u</w:t>
      </w:r>
      <w:r w:rsidRPr="00495AE7">
        <w:rPr>
          <w:lang w:val="fr-FR"/>
        </w:rPr>
        <w:t xml:space="preserve"> groupe d</w:t>
      </w:r>
      <w:r>
        <w:rPr>
          <w:lang w:val="fr-FR"/>
        </w:rPr>
        <w:t>’</w:t>
      </w:r>
      <w:r w:rsidRPr="00495AE7">
        <w:rPr>
          <w:lang w:val="fr-FR"/>
        </w:rPr>
        <w:t xml:space="preserve">appui </w:t>
      </w:r>
    </w:p>
    <w:p w14:paraId="6E1E9BBF" w14:textId="77777777" w:rsidR="009D7A81" w:rsidRPr="00495AE7" w:rsidRDefault="009D7A81" w:rsidP="009D7A81">
      <w:pPr>
        <w:pStyle w:val="H1G"/>
        <w:rPr>
          <w:rFonts w:eastAsia="SimSun"/>
        </w:rPr>
      </w:pPr>
      <w:r w:rsidRPr="00495AE7">
        <w:rPr>
          <w:lang w:val="fr-FR"/>
        </w:rPr>
        <w:tab/>
      </w:r>
      <w:r w:rsidRPr="00495AE7">
        <w:rPr>
          <w:lang w:val="fr-FR"/>
        </w:rPr>
        <w:tab/>
        <w:t>Groupe d</w:t>
      </w:r>
      <w:r>
        <w:rPr>
          <w:lang w:val="fr-FR"/>
        </w:rPr>
        <w:t>’</w:t>
      </w:r>
      <w:r w:rsidRPr="00495AE7">
        <w:rPr>
          <w:lang w:val="fr-FR"/>
        </w:rPr>
        <w:t>experts</w:t>
      </w:r>
    </w:p>
    <w:p w14:paraId="2749E659" w14:textId="442FC82F" w:rsidR="009D7A81" w:rsidRPr="00495AE7" w:rsidRDefault="009D7A81" w:rsidP="009D7A81">
      <w:pPr>
        <w:pStyle w:val="SingleTxtG"/>
        <w:rPr>
          <w:rFonts w:eastAsia="SimSun"/>
          <w:b/>
          <w:bCs/>
        </w:rPr>
      </w:pPr>
      <w:r w:rsidRPr="00495AE7">
        <w:rPr>
          <w:lang w:val="fr-FR"/>
        </w:rPr>
        <w:t>6.</w:t>
      </w:r>
      <w:r w:rsidRPr="00495AE7">
        <w:rPr>
          <w:lang w:val="fr-FR"/>
        </w:rPr>
        <w:tab/>
        <w:t>Un groupe d</w:t>
      </w:r>
      <w:r>
        <w:rPr>
          <w:lang w:val="fr-FR"/>
        </w:rPr>
        <w:t>’</w:t>
      </w:r>
      <w:r w:rsidRPr="00495AE7">
        <w:rPr>
          <w:lang w:val="fr-FR"/>
        </w:rPr>
        <w:t>experts a été créé afin de faire progresser les travaux relatifs à l</w:t>
      </w:r>
      <w:r>
        <w:rPr>
          <w:lang w:val="fr-FR"/>
        </w:rPr>
        <w:t>’</w:t>
      </w:r>
      <w:r w:rsidRPr="00495AE7">
        <w:rPr>
          <w:lang w:val="fr-FR"/>
        </w:rPr>
        <w:t>élaboration d</w:t>
      </w:r>
      <w:r>
        <w:rPr>
          <w:lang w:val="fr-FR"/>
        </w:rPr>
        <w:t>’</w:t>
      </w:r>
      <w:r w:rsidRPr="00495AE7">
        <w:rPr>
          <w:lang w:val="fr-FR"/>
        </w:rPr>
        <w:t>un cadre pour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pouvant être utilisé dans de nombreux contextes au sein de la région de la CEE. Il est composé de personnes connaissant bien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de l</w:t>
      </w:r>
      <w:r>
        <w:rPr>
          <w:lang w:val="fr-FR"/>
        </w:rPr>
        <w:t>’</w:t>
      </w:r>
      <w:r w:rsidRPr="00495AE7">
        <w:rPr>
          <w:lang w:val="fr-FR"/>
        </w:rPr>
        <w:t xml:space="preserve">éducation </w:t>
      </w:r>
      <w:r>
        <w:rPr>
          <w:lang w:val="fr-FR"/>
        </w:rPr>
        <w:t>en vue</w:t>
      </w:r>
      <w:r w:rsidRPr="00495AE7">
        <w:rPr>
          <w:lang w:val="fr-FR"/>
        </w:rPr>
        <w:t xml:space="preserve"> du développement durable et ayant une grande expérience en matière d</w:t>
      </w:r>
      <w:r>
        <w:rPr>
          <w:lang w:val="fr-FR"/>
        </w:rPr>
        <w:t>’</w:t>
      </w:r>
      <w:r w:rsidRPr="00495AE7">
        <w:rPr>
          <w:lang w:val="fr-FR"/>
        </w:rPr>
        <w:t>élaboration d</w:t>
      </w:r>
      <w:r>
        <w:rPr>
          <w:lang w:val="fr-FR"/>
        </w:rPr>
        <w:t>’</w:t>
      </w:r>
      <w:r w:rsidRPr="00495AE7">
        <w:rPr>
          <w:lang w:val="fr-FR"/>
        </w:rPr>
        <w:t>outils éducatifs. Le groupe d</w:t>
      </w:r>
      <w:r>
        <w:rPr>
          <w:lang w:val="fr-FR"/>
        </w:rPr>
        <w:t>’</w:t>
      </w:r>
      <w:r w:rsidRPr="00495AE7">
        <w:rPr>
          <w:lang w:val="fr-FR"/>
        </w:rPr>
        <w:t xml:space="preserve">experts </w:t>
      </w:r>
      <w:r>
        <w:rPr>
          <w:lang w:val="fr-FR"/>
        </w:rPr>
        <w:t>a notamment pour mandat de mettre au</w:t>
      </w:r>
      <w:r w:rsidRPr="00495AE7">
        <w:rPr>
          <w:lang w:val="fr-FR"/>
        </w:rPr>
        <w:t xml:space="preserve"> point la boîte à outils, qui sera alignée sur le cadre d</w:t>
      </w:r>
      <w:r>
        <w:rPr>
          <w:lang w:val="fr-FR"/>
        </w:rPr>
        <w:t>’</w:t>
      </w:r>
      <w:r w:rsidRPr="00495AE7">
        <w:rPr>
          <w:lang w:val="fr-FR"/>
        </w:rPr>
        <w:t xml:space="preserve">action du deuxième volet prioritaire présenté dans le </w:t>
      </w:r>
      <w:r>
        <w:rPr>
          <w:lang w:val="fr-FR"/>
        </w:rPr>
        <w:t>C</w:t>
      </w:r>
      <w:r w:rsidRPr="00495AE7">
        <w:rPr>
          <w:lang w:val="fr-FR"/>
        </w:rPr>
        <w:t>adre d</w:t>
      </w:r>
      <w:r>
        <w:rPr>
          <w:lang w:val="fr-FR"/>
        </w:rPr>
        <w:t>’</w:t>
      </w:r>
      <w:r w:rsidRPr="00495AE7">
        <w:rPr>
          <w:lang w:val="fr-FR"/>
        </w:rPr>
        <w:t>application de la Stratégie de la CEE pour l</w:t>
      </w:r>
      <w:r>
        <w:rPr>
          <w:lang w:val="fr-FR"/>
        </w:rPr>
        <w:t>’</w:t>
      </w:r>
      <w:r w:rsidRPr="00495AE7">
        <w:rPr>
          <w:lang w:val="fr-FR"/>
        </w:rPr>
        <w:t xml:space="preserve">éducation en vue du développement durable de 2021 à 2030. </w:t>
      </w:r>
      <w:r>
        <w:rPr>
          <w:lang w:val="fr-FR"/>
        </w:rPr>
        <w:t>Il</w:t>
      </w:r>
      <w:r w:rsidRPr="00495AE7">
        <w:rPr>
          <w:lang w:val="fr-FR"/>
        </w:rPr>
        <w:t xml:space="preserve"> sera présidé par M.</w:t>
      </w:r>
      <w:r w:rsidR="00E7512C">
        <w:rPr>
          <w:lang w:val="fr-FR"/>
        </w:rPr>
        <w:t> </w:t>
      </w:r>
      <w:proofErr w:type="spellStart"/>
      <w:r w:rsidRPr="00495AE7">
        <w:rPr>
          <w:lang w:val="fr-FR"/>
        </w:rPr>
        <w:t>Hak</w:t>
      </w:r>
      <w:proofErr w:type="spellEnd"/>
      <w:r w:rsidRPr="00495AE7">
        <w:rPr>
          <w:lang w:val="fr-FR"/>
        </w:rPr>
        <w:t xml:space="preserve"> van </w:t>
      </w:r>
      <w:proofErr w:type="spellStart"/>
      <w:r w:rsidRPr="00495AE7">
        <w:rPr>
          <w:lang w:val="fr-FR"/>
        </w:rPr>
        <w:t>Nispen</w:t>
      </w:r>
      <w:proofErr w:type="spellEnd"/>
      <w:r w:rsidRPr="00495AE7">
        <w:rPr>
          <w:lang w:val="fr-FR"/>
        </w:rPr>
        <w:t xml:space="preserve"> </w:t>
      </w:r>
      <w:proofErr w:type="spellStart"/>
      <w:r w:rsidRPr="00495AE7">
        <w:rPr>
          <w:lang w:val="fr-FR"/>
        </w:rPr>
        <w:t>tot</w:t>
      </w:r>
      <w:proofErr w:type="spellEnd"/>
      <w:r w:rsidRPr="00495AE7">
        <w:rPr>
          <w:lang w:val="fr-FR"/>
        </w:rPr>
        <w:t xml:space="preserve"> </w:t>
      </w:r>
      <w:proofErr w:type="spellStart"/>
      <w:r w:rsidRPr="00495AE7">
        <w:rPr>
          <w:lang w:val="fr-FR"/>
        </w:rPr>
        <w:t>Pannerden</w:t>
      </w:r>
      <w:proofErr w:type="spellEnd"/>
      <w:r w:rsidRPr="00495AE7">
        <w:rPr>
          <w:lang w:val="fr-FR"/>
        </w:rPr>
        <w:t xml:space="preserve"> (Directeur général de SME, </w:t>
      </w:r>
      <w:r>
        <w:rPr>
          <w:lang w:val="fr-FR"/>
        </w:rPr>
        <w:t xml:space="preserve">Royaume des </w:t>
      </w:r>
      <w:r w:rsidRPr="00495AE7">
        <w:rPr>
          <w:lang w:val="fr-FR"/>
        </w:rPr>
        <w:t>Pays</w:t>
      </w:r>
      <w:r w:rsidR="00E7512C">
        <w:rPr>
          <w:lang w:val="fr-FR"/>
        </w:rPr>
        <w:noBreakHyphen/>
      </w:r>
      <w:r w:rsidRPr="00495AE7">
        <w:rPr>
          <w:lang w:val="fr-FR"/>
        </w:rPr>
        <w:t>Bas), qui bénéficiera de l</w:t>
      </w:r>
      <w:r>
        <w:rPr>
          <w:lang w:val="fr-FR"/>
        </w:rPr>
        <w:t>’</w:t>
      </w:r>
      <w:r w:rsidRPr="00495AE7">
        <w:rPr>
          <w:lang w:val="fr-FR"/>
        </w:rPr>
        <w:t>aide de praticiens expérimentés dans le domaine de l</w:t>
      </w:r>
      <w:r>
        <w:rPr>
          <w:lang w:val="fr-FR"/>
        </w:rPr>
        <w:t>’</w:t>
      </w:r>
      <w:r w:rsidRPr="00495AE7">
        <w:rPr>
          <w:lang w:val="fr-FR"/>
        </w:rPr>
        <w:t xml:space="preserve">éducation </w:t>
      </w:r>
      <w:r>
        <w:rPr>
          <w:lang w:val="fr-FR"/>
        </w:rPr>
        <w:t>en vue</w:t>
      </w:r>
      <w:r w:rsidRPr="00495AE7">
        <w:rPr>
          <w:lang w:val="fr-FR"/>
        </w:rPr>
        <w:t xml:space="preserve"> du développement durable issus des secteurs de l</w:t>
      </w:r>
      <w:r>
        <w:rPr>
          <w:lang w:val="fr-FR"/>
        </w:rPr>
        <w:t>’</w:t>
      </w:r>
      <w:r w:rsidRPr="00495AE7">
        <w:rPr>
          <w:lang w:val="fr-FR"/>
        </w:rPr>
        <w:t xml:space="preserve">éducation formelle et non formelle de Chypre et </w:t>
      </w:r>
      <w:r>
        <w:rPr>
          <w:lang w:val="fr-FR"/>
        </w:rPr>
        <w:t xml:space="preserve">du Royaume </w:t>
      </w:r>
      <w:r w:rsidRPr="00495AE7">
        <w:rPr>
          <w:lang w:val="fr-FR"/>
        </w:rPr>
        <w:t>des Pays</w:t>
      </w:r>
      <w:r w:rsidR="00E7512C">
        <w:rPr>
          <w:lang w:val="fr-FR"/>
        </w:rPr>
        <w:noBreakHyphen/>
      </w:r>
      <w:r w:rsidRPr="00495AE7">
        <w:rPr>
          <w:lang w:val="fr-FR"/>
        </w:rPr>
        <w:t xml:space="preserve">Bas, ainsi </w:t>
      </w:r>
      <w:r w:rsidR="00E7512C">
        <w:rPr>
          <w:lang w:val="fr-FR"/>
        </w:rPr>
        <w:t xml:space="preserve">que </w:t>
      </w:r>
      <w:r>
        <w:rPr>
          <w:lang w:val="fr-FR"/>
        </w:rPr>
        <w:t>d’</w:t>
      </w:r>
      <w:r w:rsidRPr="00495AE7">
        <w:rPr>
          <w:lang w:val="fr-FR"/>
        </w:rPr>
        <w:t>un groupe d</w:t>
      </w:r>
      <w:r>
        <w:rPr>
          <w:lang w:val="fr-FR"/>
        </w:rPr>
        <w:t>’</w:t>
      </w:r>
      <w:r w:rsidRPr="00495AE7">
        <w:rPr>
          <w:lang w:val="fr-FR"/>
        </w:rPr>
        <w:t>appui composé de professionnels des États membres de la CEE représentés au sein du Comité directeur de la CEE pour l</w:t>
      </w:r>
      <w:r>
        <w:rPr>
          <w:lang w:val="fr-FR"/>
        </w:rPr>
        <w:t>’</w:t>
      </w:r>
      <w:r w:rsidRPr="00495AE7">
        <w:rPr>
          <w:lang w:val="fr-FR"/>
        </w:rPr>
        <w:t xml:space="preserve">éducation au service du développement durable. </w:t>
      </w:r>
    </w:p>
    <w:p w14:paraId="5916B6D4" w14:textId="77777777" w:rsidR="009D7A81" w:rsidRPr="00495AE7" w:rsidRDefault="009D7A81" w:rsidP="009D7A81">
      <w:pPr>
        <w:pStyle w:val="H1G"/>
        <w:rPr>
          <w:rFonts w:eastAsia="SimSun"/>
        </w:rPr>
      </w:pPr>
      <w:r w:rsidRPr="00495AE7">
        <w:rPr>
          <w:lang w:val="fr-FR"/>
        </w:rPr>
        <w:tab/>
      </w:r>
      <w:r w:rsidRPr="00495AE7">
        <w:rPr>
          <w:lang w:val="fr-FR"/>
        </w:rPr>
        <w:tab/>
        <w:t>Groupe d</w:t>
      </w:r>
      <w:r>
        <w:rPr>
          <w:lang w:val="fr-FR"/>
        </w:rPr>
        <w:t>’</w:t>
      </w:r>
      <w:r w:rsidRPr="00495AE7">
        <w:rPr>
          <w:lang w:val="fr-FR"/>
        </w:rPr>
        <w:t>appui</w:t>
      </w:r>
    </w:p>
    <w:p w14:paraId="5770BC54" w14:textId="38DE93DE" w:rsidR="009D7A81" w:rsidRPr="00495AE7" w:rsidRDefault="009D7A81" w:rsidP="009D7A81">
      <w:pPr>
        <w:pStyle w:val="SingleTxtG"/>
        <w:rPr>
          <w:rFonts w:eastAsia="SimSun"/>
          <w:b/>
        </w:rPr>
      </w:pPr>
      <w:r w:rsidRPr="00495AE7">
        <w:rPr>
          <w:lang w:val="fr-FR"/>
        </w:rPr>
        <w:t>7.</w:t>
      </w:r>
      <w:r w:rsidRPr="00495AE7">
        <w:rPr>
          <w:lang w:val="fr-FR"/>
        </w:rPr>
        <w:tab/>
        <w:t>Le groupe d</w:t>
      </w:r>
      <w:r>
        <w:rPr>
          <w:lang w:val="fr-FR"/>
        </w:rPr>
        <w:t>’</w:t>
      </w:r>
      <w:r w:rsidRPr="00495AE7">
        <w:rPr>
          <w:lang w:val="fr-FR"/>
        </w:rPr>
        <w:t>appui fera des suggestions</w:t>
      </w:r>
      <w:r>
        <w:rPr>
          <w:lang w:val="fr-FR"/>
        </w:rPr>
        <w:t>,</w:t>
      </w:r>
      <w:r w:rsidRPr="00495AE7">
        <w:rPr>
          <w:lang w:val="fr-FR"/>
        </w:rPr>
        <w:t xml:space="preserve"> </w:t>
      </w:r>
      <w:r w:rsidR="005C46BD">
        <w:rPr>
          <w:lang w:val="fr-FR"/>
        </w:rPr>
        <w:t xml:space="preserve">des </w:t>
      </w:r>
      <w:r w:rsidRPr="00495AE7">
        <w:rPr>
          <w:lang w:val="fr-FR"/>
        </w:rPr>
        <w:t xml:space="preserve">observations </w:t>
      </w:r>
      <w:r>
        <w:rPr>
          <w:lang w:val="fr-FR"/>
        </w:rPr>
        <w:t xml:space="preserve">et des commentaires </w:t>
      </w:r>
      <w:r w:rsidRPr="00495AE7">
        <w:rPr>
          <w:lang w:val="fr-FR"/>
        </w:rPr>
        <w:t>sur les documents. Le secrétariat du Comité enverra une invitation aux États membres et aux organisations ayant le statut d</w:t>
      </w:r>
      <w:r>
        <w:rPr>
          <w:lang w:val="fr-FR"/>
        </w:rPr>
        <w:t>’</w:t>
      </w:r>
      <w:r w:rsidRPr="00495AE7">
        <w:rPr>
          <w:lang w:val="fr-FR"/>
        </w:rPr>
        <w:t>observateur pour qu</w:t>
      </w:r>
      <w:r>
        <w:rPr>
          <w:lang w:val="fr-FR"/>
        </w:rPr>
        <w:t>’</w:t>
      </w:r>
      <w:r w:rsidRPr="00495AE7">
        <w:rPr>
          <w:lang w:val="fr-FR"/>
        </w:rPr>
        <w:t>ils fassent part de leur intérêt à participer au</w:t>
      </w:r>
      <w:r>
        <w:rPr>
          <w:lang w:val="fr-FR"/>
        </w:rPr>
        <w:t>x travaux du</w:t>
      </w:r>
      <w:r w:rsidRPr="00495AE7">
        <w:rPr>
          <w:lang w:val="fr-FR"/>
        </w:rPr>
        <w:t xml:space="preserve"> </w:t>
      </w:r>
      <w:r>
        <w:rPr>
          <w:lang w:val="fr-FR"/>
        </w:rPr>
        <w:t>g</w:t>
      </w:r>
      <w:r w:rsidRPr="00495AE7">
        <w:rPr>
          <w:lang w:val="fr-FR"/>
        </w:rPr>
        <w:t>roupe. La sélection des membres du groupe d</w:t>
      </w:r>
      <w:r>
        <w:rPr>
          <w:lang w:val="fr-FR"/>
        </w:rPr>
        <w:t>’</w:t>
      </w:r>
      <w:r w:rsidRPr="00495AE7">
        <w:rPr>
          <w:lang w:val="fr-FR"/>
        </w:rPr>
        <w:t>appui se fera selon des critères précis liés à leur expérience de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de l</w:t>
      </w:r>
      <w:r>
        <w:rPr>
          <w:lang w:val="fr-FR"/>
        </w:rPr>
        <w:t>’</w:t>
      </w:r>
      <w:r w:rsidRPr="00495AE7">
        <w:rPr>
          <w:lang w:val="fr-FR"/>
        </w:rPr>
        <w:t xml:space="preserve">éducation </w:t>
      </w:r>
      <w:r>
        <w:rPr>
          <w:lang w:val="fr-FR"/>
        </w:rPr>
        <w:t>en vue</w:t>
      </w:r>
      <w:r w:rsidRPr="00495AE7">
        <w:rPr>
          <w:lang w:val="fr-FR"/>
        </w:rPr>
        <w:t xml:space="preserve"> du développement durable, ainsi que de la création d</w:t>
      </w:r>
      <w:r>
        <w:rPr>
          <w:lang w:val="fr-FR"/>
        </w:rPr>
        <w:t>’</w:t>
      </w:r>
      <w:r w:rsidRPr="00495AE7">
        <w:rPr>
          <w:lang w:val="fr-FR"/>
        </w:rPr>
        <w:t>outils dans le domaine de l</w:t>
      </w:r>
      <w:r>
        <w:rPr>
          <w:lang w:val="fr-FR"/>
        </w:rPr>
        <w:t>’</w:t>
      </w:r>
      <w:r w:rsidRPr="00495AE7">
        <w:rPr>
          <w:lang w:val="fr-FR"/>
        </w:rPr>
        <w:t xml:space="preserve">éducation </w:t>
      </w:r>
      <w:r>
        <w:rPr>
          <w:lang w:val="fr-FR"/>
        </w:rPr>
        <w:t>en vue</w:t>
      </w:r>
      <w:r w:rsidRPr="00495AE7">
        <w:rPr>
          <w:lang w:val="fr-FR"/>
        </w:rPr>
        <w:t xml:space="preserve"> du développement durable.</w:t>
      </w:r>
    </w:p>
    <w:p w14:paraId="1AF5D023" w14:textId="781F826C" w:rsidR="009D7A81" w:rsidRPr="00495AE7" w:rsidRDefault="009D7A81" w:rsidP="00E7512C">
      <w:pPr>
        <w:pStyle w:val="HChG"/>
        <w:rPr>
          <w:rFonts w:eastAsia="SimSun"/>
        </w:rPr>
      </w:pPr>
      <w:r w:rsidRPr="00495AE7">
        <w:rPr>
          <w:lang w:val="fr-FR"/>
        </w:rPr>
        <w:tab/>
      </w:r>
      <w:r w:rsidRPr="00495AE7">
        <w:rPr>
          <w:lang w:val="fr-FR"/>
        </w:rPr>
        <w:tab/>
        <w:t xml:space="preserve">But et objectifs de la boîte à outils </w:t>
      </w:r>
      <w:bookmarkStart w:id="2" w:name="_Hlk161736603"/>
    </w:p>
    <w:bookmarkEnd w:id="2"/>
    <w:p w14:paraId="633E9E96" w14:textId="77777777" w:rsidR="009D7A81" w:rsidRPr="00495AE7" w:rsidRDefault="009D7A81" w:rsidP="00E7512C">
      <w:pPr>
        <w:pStyle w:val="H1G"/>
        <w:rPr>
          <w:rFonts w:eastAsia="SimSun"/>
        </w:rPr>
      </w:pPr>
      <w:r w:rsidRPr="00495AE7">
        <w:rPr>
          <w:lang w:val="fr-FR"/>
        </w:rPr>
        <w:tab/>
      </w:r>
      <w:r w:rsidRPr="00495AE7">
        <w:rPr>
          <w:lang w:val="fr-FR"/>
        </w:rPr>
        <w:tab/>
      </w:r>
      <w:r w:rsidRPr="00495AE7">
        <w:rPr>
          <w:bCs/>
          <w:lang w:val="fr-FR"/>
        </w:rPr>
        <w:t>But</w:t>
      </w:r>
      <w:r w:rsidRPr="00495AE7">
        <w:rPr>
          <w:lang w:val="fr-FR"/>
        </w:rPr>
        <w:t xml:space="preserve"> </w:t>
      </w:r>
    </w:p>
    <w:p w14:paraId="7456D275" w14:textId="77777777" w:rsidR="009D7A81" w:rsidRPr="00495AE7" w:rsidRDefault="009D7A81" w:rsidP="009D7A81">
      <w:pPr>
        <w:pStyle w:val="SingleTxtG"/>
        <w:rPr>
          <w:rFonts w:eastAsia="SimSun"/>
        </w:rPr>
      </w:pPr>
      <w:r w:rsidRPr="00495AE7">
        <w:rPr>
          <w:lang w:val="fr-FR"/>
        </w:rPr>
        <w:t>8.</w:t>
      </w:r>
      <w:r w:rsidRPr="00495AE7">
        <w:rPr>
          <w:lang w:val="fr-FR"/>
        </w:rPr>
        <w:tab/>
        <w:t>La boîte à outils servira à proposer des idées et des activités qui aideront les États membres de la région de la CEE, ainsi que d</w:t>
      </w:r>
      <w:r>
        <w:rPr>
          <w:lang w:val="fr-FR"/>
        </w:rPr>
        <w:t>’</w:t>
      </w:r>
      <w:r w:rsidRPr="00495AE7">
        <w:rPr>
          <w:lang w:val="fr-FR"/>
        </w:rPr>
        <w:t>autres processus régionaux, parties prenantes et parties actives dans le domaine de l</w:t>
      </w:r>
      <w:r>
        <w:rPr>
          <w:lang w:val="fr-FR"/>
        </w:rPr>
        <w:t>’</w:t>
      </w:r>
      <w:r w:rsidRPr="00495AE7">
        <w:rPr>
          <w:lang w:val="fr-FR"/>
        </w:rPr>
        <w:t xml:space="preserve">éducation </w:t>
      </w:r>
      <w:r>
        <w:rPr>
          <w:lang w:val="fr-FR"/>
        </w:rPr>
        <w:t>en vue</w:t>
      </w:r>
      <w:r w:rsidRPr="00495AE7">
        <w:rPr>
          <w:lang w:val="fr-FR"/>
        </w:rPr>
        <w:t xml:space="preserve"> du développement durable dans les secteurs formel, non formel et informel, à transformer leurs institutions pour les engager sur la voie de la durabilité en se fondant sur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l</w:t>
      </w:r>
      <w:r>
        <w:rPr>
          <w:lang w:val="fr-FR"/>
        </w:rPr>
        <w:t>’</w:t>
      </w:r>
      <w:r w:rsidRPr="00495AE7">
        <w:rPr>
          <w:lang w:val="fr-FR"/>
        </w:rPr>
        <w:t xml:space="preserve">éducation </w:t>
      </w:r>
      <w:r>
        <w:rPr>
          <w:lang w:val="fr-FR"/>
        </w:rPr>
        <w:t>en vue</w:t>
      </w:r>
      <w:r w:rsidRPr="00495AE7">
        <w:rPr>
          <w:lang w:val="fr-FR"/>
        </w:rPr>
        <w:t xml:space="preserve"> du développement durable. </w:t>
      </w:r>
    </w:p>
    <w:p w14:paraId="41D4B6E8" w14:textId="77777777" w:rsidR="009D7A81" w:rsidRPr="00495AE7" w:rsidRDefault="009D7A81" w:rsidP="00E7512C">
      <w:pPr>
        <w:pStyle w:val="HChG"/>
        <w:rPr>
          <w:rFonts w:eastAsia="SimSun"/>
        </w:rPr>
      </w:pPr>
      <w:r w:rsidRPr="00495AE7">
        <w:rPr>
          <w:lang w:val="fr-FR"/>
        </w:rPr>
        <w:tab/>
      </w:r>
      <w:r w:rsidRPr="00495AE7">
        <w:rPr>
          <w:lang w:val="fr-FR"/>
        </w:rPr>
        <w:tab/>
        <w:t>Objectifs</w:t>
      </w:r>
    </w:p>
    <w:p w14:paraId="1879CB69" w14:textId="2AEBCE06" w:rsidR="009D7A81" w:rsidRPr="00495AE7" w:rsidRDefault="009D7A81" w:rsidP="00301BEC">
      <w:pPr>
        <w:pStyle w:val="SingleTxtG"/>
        <w:keepNext/>
        <w:rPr>
          <w:rFonts w:eastAsia="SimSun"/>
        </w:rPr>
      </w:pPr>
      <w:r w:rsidRPr="00495AE7">
        <w:rPr>
          <w:lang w:val="fr-FR"/>
        </w:rPr>
        <w:t>9.</w:t>
      </w:r>
      <w:r w:rsidRPr="00495AE7">
        <w:rPr>
          <w:lang w:val="fr-FR"/>
        </w:rPr>
        <w:tab/>
        <w:t>Les objectifs de la boîte à outils sont les suivants</w:t>
      </w:r>
      <w:r>
        <w:rPr>
          <w:lang w:val="fr-FR"/>
        </w:rPr>
        <w:t> :</w:t>
      </w:r>
    </w:p>
    <w:p w14:paraId="137D288E" w14:textId="782CD469" w:rsidR="009D7A81" w:rsidRPr="00495AE7" w:rsidRDefault="009D7A81" w:rsidP="009D7A81">
      <w:pPr>
        <w:pStyle w:val="Bullet1G"/>
        <w:rPr>
          <w:rFonts w:eastAsia="SimSun"/>
        </w:rPr>
      </w:pPr>
      <w:r w:rsidRPr="009D7A81">
        <w:t>Fournir</w:t>
      </w:r>
      <w:r w:rsidRPr="00495AE7">
        <w:rPr>
          <w:lang w:val="fr-FR"/>
        </w:rPr>
        <w:t xml:space="preserve"> des orientations concrètes à toutes les parties souhaitant adopter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l</w:t>
      </w:r>
      <w:r>
        <w:rPr>
          <w:lang w:val="fr-FR"/>
        </w:rPr>
        <w:t>’</w:t>
      </w:r>
      <w:r w:rsidRPr="00495AE7">
        <w:rPr>
          <w:lang w:val="fr-FR"/>
        </w:rPr>
        <w:t xml:space="preserve">éducation </w:t>
      </w:r>
      <w:r>
        <w:rPr>
          <w:lang w:val="fr-FR"/>
        </w:rPr>
        <w:t>en vue</w:t>
      </w:r>
      <w:r w:rsidRPr="00495AE7">
        <w:rPr>
          <w:lang w:val="fr-FR"/>
        </w:rPr>
        <w:t xml:space="preserve"> du développement durable afin qu</w:t>
      </w:r>
      <w:r>
        <w:rPr>
          <w:lang w:val="fr-FR"/>
        </w:rPr>
        <w:t>’</w:t>
      </w:r>
      <w:r w:rsidRPr="00495AE7">
        <w:rPr>
          <w:lang w:val="fr-FR"/>
        </w:rPr>
        <w:t xml:space="preserve">elles puissent introduire </w:t>
      </w:r>
      <w:r>
        <w:rPr>
          <w:lang w:val="fr-FR"/>
        </w:rPr>
        <w:t xml:space="preserve">cette approche </w:t>
      </w:r>
      <w:r w:rsidRPr="00495AE7">
        <w:rPr>
          <w:lang w:val="fr-FR"/>
        </w:rPr>
        <w:t xml:space="preserve">avec </w:t>
      </w:r>
      <w:r>
        <w:rPr>
          <w:lang w:val="fr-FR"/>
        </w:rPr>
        <w:t xml:space="preserve">plus de </w:t>
      </w:r>
      <w:r w:rsidRPr="00495AE7">
        <w:rPr>
          <w:lang w:val="fr-FR"/>
        </w:rPr>
        <w:t>souplesse dans leurs organisations</w:t>
      </w:r>
      <w:r w:rsidR="00E7512C">
        <w:rPr>
          <w:lang w:val="fr-FR"/>
        </w:rPr>
        <w:t> ;</w:t>
      </w:r>
    </w:p>
    <w:p w14:paraId="438985E9" w14:textId="5DC23A52" w:rsidR="009D7A81" w:rsidRPr="009D7A81" w:rsidRDefault="009D7A81" w:rsidP="009D7A81">
      <w:pPr>
        <w:pStyle w:val="Bullet1G"/>
      </w:pPr>
      <w:r w:rsidRPr="009D7A81">
        <w:lastRenderedPageBreak/>
        <w:t xml:space="preserve">Aider les parties prenantes (et les jeunes) à comprendre leur rôle dans l’approche </w:t>
      </w:r>
      <w:proofErr w:type="spellStart"/>
      <w:r w:rsidRPr="009D7A81">
        <w:t>paninstitutionnelle</w:t>
      </w:r>
      <w:proofErr w:type="spellEnd"/>
      <w:r w:rsidRPr="009D7A81">
        <w:t xml:space="preserve"> et à devenir des membres actifs au sein des institutions qui visent à accomplir une transformation durable sur la base de cette approche</w:t>
      </w:r>
      <w:r w:rsidR="00E7512C">
        <w:t> ;</w:t>
      </w:r>
      <w:r w:rsidRPr="009D7A81">
        <w:t xml:space="preserve"> </w:t>
      </w:r>
    </w:p>
    <w:p w14:paraId="0DE30993" w14:textId="2AF8B62D" w:rsidR="009D7A81" w:rsidRPr="009D7A81" w:rsidRDefault="009D7A81" w:rsidP="009D7A81">
      <w:pPr>
        <w:pStyle w:val="Bullet1G"/>
      </w:pPr>
      <w:r w:rsidRPr="00495AE7">
        <w:rPr>
          <w:lang w:val="fr-FR"/>
        </w:rPr>
        <w:t>Avancer de bonnes idées et présenter de bonnes pratiques pour chacun des aspects de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de l</w:t>
      </w:r>
      <w:r>
        <w:rPr>
          <w:lang w:val="fr-FR"/>
        </w:rPr>
        <w:t>’</w:t>
      </w:r>
      <w:r w:rsidRPr="00495AE7">
        <w:rPr>
          <w:lang w:val="fr-FR"/>
        </w:rPr>
        <w:t xml:space="preserve">éducation </w:t>
      </w:r>
      <w:r>
        <w:rPr>
          <w:lang w:val="fr-FR"/>
        </w:rPr>
        <w:t>en vue</w:t>
      </w:r>
      <w:r w:rsidRPr="00495AE7">
        <w:rPr>
          <w:lang w:val="fr-FR"/>
        </w:rPr>
        <w:t xml:space="preserve"> du </w:t>
      </w:r>
      <w:r w:rsidRPr="009D7A81">
        <w:t>développement</w:t>
      </w:r>
      <w:r w:rsidRPr="00495AE7">
        <w:rPr>
          <w:lang w:val="fr-FR"/>
        </w:rPr>
        <w:t xml:space="preserve"> </w:t>
      </w:r>
      <w:r w:rsidRPr="009D7A81">
        <w:t>durable, afin de permettre aux membres d’une institution donnée d’adapter plus facilement cette approche à leurs besoins particuliers</w:t>
      </w:r>
      <w:r w:rsidR="00BD6EEA">
        <w:t> ;</w:t>
      </w:r>
    </w:p>
    <w:p w14:paraId="59F2FC48" w14:textId="52CE1B4B" w:rsidR="009D7A81" w:rsidRPr="009D7A81" w:rsidRDefault="009D7A81" w:rsidP="009D7A81">
      <w:pPr>
        <w:pStyle w:val="Bullet1G"/>
      </w:pPr>
      <w:r w:rsidRPr="009D7A81">
        <w:t>Servir d’instrument collaboratif et de mise en réseau entre les États membres de la région de la CEE, afin qu’ils puissent tirer parti de leurs expériences respectives</w:t>
      </w:r>
      <w:r w:rsidR="00BD6EEA">
        <w:t> ;</w:t>
      </w:r>
      <w:r w:rsidRPr="009D7A81">
        <w:t xml:space="preserve"> </w:t>
      </w:r>
    </w:p>
    <w:p w14:paraId="59C5329E" w14:textId="7BFA04BE" w:rsidR="009D7A81" w:rsidRPr="009D7A81" w:rsidRDefault="009D7A81" w:rsidP="009D7A81">
      <w:pPr>
        <w:pStyle w:val="Bullet1G"/>
      </w:pPr>
      <w:r w:rsidRPr="009D7A81">
        <w:t xml:space="preserve">Aider les parties prenantes des États membres de la région de la CEE à comprendre de quelle manière l’approche </w:t>
      </w:r>
      <w:proofErr w:type="spellStart"/>
      <w:r w:rsidRPr="009D7A81">
        <w:t>paninstitutionnelle</w:t>
      </w:r>
      <w:proofErr w:type="spellEnd"/>
      <w:r w:rsidRPr="009D7A81">
        <w:t xml:space="preserve"> est appliquée dans la pratique en ce qui concerne l’éducation en vue du développement durable</w:t>
      </w:r>
      <w:r w:rsidR="00BD6EEA">
        <w:t> ;</w:t>
      </w:r>
      <w:r w:rsidRPr="009D7A81">
        <w:t xml:space="preserve"> </w:t>
      </w:r>
    </w:p>
    <w:p w14:paraId="7D33B6C7" w14:textId="7835788B" w:rsidR="009D7A81" w:rsidRPr="009D7A81" w:rsidRDefault="009D7A81" w:rsidP="009D7A81">
      <w:pPr>
        <w:pStyle w:val="Bullet1G"/>
      </w:pPr>
      <w:r w:rsidRPr="009D7A81">
        <w:t xml:space="preserve">Aider les institutions des États membres de la CEE à appliquer l’approche </w:t>
      </w:r>
      <w:proofErr w:type="spellStart"/>
      <w:r w:rsidRPr="009D7A81">
        <w:t>paninstitutionnelle</w:t>
      </w:r>
      <w:proofErr w:type="spellEnd"/>
      <w:r w:rsidRPr="009D7A81">
        <w:t xml:space="preserve"> dans sa globalité dans les politiques et dans les pratiques.</w:t>
      </w:r>
    </w:p>
    <w:p w14:paraId="43F7F943" w14:textId="5C15E7E2" w:rsidR="009D7A81" w:rsidRPr="009D7A81" w:rsidRDefault="009D7A81" w:rsidP="009D7A81">
      <w:pPr>
        <w:pStyle w:val="Bullet1G"/>
      </w:pPr>
      <w:r w:rsidRPr="009D7A81">
        <w:t xml:space="preserve">Aider les acteurs actifs dans le domaine de l’éducation et dans les domaines connexes à élaborer un « langage » commun de l’approche </w:t>
      </w:r>
      <w:proofErr w:type="spellStart"/>
      <w:r w:rsidRPr="009D7A81">
        <w:t>paninstitutionnelle</w:t>
      </w:r>
      <w:proofErr w:type="spellEnd"/>
      <w:r w:rsidRPr="009D7A81">
        <w:t xml:space="preserve"> et à expliquer à toutes les parties intéressées l’importance de l’éducation en vue du développement durable en tant qu’enseignement de qualité.</w:t>
      </w:r>
    </w:p>
    <w:p w14:paraId="1B225AAE" w14:textId="77777777" w:rsidR="009D7A81" w:rsidRPr="00495AE7" w:rsidRDefault="009D7A81" w:rsidP="009D7A81">
      <w:pPr>
        <w:pStyle w:val="HChG"/>
        <w:rPr>
          <w:rFonts w:eastAsia="SimSun"/>
        </w:rPr>
      </w:pPr>
      <w:r w:rsidRPr="00495AE7">
        <w:rPr>
          <w:lang w:val="fr-FR"/>
        </w:rPr>
        <w:tab/>
      </w:r>
      <w:r w:rsidRPr="00495AE7">
        <w:rPr>
          <w:lang w:val="fr-FR"/>
        </w:rPr>
        <w:tab/>
        <w:t xml:space="preserve">Contenu de la boîte à outils </w:t>
      </w:r>
    </w:p>
    <w:p w14:paraId="0FFD88CD" w14:textId="70BC698E" w:rsidR="009D7A81" w:rsidRPr="00495AE7" w:rsidRDefault="009D7A81" w:rsidP="00301BEC">
      <w:pPr>
        <w:pStyle w:val="SingleTxtG"/>
        <w:keepNext/>
        <w:rPr>
          <w:rFonts w:eastAsia="SimSun"/>
        </w:rPr>
      </w:pPr>
      <w:r w:rsidRPr="00495AE7">
        <w:rPr>
          <w:lang w:val="fr-FR"/>
        </w:rPr>
        <w:t>10.</w:t>
      </w:r>
      <w:r w:rsidRPr="00495AE7">
        <w:rPr>
          <w:lang w:val="fr-FR"/>
        </w:rPr>
        <w:tab/>
        <w:t xml:space="preserve">La boîte à outils, fondée sur les </w:t>
      </w:r>
      <w:r>
        <w:rPr>
          <w:lang w:val="fr-FR"/>
        </w:rPr>
        <w:t xml:space="preserve">grandes </w:t>
      </w:r>
      <w:r w:rsidRPr="00495AE7">
        <w:rPr>
          <w:lang w:val="fr-FR"/>
        </w:rPr>
        <w:t xml:space="preserve">orientations et les objectifs </w:t>
      </w:r>
      <w:r>
        <w:rPr>
          <w:lang w:val="fr-FR"/>
        </w:rPr>
        <w:t xml:space="preserve">stratégiques </w:t>
      </w:r>
      <w:r w:rsidRPr="00495AE7">
        <w:rPr>
          <w:lang w:val="fr-FR"/>
        </w:rPr>
        <w:t>de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de l</w:t>
      </w:r>
      <w:r>
        <w:rPr>
          <w:lang w:val="fr-FR"/>
        </w:rPr>
        <w:t>’</w:t>
      </w:r>
      <w:r w:rsidRPr="00495AE7">
        <w:rPr>
          <w:lang w:val="fr-FR"/>
        </w:rPr>
        <w:t xml:space="preserve">éducation </w:t>
      </w:r>
      <w:r>
        <w:rPr>
          <w:lang w:val="fr-FR"/>
        </w:rPr>
        <w:t>en vue</w:t>
      </w:r>
      <w:r w:rsidRPr="00495AE7">
        <w:rPr>
          <w:lang w:val="fr-FR"/>
        </w:rPr>
        <w:t xml:space="preserve"> du développement durable tels que décrits dans le nouveau </w:t>
      </w:r>
      <w:r>
        <w:rPr>
          <w:lang w:val="fr-FR"/>
        </w:rPr>
        <w:t>C</w:t>
      </w:r>
      <w:r w:rsidRPr="00495AE7">
        <w:rPr>
          <w:lang w:val="fr-FR"/>
        </w:rPr>
        <w:t>adre d</w:t>
      </w:r>
      <w:r>
        <w:rPr>
          <w:lang w:val="fr-FR"/>
        </w:rPr>
        <w:t>’</w:t>
      </w:r>
      <w:r w:rsidRPr="00495AE7">
        <w:rPr>
          <w:lang w:val="fr-FR"/>
        </w:rPr>
        <w:t>application de la Stratégie de la CEE pour l</w:t>
      </w:r>
      <w:r>
        <w:rPr>
          <w:lang w:val="fr-FR"/>
        </w:rPr>
        <w:t>’</w:t>
      </w:r>
      <w:r w:rsidRPr="00495AE7">
        <w:rPr>
          <w:lang w:val="fr-FR"/>
        </w:rPr>
        <w:t>éducation en vue du développement durable de 2021 à 2030</w:t>
      </w:r>
      <w:r w:rsidRPr="00415C9C">
        <w:rPr>
          <w:rStyle w:val="Appelnotedebasdep"/>
        </w:rPr>
        <w:footnoteReference w:id="5"/>
      </w:r>
      <w:r w:rsidRPr="00495AE7">
        <w:rPr>
          <w:lang w:val="fr-FR"/>
        </w:rPr>
        <w:t xml:space="preserve"> sera élaborée en tenant compte dudit cadre stratégique, qui est le premier </w:t>
      </w:r>
      <w:r>
        <w:rPr>
          <w:lang w:val="fr-FR"/>
        </w:rPr>
        <w:t>résultat</w:t>
      </w:r>
      <w:r w:rsidRPr="00495AE7">
        <w:rPr>
          <w:lang w:val="fr-FR"/>
        </w:rPr>
        <w:t xml:space="preserve"> du deuxième volet prioritaire. Elle contient</w:t>
      </w:r>
      <w:r>
        <w:rPr>
          <w:lang w:val="fr-FR"/>
        </w:rPr>
        <w:t> :</w:t>
      </w:r>
    </w:p>
    <w:p w14:paraId="0C75CDCF" w14:textId="43F907A7" w:rsidR="009D7A81" w:rsidRPr="00495AE7" w:rsidRDefault="009D7A81" w:rsidP="009D7A81">
      <w:pPr>
        <w:pStyle w:val="SingleTxtG"/>
        <w:ind w:firstLine="567"/>
        <w:rPr>
          <w:rFonts w:eastAsia="SimSun"/>
        </w:rPr>
      </w:pPr>
      <w:r w:rsidRPr="00495AE7">
        <w:rPr>
          <w:lang w:val="fr-FR"/>
        </w:rPr>
        <w:t>a)</w:t>
      </w:r>
      <w:r w:rsidRPr="00495AE7">
        <w:rPr>
          <w:lang w:val="fr-FR"/>
        </w:rPr>
        <w:tab/>
        <w:t>Une description générale de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de la perspective d</w:t>
      </w:r>
      <w:r>
        <w:rPr>
          <w:lang w:val="fr-FR"/>
        </w:rPr>
        <w:t>’</w:t>
      </w:r>
      <w:r w:rsidRPr="00495AE7">
        <w:rPr>
          <w:lang w:val="fr-FR"/>
        </w:rPr>
        <w:t>ensemble dans laquelle elle s</w:t>
      </w:r>
      <w:r>
        <w:rPr>
          <w:lang w:val="fr-FR"/>
        </w:rPr>
        <w:t>’</w:t>
      </w:r>
      <w:r w:rsidRPr="00495AE7">
        <w:rPr>
          <w:lang w:val="fr-FR"/>
        </w:rPr>
        <w:t xml:space="preserve">inscrit, qui vise à inculquer des connaissances </w:t>
      </w:r>
      <w:r>
        <w:rPr>
          <w:lang w:val="fr-FR"/>
        </w:rPr>
        <w:t xml:space="preserve">fondamentales </w:t>
      </w:r>
      <w:r w:rsidRPr="00495AE7">
        <w:rPr>
          <w:lang w:val="fr-FR"/>
        </w:rPr>
        <w:t xml:space="preserve">sur </w:t>
      </w:r>
      <w:r>
        <w:rPr>
          <w:lang w:val="fr-FR"/>
        </w:rPr>
        <w:t>la notion</w:t>
      </w:r>
      <w:r w:rsidRPr="00495AE7">
        <w:rPr>
          <w:lang w:val="fr-FR"/>
        </w:rPr>
        <w:t xml:space="preserve"> et son potentiel et à développer un certain état d</w:t>
      </w:r>
      <w:r>
        <w:rPr>
          <w:lang w:val="fr-FR"/>
        </w:rPr>
        <w:t>’</w:t>
      </w:r>
      <w:r w:rsidRPr="00495AE7">
        <w:rPr>
          <w:lang w:val="fr-FR"/>
        </w:rPr>
        <w:t>esprit.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sera présentée en tant que </w:t>
      </w:r>
      <w:r>
        <w:rPr>
          <w:lang w:val="fr-FR"/>
        </w:rPr>
        <w:t>concept</w:t>
      </w:r>
      <w:r w:rsidRPr="00495AE7">
        <w:rPr>
          <w:lang w:val="fr-FR"/>
        </w:rPr>
        <w:t xml:space="preserve"> permettant d</w:t>
      </w:r>
      <w:r>
        <w:rPr>
          <w:lang w:val="fr-FR"/>
        </w:rPr>
        <w:t>’</w:t>
      </w:r>
      <w:r w:rsidRPr="00495AE7">
        <w:rPr>
          <w:lang w:val="fr-FR"/>
        </w:rPr>
        <w:t>avoir une vue d</w:t>
      </w:r>
      <w:r>
        <w:rPr>
          <w:lang w:val="fr-FR"/>
        </w:rPr>
        <w:t>’</w:t>
      </w:r>
      <w:r w:rsidRPr="00495AE7">
        <w:rPr>
          <w:lang w:val="fr-FR"/>
        </w:rPr>
        <w:t>ensemble ou une approche globale de l</w:t>
      </w:r>
      <w:r>
        <w:rPr>
          <w:lang w:val="fr-FR"/>
        </w:rPr>
        <w:t>’</w:t>
      </w:r>
      <w:r w:rsidRPr="00495AE7">
        <w:rPr>
          <w:lang w:val="fr-FR"/>
        </w:rPr>
        <w:t>éducation de qualité (cible</w:t>
      </w:r>
      <w:r>
        <w:rPr>
          <w:lang w:val="fr-FR"/>
        </w:rPr>
        <w:t> </w:t>
      </w:r>
      <w:r w:rsidRPr="00495AE7">
        <w:rPr>
          <w:lang w:val="fr-FR"/>
        </w:rPr>
        <w:t>4.7 des objectifs de développement durable), englobant les sept composantes et interventions, telles que le changement et la participation des jeunes. La boîte à outils mettra en avant les liens entre la durabilité telle qu</w:t>
      </w:r>
      <w:r>
        <w:rPr>
          <w:lang w:val="fr-FR"/>
        </w:rPr>
        <w:t>’</w:t>
      </w:r>
      <w:r w:rsidRPr="00495AE7">
        <w:rPr>
          <w:lang w:val="fr-FR"/>
        </w:rPr>
        <w:t>elle est présentée dans les 17</w:t>
      </w:r>
      <w:r>
        <w:rPr>
          <w:lang w:val="fr-FR"/>
        </w:rPr>
        <w:t> </w:t>
      </w:r>
      <w:r w:rsidRPr="00495AE7">
        <w:rPr>
          <w:lang w:val="fr-FR"/>
        </w:rPr>
        <w:t>objectifs d</w:t>
      </w:r>
      <w:r>
        <w:rPr>
          <w:lang w:val="fr-FR"/>
        </w:rPr>
        <w:t>e</w:t>
      </w:r>
      <w:r w:rsidRPr="00495AE7">
        <w:rPr>
          <w:lang w:val="fr-FR"/>
        </w:rPr>
        <w:t xml:space="preserve"> développement durable </w:t>
      </w:r>
      <w:r>
        <w:rPr>
          <w:lang w:val="fr-FR"/>
        </w:rPr>
        <w:t>concernant</w:t>
      </w:r>
      <w:r w:rsidRPr="00495AE7">
        <w:rPr>
          <w:lang w:val="fr-FR"/>
        </w:rPr>
        <w:t xml:space="preserve"> l</w:t>
      </w:r>
      <w:r>
        <w:rPr>
          <w:lang w:val="fr-FR"/>
        </w:rPr>
        <w:t>’</w:t>
      </w:r>
      <w:r w:rsidRPr="00495AE7">
        <w:rPr>
          <w:lang w:val="fr-FR"/>
        </w:rPr>
        <w:t xml:space="preserve">éducation </w:t>
      </w:r>
      <w:r>
        <w:rPr>
          <w:lang w:val="fr-FR"/>
        </w:rPr>
        <w:t>en vue</w:t>
      </w:r>
      <w:r w:rsidRPr="00495AE7">
        <w:rPr>
          <w:lang w:val="fr-FR"/>
        </w:rPr>
        <w:t xml:space="preserve"> du développement</w:t>
      </w:r>
      <w:r>
        <w:rPr>
          <w:lang w:val="fr-FR"/>
        </w:rPr>
        <w:t>, ainsi que</w:t>
      </w:r>
      <w:r w:rsidRPr="00495AE7">
        <w:rPr>
          <w:lang w:val="fr-FR"/>
        </w:rPr>
        <w:t xml:space="preserve"> la nature systémique et interconnectée des objectifs de développement durable, dont la compréhension est une condition préalable pour toute institution engagée en faveur de la durabilité</w:t>
      </w:r>
      <w:r>
        <w:rPr>
          <w:lang w:val="fr-FR"/>
        </w:rPr>
        <w:t> ;</w:t>
      </w:r>
    </w:p>
    <w:p w14:paraId="1E652D8E" w14:textId="469A34A4" w:rsidR="009D7A81" w:rsidRPr="009D7A81" w:rsidRDefault="009D7A81" w:rsidP="009D7A81">
      <w:pPr>
        <w:pStyle w:val="SingleTxtG"/>
        <w:ind w:firstLine="567"/>
        <w:rPr>
          <w:lang w:val="fr-FR"/>
        </w:rPr>
      </w:pPr>
      <w:r w:rsidRPr="009D7A81">
        <w:rPr>
          <w:lang w:val="fr-FR"/>
        </w:rPr>
        <w:t>b)</w:t>
      </w:r>
      <w:r w:rsidRPr="009D7A81">
        <w:rPr>
          <w:lang w:val="fr-FR"/>
        </w:rPr>
        <w:tab/>
        <w:t>Les compétences en matière d’éducation en vue du développement durable, sur la base des compétences en matière d’éducation au développement durable (</w:t>
      </w:r>
      <w:proofErr w:type="spellStart"/>
      <w:r w:rsidRPr="009D7A81">
        <w:rPr>
          <w:lang w:val="fr-FR"/>
        </w:rPr>
        <w:t>competences</w:t>
      </w:r>
      <w:proofErr w:type="spellEnd"/>
      <w:r w:rsidRPr="009D7A81">
        <w:rPr>
          <w:lang w:val="fr-FR"/>
        </w:rPr>
        <w:t xml:space="preserve"> in </w:t>
      </w:r>
      <w:proofErr w:type="spellStart"/>
      <w:r w:rsidRPr="009D7A81">
        <w:rPr>
          <w:lang w:val="fr-FR"/>
        </w:rPr>
        <w:t>education</w:t>
      </w:r>
      <w:proofErr w:type="spellEnd"/>
      <w:r w:rsidRPr="009D7A81">
        <w:rPr>
          <w:lang w:val="fr-FR"/>
        </w:rPr>
        <w:t xml:space="preserve"> for </w:t>
      </w:r>
      <w:proofErr w:type="spellStart"/>
      <w:r w:rsidRPr="009D7A81">
        <w:rPr>
          <w:lang w:val="fr-FR"/>
        </w:rPr>
        <w:t>sustainable</w:t>
      </w:r>
      <w:proofErr w:type="spellEnd"/>
      <w:r w:rsidRPr="009D7A81">
        <w:rPr>
          <w:lang w:val="fr-FR"/>
        </w:rPr>
        <w:t xml:space="preserve"> </w:t>
      </w:r>
      <w:proofErr w:type="spellStart"/>
      <w:r w:rsidRPr="009D7A81">
        <w:rPr>
          <w:lang w:val="fr-FR"/>
        </w:rPr>
        <w:t>development</w:t>
      </w:r>
      <w:proofErr w:type="spellEnd"/>
      <w:r w:rsidRPr="009D7A81">
        <w:rPr>
          <w:lang w:val="fr-FR"/>
        </w:rPr>
        <w:t>)</w:t>
      </w:r>
      <w:r w:rsidRPr="00BD6EEA">
        <w:rPr>
          <w:rStyle w:val="Appelnotedebasdep"/>
          <w:lang w:val="fr-FR"/>
        </w:rPr>
        <w:footnoteReference w:id="6"/>
      </w:r>
      <w:r w:rsidRPr="009D7A81">
        <w:rPr>
          <w:lang w:val="fr-FR"/>
        </w:rPr>
        <w:t xml:space="preserve"> de la CEE, du cadre de l’Union européenne intitulé « A </w:t>
      </w:r>
      <w:proofErr w:type="spellStart"/>
      <w:r w:rsidRPr="009D7A81">
        <w:rPr>
          <w:lang w:val="fr-FR"/>
        </w:rPr>
        <w:t>Rounder</w:t>
      </w:r>
      <w:proofErr w:type="spellEnd"/>
      <w:r w:rsidRPr="009D7A81">
        <w:rPr>
          <w:lang w:val="fr-FR"/>
        </w:rPr>
        <w:t xml:space="preserve"> </w:t>
      </w:r>
      <w:proofErr w:type="spellStart"/>
      <w:r w:rsidRPr="009D7A81">
        <w:rPr>
          <w:lang w:val="fr-FR"/>
        </w:rPr>
        <w:t>Sense</w:t>
      </w:r>
      <w:proofErr w:type="spellEnd"/>
      <w:r w:rsidRPr="009D7A81">
        <w:rPr>
          <w:lang w:val="fr-FR"/>
        </w:rPr>
        <w:t xml:space="preserve"> of </w:t>
      </w:r>
      <w:proofErr w:type="spellStart"/>
      <w:r w:rsidRPr="009D7A81">
        <w:rPr>
          <w:lang w:val="fr-FR"/>
        </w:rPr>
        <w:t>Purpose</w:t>
      </w:r>
      <w:proofErr w:type="spellEnd"/>
      <w:r w:rsidRPr="009D7A81">
        <w:rPr>
          <w:lang w:val="fr-FR"/>
        </w:rPr>
        <w:t> »</w:t>
      </w:r>
      <w:r w:rsidRPr="00BD6EEA">
        <w:rPr>
          <w:rStyle w:val="Appelnotedebasdep"/>
          <w:lang w:val="fr-FR"/>
        </w:rPr>
        <w:footnoteReference w:id="7"/>
      </w:r>
      <w:r w:rsidRPr="009D7A81">
        <w:rPr>
          <w:lang w:val="fr-FR"/>
        </w:rPr>
        <w:t xml:space="preserve"> et d’autres mécanismes de l’Union européenne tels que le « </w:t>
      </w:r>
      <w:proofErr w:type="spellStart"/>
      <w:r w:rsidRPr="009D7A81">
        <w:rPr>
          <w:lang w:val="fr-FR"/>
        </w:rPr>
        <w:t>GreenComp</w:t>
      </w:r>
      <w:proofErr w:type="spellEnd"/>
      <w:r w:rsidRPr="009D7A81">
        <w:rPr>
          <w:lang w:val="fr-FR"/>
        </w:rPr>
        <w:t xml:space="preserve"> </w:t>
      </w:r>
      <w:proofErr w:type="spellStart"/>
      <w:r w:rsidRPr="009D7A81">
        <w:rPr>
          <w:lang w:val="fr-FR"/>
        </w:rPr>
        <w:t>sustainability</w:t>
      </w:r>
      <w:proofErr w:type="spellEnd"/>
      <w:r w:rsidRPr="009D7A81">
        <w:rPr>
          <w:lang w:val="fr-FR"/>
        </w:rPr>
        <w:t xml:space="preserve"> </w:t>
      </w:r>
      <w:proofErr w:type="spellStart"/>
      <w:r w:rsidRPr="009D7A81">
        <w:rPr>
          <w:lang w:val="fr-FR"/>
        </w:rPr>
        <w:t>competence</w:t>
      </w:r>
      <w:proofErr w:type="spellEnd"/>
      <w:r w:rsidRPr="009D7A81">
        <w:rPr>
          <w:lang w:val="fr-FR"/>
        </w:rPr>
        <w:t xml:space="preserve"> </w:t>
      </w:r>
      <w:proofErr w:type="spellStart"/>
      <w:r w:rsidRPr="009D7A81">
        <w:rPr>
          <w:lang w:val="fr-FR"/>
        </w:rPr>
        <w:t>framework</w:t>
      </w:r>
      <w:proofErr w:type="spellEnd"/>
      <w:r w:rsidRPr="009D7A81">
        <w:rPr>
          <w:lang w:val="fr-FR"/>
        </w:rPr>
        <w:t> » (cadre de compétences en matière de durabilité)</w:t>
      </w:r>
      <w:r w:rsidRPr="00BD6EEA">
        <w:rPr>
          <w:rStyle w:val="Appelnotedebasdep"/>
          <w:lang w:val="fr-FR"/>
        </w:rPr>
        <w:footnoteReference w:id="8"/>
      </w:r>
      <w:r>
        <w:rPr>
          <w:lang w:val="fr-FR"/>
        </w:rPr>
        <w:t> ;</w:t>
      </w:r>
    </w:p>
    <w:p w14:paraId="2A9172A2" w14:textId="42AC9AC4" w:rsidR="009D7A81" w:rsidRPr="009D7A81" w:rsidRDefault="009D7A81" w:rsidP="009D7A81">
      <w:pPr>
        <w:pStyle w:val="SingleTxtG"/>
        <w:ind w:firstLine="567"/>
        <w:rPr>
          <w:lang w:val="fr-FR"/>
        </w:rPr>
      </w:pPr>
      <w:r w:rsidRPr="009D7A81">
        <w:rPr>
          <w:lang w:val="fr-FR"/>
        </w:rPr>
        <w:lastRenderedPageBreak/>
        <w:t>c)</w:t>
      </w:r>
      <w:r w:rsidRPr="009D7A81">
        <w:rPr>
          <w:lang w:val="fr-FR"/>
        </w:rPr>
        <w:tab/>
        <w:t>Les aspects du nouveau Cadre d’application de la Stratégie</w:t>
      </w:r>
      <w:r w:rsidRPr="00BD6EEA">
        <w:rPr>
          <w:rStyle w:val="Appelnotedebasdep"/>
          <w:lang w:val="fr-FR"/>
        </w:rPr>
        <w:footnoteReference w:id="9"/>
      </w:r>
      <w:r w:rsidR="00BD6EEA">
        <w:rPr>
          <w:lang w:val="fr-FR"/>
        </w:rPr>
        <w:t xml:space="preserve"> </w:t>
      </w:r>
      <w:r w:rsidRPr="009D7A81">
        <w:rPr>
          <w:lang w:val="fr-FR"/>
        </w:rPr>
        <w:t xml:space="preserve">relatifs à l’approche </w:t>
      </w:r>
      <w:proofErr w:type="spellStart"/>
      <w:r w:rsidRPr="009D7A81">
        <w:rPr>
          <w:lang w:val="fr-FR"/>
        </w:rPr>
        <w:t>paninstitutionnelle</w:t>
      </w:r>
      <w:proofErr w:type="spellEnd"/>
      <w:r w:rsidRPr="009D7A81">
        <w:rPr>
          <w:lang w:val="fr-FR"/>
        </w:rPr>
        <w:t xml:space="preserve"> et à l’éducation en vue du développement durable sont les suivants</w:t>
      </w:r>
      <w:r>
        <w:rPr>
          <w:lang w:val="fr-FR"/>
        </w:rPr>
        <w:t> :</w:t>
      </w:r>
      <w:r w:rsidRPr="009D7A81">
        <w:rPr>
          <w:lang w:val="fr-FR"/>
        </w:rPr>
        <w:t xml:space="preserve"> </w:t>
      </w:r>
    </w:p>
    <w:p w14:paraId="28E786B9" w14:textId="4FB4A854" w:rsidR="009D7A81" w:rsidRPr="00495AE7" w:rsidRDefault="009D7A81" w:rsidP="009D7A81">
      <w:pPr>
        <w:pStyle w:val="SingleTxtG"/>
        <w:ind w:left="1701"/>
        <w:rPr>
          <w:rFonts w:eastAsia="SimSun"/>
        </w:rPr>
      </w:pPr>
      <w:r w:rsidRPr="00495AE7">
        <w:rPr>
          <w:lang w:val="fr-FR"/>
        </w:rPr>
        <w:t>i)</w:t>
      </w:r>
      <w:r w:rsidRPr="00495AE7">
        <w:rPr>
          <w:lang w:val="fr-FR"/>
        </w:rPr>
        <w:tab/>
      </w:r>
      <w:r>
        <w:rPr>
          <w:lang w:val="fr-FR"/>
        </w:rPr>
        <w:t>L</w:t>
      </w:r>
      <w:r w:rsidRPr="00495AE7">
        <w:rPr>
          <w:lang w:val="fr-FR"/>
        </w:rPr>
        <w:t>e leadership dans les lieux d</w:t>
      </w:r>
      <w:r>
        <w:rPr>
          <w:lang w:val="fr-FR"/>
        </w:rPr>
        <w:t>’</w:t>
      </w:r>
      <w:r w:rsidRPr="00495AE7">
        <w:rPr>
          <w:lang w:val="fr-FR"/>
        </w:rPr>
        <w:t>apprentissage</w:t>
      </w:r>
      <w:r>
        <w:rPr>
          <w:lang w:val="fr-FR"/>
        </w:rPr>
        <w:t> ;</w:t>
      </w:r>
      <w:r w:rsidRPr="00495AE7">
        <w:rPr>
          <w:lang w:val="fr-FR"/>
        </w:rPr>
        <w:t xml:space="preserve"> </w:t>
      </w:r>
    </w:p>
    <w:p w14:paraId="552820D3" w14:textId="06623209" w:rsidR="009D7A81" w:rsidRPr="009D7A81" w:rsidRDefault="009D7A81" w:rsidP="009D7A81">
      <w:pPr>
        <w:pStyle w:val="SingleTxtG"/>
        <w:ind w:left="1701"/>
        <w:rPr>
          <w:lang w:val="fr-FR"/>
        </w:rPr>
      </w:pPr>
      <w:r w:rsidRPr="009D7A81">
        <w:rPr>
          <w:lang w:val="fr-FR"/>
        </w:rPr>
        <w:t>ii)</w:t>
      </w:r>
      <w:r w:rsidRPr="009D7A81">
        <w:rPr>
          <w:lang w:val="fr-FR"/>
        </w:rPr>
        <w:tab/>
        <w:t>L’assurance qualité</w:t>
      </w:r>
      <w:r>
        <w:rPr>
          <w:lang w:val="fr-FR"/>
        </w:rPr>
        <w:t> :</w:t>
      </w:r>
      <w:r w:rsidRPr="009D7A81">
        <w:rPr>
          <w:lang w:val="fr-FR"/>
        </w:rPr>
        <w:t xml:space="preserve"> tous les lieux d’apprentissage doivent avoir une certaine idée de la façon d’utiliser l’éducation en vue du développement durable pour induire le changement et des types de mécanismes de suivi et d’évaluation à mettre en place</w:t>
      </w:r>
      <w:r>
        <w:rPr>
          <w:lang w:val="fr-FR"/>
        </w:rPr>
        <w:t> ;</w:t>
      </w:r>
      <w:r w:rsidRPr="009D7A81">
        <w:rPr>
          <w:lang w:val="fr-FR"/>
        </w:rPr>
        <w:t xml:space="preserve"> </w:t>
      </w:r>
    </w:p>
    <w:p w14:paraId="7F8032A3" w14:textId="5750D510" w:rsidR="009D7A81" w:rsidRPr="009D7A81" w:rsidRDefault="009D7A81" w:rsidP="009D7A81">
      <w:pPr>
        <w:pStyle w:val="SingleTxtG"/>
        <w:ind w:left="1701"/>
        <w:rPr>
          <w:lang w:val="fr-FR"/>
        </w:rPr>
      </w:pPr>
      <w:r w:rsidRPr="009D7A81">
        <w:rPr>
          <w:lang w:val="fr-FR"/>
        </w:rPr>
        <w:t>iii)</w:t>
      </w:r>
      <w:r w:rsidRPr="009D7A81">
        <w:rPr>
          <w:lang w:val="fr-FR"/>
        </w:rPr>
        <w:tab/>
        <w:t>Le fait d’associer les jeunes aux processus participatifs</w:t>
      </w:r>
      <w:r>
        <w:rPr>
          <w:lang w:val="fr-FR"/>
        </w:rPr>
        <w:t> ;</w:t>
      </w:r>
      <w:r w:rsidRPr="009D7A81">
        <w:rPr>
          <w:lang w:val="fr-FR"/>
        </w:rPr>
        <w:t xml:space="preserve"> </w:t>
      </w:r>
    </w:p>
    <w:p w14:paraId="74239E4F" w14:textId="208B53B0" w:rsidR="009D7A81" w:rsidRPr="009D7A81" w:rsidRDefault="009D7A81" w:rsidP="009D7A81">
      <w:pPr>
        <w:pStyle w:val="SingleTxtG"/>
        <w:ind w:left="1701"/>
        <w:rPr>
          <w:lang w:val="fr-FR"/>
        </w:rPr>
      </w:pPr>
      <w:r w:rsidRPr="009D7A81">
        <w:rPr>
          <w:lang w:val="fr-FR"/>
        </w:rPr>
        <w:t>iv)</w:t>
      </w:r>
      <w:r w:rsidRPr="009D7A81">
        <w:rPr>
          <w:lang w:val="fr-FR"/>
        </w:rPr>
        <w:tab/>
        <w:t>L’éducation en vue du développement durable à l’appui du perfectionnement du personnel</w:t>
      </w:r>
      <w:r>
        <w:rPr>
          <w:lang w:val="fr-FR"/>
        </w:rPr>
        <w:t> ;</w:t>
      </w:r>
      <w:r w:rsidRPr="009D7A81">
        <w:rPr>
          <w:lang w:val="fr-FR"/>
        </w:rPr>
        <w:t xml:space="preserve"> </w:t>
      </w:r>
    </w:p>
    <w:p w14:paraId="157D29B9" w14:textId="1DBA2FF0" w:rsidR="009D7A81" w:rsidRPr="009D7A81" w:rsidRDefault="009D7A81" w:rsidP="009D7A81">
      <w:pPr>
        <w:pStyle w:val="SingleTxtG"/>
        <w:ind w:left="1701"/>
        <w:rPr>
          <w:lang w:val="fr-FR"/>
        </w:rPr>
      </w:pPr>
      <w:r w:rsidRPr="009D7A81">
        <w:rPr>
          <w:lang w:val="fr-FR"/>
        </w:rPr>
        <w:t>v)</w:t>
      </w:r>
      <w:r w:rsidRPr="009D7A81">
        <w:rPr>
          <w:lang w:val="fr-FR"/>
        </w:rPr>
        <w:tab/>
        <w:t>Les possibilités de formation continue pour tous</w:t>
      </w:r>
      <w:r>
        <w:rPr>
          <w:lang w:val="fr-FR"/>
        </w:rPr>
        <w:t> ;</w:t>
      </w:r>
      <w:r w:rsidRPr="009D7A81">
        <w:rPr>
          <w:lang w:val="fr-FR"/>
        </w:rPr>
        <w:t xml:space="preserve"> </w:t>
      </w:r>
    </w:p>
    <w:p w14:paraId="7DB65CC5" w14:textId="14E3128D" w:rsidR="009D7A81" w:rsidRPr="009D7A81" w:rsidRDefault="009D7A81" w:rsidP="009D7A81">
      <w:pPr>
        <w:pStyle w:val="SingleTxtG"/>
        <w:ind w:left="1701"/>
        <w:rPr>
          <w:lang w:val="fr-FR"/>
        </w:rPr>
      </w:pPr>
      <w:r w:rsidRPr="009D7A81">
        <w:rPr>
          <w:lang w:val="fr-FR"/>
        </w:rPr>
        <w:t>vi)</w:t>
      </w:r>
      <w:r w:rsidRPr="009D7A81">
        <w:rPr>
          <w:lang w:val="fr-FR"/>
        </w:rPr>
        <w:tab/>
        <w:t>La promotion d’infrastructures durables, associées notamment à la gestion des déchets, aux économies d’énergie et aux politiques d’achat</w:t>
      </w:r>
      <w:r>
        <w:rPr>
          <w:lang w:val="fr-FR"/>
        </w:rPr>
        <w:t> ;</w:t>
      </w:r>
      <w:r w:rsidRPr="009D7A81">
        <w:rPr>
          <w:lang w:val="fr-FR"/>
        </w:rPr>
        <w:t xml:space="preserve"> </w:t>
      </w:r>
    </w:p>
    <w:p w14:paraId="5811E51B" w14:textId="7396D50B" w:rsidR="009D7A81" w:rsidRPr="009D7A81" w:rsidRDefault="009D7A81" w:rsidP="009D7A81">
      <w:pPr>
        <w:pStyle w:val="SingleTxtG"/>
        <w:ind w:left="1701"/>
        <w:rPr>
          <w:lang w:val="fr-FR"/>
        </w:rPr>
      </w:pPr>
      <w:r w:rsidRPr="009D7A81">
        <w:rPr>
          <w:lang w:val="fr-FR"/>
        </w:rPr>
        <w:t>vii)</w:t>
      </w:r>
      <w:r w:rsidRPr="009D7A81">
        <w:rPr>
          <w:lang w:val="fr-FR"/>
        </w:rPr>
        <w:tab/>
        <w:t>L’innovation, c’est-à-dire l’ouverture au changement et à la collaboration avec d’autres entités par la constitution de réseaux à tous les niveaux</w:t>
      </w:r>
      <w:r>
        <w:rPr>
          <w:lang w:val="fr-FR"/>
        </w:rPr>
        <w:t> ;</w:t>
      </w:r>
      <w:r w:rsidRPr="009D7A81">
        <w:rPr>
          <w:lang w:val="fr-FR"/>
        </w:rPr>
        <w:t xml:space="preserve"> </w:t>
      </w:r>
    </w:p>
    <w:p w14:paraId="418F1A3F" w14:textId="2151DCF4" w:rsidR="009D7A81" w:rsidRPr="009D7A81" w:rsidRDefault="009D7A81" w:rsidP="009D7A81">
      <w:pPr>
        <w:pStyle w:val="SingleTxtG"/>
        <w:ind w:left="1701"/>
        <w:rPr>
          <w:lang w:val="fr-FR"/>
        </w:rPr>
      </w:pPr>
      <w:r w:rsidRPr="009D7A81">
        <w:rPr>
          <w:lang w:val="fr-FR"/>
        </w:rPr>
        <w:t>viii)</w:t>
      </w:r>
      <w:r w:rsidRPr="009D7A81">
        <w:rPr>
          <w:lang w:val="fr-FR"/>
        </w:rPr>
        <w:tab/>
        <w:t>Les réseaux de communication au sein de l’institution et avec le monde extérieur</w:t>
      </w:r>
      <w:r>
        <w:rPr>
          <w:lang w:val="fr-FR"/>
        </w:rPr>
        <w:t> ;</w:t>
      </w:r>
      <w:r w:rsidRPr="009D7A81">
        <w:rPr>
          <w:lang w:val="fr-FR"/>
        </w:rPr>
        <w:t xml:space="preserve"> </w:t>
      </w:r>
    </w:p>
    <w:p w14:paraId="29EEA9C5" w14:textId="09AC75F8" w:rsidR="009D7A81" w:rsidRPr="009D7A81" w:rsidRDefault="009D7A81" w:rsidP="009D7A81">
      <w:pPr>
        <w:pStyle w:val="SingleTxtG"/>
        <w:ind w:firstLine="567"/>
        <w:rPr>
          <w:lang w:val="fr-FR"/>
        </w:rPr>
      </w:pPr>
      <w:r w:rsidRPr="009D7A81">
        <w:rPr>
          <w:lang w:val="fr-FR"/>
        </w:rPr>
        <w:t>d)</w:t>
      </w:r>
      <w:r w:rsidRPr="009D7A81">
        <w:rPr>
          <w:lang w:val="fr-FR"/>
        </w:rPr>
        <w:tab/>
        <w:t>Des arguments selon lesquels l’éducation, c’est-à-dire l’éducation formelle, non formelle et informelle, ainsi que d’autres formes d’enseignement, sont nécessaires à l’acquisition de compétences, à la socialisation et au développement personnel. Ils seront présentés dans le cadre de notions générales relatives à la pédagogie et à la didactique</w:t>
      </w:r>
      <w:r>
        <w:rPr>
          <w:lang w:val="fr-FR"/>
        </w:rPr>
        <w:t> ;</w:t>
      </w:r>
    </w:p>
    <w:p w14:paraId="43F3BDF6" w14:textId="2B83A3C7" w:rsidR="009D7A81" w:rsidRPr="009D7A81" w:rsidRDefault="009D7A81" w:rsidP="009D7A81">
      <w:pPr>
        <w:pStyle w:val="SingleTxtG"/>
        <w:ind w:firstLine="567"/>
        <w:rPr>
          <w:lang w:val="fr-FR"/>
        </w:rPr>
      </w:pPr>
      <w:r w:rsidRPr="009D7A81">
        <w:rPr>
          <w:lang w:val="fr-FR"/>
        </w:rPr>
        <w:t>e)</w:t>
      </w:r>
      <w:r w:rsidRPr="009D7A81">
        <w:rPr>
          <w:lang w:val="fr-FR"/>
        </w:rPr>
        <w:tab/>
        <w:t xml:space="preserve">Le processus de lancement des travaux en vue de l’adoption d’une approche </w:t>
      </w:r>
      <w:proofErr w:type="spellStart"/>
      <w:r w:rsidRPr="009D7A81">
        <w:rPr>
          <w:lang w:val="fr-FR"/>
        </w:rPr>
        <w:t>paninstitutionnelle</w:t>
      </w:r>
      <w:proofErr w:type="spellEnd"/>
      <w:r w:rsidRPr="009D7A81">
        <w:rPr>
          <w:lang w:val="fr-FR"/>
        </w:rPr>
        <w:t>. Il sera décrit de façon à permettre à un établissement donné d’entamer ce processus et d’en assurer la continuité. La description comportera une vue d’ensemble du processus pouvant être suivi, des questions à examiner, des méthodes permettant d’établir des partenariats et des conditions à respecter, ainsi que des exemples. Le processus peut comporter les étapes suivantes</w:t>
      </w:r>
      <w:r>
        <w:rPr>
          <w:lang w:val="fr-FR"/>
        </w:rPr>
        <w:t> :</w:t>
      </w:r>
      <w:r w:rsidRPr="009D7A81">
        <w:rPr>
          <w:lang w:val="fr-FR"/>
        </w:rPr>
        <w:t xml:space="preserve"> définition des ambitions</w:t>
      </w:r>
      <w:r>
        <w:rPr>
          <w:lang w:val="fr-FR"/>
        </w:rPr>
        <w:t> ;</w:t>
      </w:r>
      <w:r w:rsidRPr="009D7A81">
        <w:rPr>
          <w:lang w:val="fr-FR"/>
        </w:rPr>
        <w:t xml:space="preserve"> constitution d’un groupe de travail</w:t>
      </w:r>
      <w:r>
        <w:rPr>
          <w:lang w:val="fr-FR"/>
        </w:rPr>
        <w:t> ;</w:t>
      </w:r>
      <w:r w:rsidRPr="009D7A81">
        <w:rPr>
          <w:lang w:val="fr-FR"/>
        </w:rPr>
        <w:t xml:space="preserve"> participation de la société</w:t>
      </w:r>
      <w:r>
        <w:rPr>
          <w:lang w:val="fr-FR"/>
        </w:rPr>
        <w:t> ;</w:t>
      </w:r>
      <w:r w:rsidRPr="009D7A81">
        <w:rPr>
          <w:lang w:val="fr-FR"/>
        </w:rPr>
        <w:t xml:space="preserve"> définitions des objectifs et des critères</w:t>
      </w:r>
      <w:r>
        <w:rPr>
          <w:lang w:val="fr-FR"/>
        </w:rPr>
        <w:t> ;</w:t>
      </w:r>
      <w:r w:rsidRPr="009D7A81">
        <w:rPr>
          <w:lang w:val="fr-FR"/>
        </w:rPr>
        <w:t xml:space="preserve"> ajout d’activités au programme d’études</w:t>
      </w:r>
      <w:r>
        <w:rPr>
          <w:lang w:val="fr-FR"/>
        </w:rPr>
        <w:t> ;</w:t>
      </w:r>
      <w:r w:rsidRPr="009D7A81">
        <w:rPr>
          <w:lang w:val="fr-FR"/>
        </w:rPr>
        <w:t xml:space="preserve"> exécution et évaluation</w:t>
      </w:r>
      <w:r>
        <w:rPr>
          <w:lang w:val="fr-FR"/>
        </w:rPr>
        <w:t> ;</w:t>
      </w:r>
      <w:r w:rsidRPr="009D7A81">
        <w:rPr>
          <w:lang w:val="fr-FR"/>
        </w:rPr>
        <w:t xml:space="preserve"> et communication des résultats</w:t>
      </w:r>
      <w:r>
        <w:rPr>
          <w:lang w:val="fr-FR"/>
        </w:rPr>
        <w:t> ;</w:t>
      </w:r>
    </w:p>
    <w:p w14:paraId="78CB6692" w14:textId="69770929" w:rsidR="009D7A81" w:rsidRPr="009D7A81" w:rsidRDefault="009D7A81" w:rsidP="009D7A81">
      <w:pPr>
        <w:pStyle w:val="SingleTxtG"/>
        <w:ind w:firstLine="567"/>
        <w:rPr>
          <w:lang w:val="fr-FR"/>
        </w:rPr>
      </w:pPr>
      <w:r w:rsidRPr="009D7A81">
        <w:rPr>
          <w:lang w:val="fr-FR"/>
        </w:rPr>
        <w:t>f)</w:t>
      </w:r>
      <w:r w:rsidRPr="009D7A81">
        <w:rPr>
          <w:lang w:val="fr-FR"/>
        </w:rPr>
        <w:tab/>
        <w:t xml:space="preserve">L’élaboration de chacune des six composantes de l’approche </w:t>
      </w:r>
      <w:proofErr w:type="spellStart"/>
      <w:r w:rsidRPr="009D7A81">
        <w:rPr>
          <w:lang w:val="fr-FR"/>
        </w:rPr>
        <w:t>paninstitutionnelle</w:t>
      </w:r>
      <w:proofErr w:type="spellEnd"/>
      <w:r w:rsidRPr="009D7A81">
        <w:rPr>
          <w:lang w:val="fr-FR"/>
        </w:rPr>
        <w:t xml:space="preserve"> (philosophie, gestion des bâtiments, activités, programme d’études, pédagogie et enseignement, perfectionnement professionnel et environnement institutionnel). Une fois ces six composantes définies, les établissements seront en mesure de commencer à appliquer le </w:t>
      </w:r>
      <w:r w:rsidR="00BD6EEA">
        <w:rPr>
          <w:lang w:val="fr-FR"/>
        </w:rPr>
        <w:t>C</w:t>
      </w:r>
      <w:r w:rsidRPr="009D7A81">
        <w:rPr>
          <w:lang w:val="fr-FR"/>
        </w:rPr>
        <w:t xml:space="preserve">adre stratégique relatif à l’approche </w:t>
      </w:r>
      <w:proofErr w:type="spellStart"/>
      <w:r w:rsidRPr="009D7A81">
        <w:rPr>
          <w:lang w:val="fr-FR"/>
        </w:rPr>
        <w:t>paninstitutionnelle</w:t>
      </w:r>
      <w:proofErr w:type="spellEnd"/>
      <w:r w:rsidRPr="009D7A81">
        <w:rPr>
          <w:lang w:val="fr-FR"/>
        </w:rPr>
        <w:t xml:space="preserve"> et à l’éducation en vue du développement durable. La boîte à outils de chaque composante sera exploitée pour définir les étapes suivantes et étudier les possibilités d’intégration et de collaboration croisée</w:t>
      </w:r>
      <w:r>
        <w:rPr>
          <w:lang w:val="fr-FR"/>
        </w:rPr>
        <w:t> ;</w:t>
      </w:r>
    </w:p>
    <w:p w14:paraId="2E2AF7EF" w14:textId="2BE3BDB1" w:rsidR="009D7A81" w:rsidRPr="009D7A81" w:rsidRDefault="009D7A81" w:rsidP="009D7A81">
      <w:pPr>
        <w:pStyle w:val="SingleTxtG"/>
        <w:ind w:firstLine="567"/>
        <w:rPr>
          <w:lang w:val="fr-FR"/>
        </w:rPr>
      </w:pPr>
      <w:r w:rsidRPr="009D7A81">
        <w:rPr>
          <w:lang w:val="fr-FR"/>
        </w:rPr>
        <w:t>g)</w:t>
      </w:r>
      <w:r w:rsidRPr="009D7A81">
        <w:rPr>
          <w:lang w:val="fr-FR"/>
        </w:rPr>
        <w:tab/>
        <w:t>Des outils, des exemples et des idées à exploiter pour</w:t>
      </w:r>
      <w:r w:rsidRPr="00495AE7">
        <w:rPr>
          <w:sz w:val="24"/>
          <w:szCs w:val="24"/>
          <w:lang w:val="fr-FR"/>
        </w:rPr>
        <w:t xml:space="preserve"> </w:t>
      </w:r>
      <w:r w:rsidRPr="009D7A81">
        <w:rPr>
          <w:lang w:val="fr-FR"/>
        </w:rPr>
        <w:t xml:space="preserve">l’application de l’approche </w:t>
      </w:r>
      <w:proofErr w:type="spellStart"/>
      <w:r w:rsidRPr="009D7A81">
        <w:rPr>
          <w:lang w:val="fr-FR"/>
        </w:rPr>
        <w:t>paninstitutionnelle</w:t>
      </w:r>
      <w:proofErr w:type="spellEnd"/>
      <w:r w:rsidRPr="009D7A81">
        <w:rPr>
          <w:lang w:val="fr-FR"/>
        </w:rPr>
        <w:t xml:space="preserve"> seront fournis. Ces ressources englobent de multiples aspects de l’approche </w:t>
      </w:r>
      <w:proofErr w:type="spellStart"/>
      <w:r w:rsidRPr="009D7A81">
        <w:rPr>
          <w:lang w:val="fr-FR"/>
        </w:rPr>
        <w:t>paninstitutionnelle</w:t>
      </w:r>
      <w:proofErr w:type="spellEnd"/>
      <w:r w:rsidRPr="009D7A81">
        <w:rPr>
          <w:lang w:val="fr-FR"/>
        </w:rPr>
        <w:t xml:space="preserve">, mais il conviendra de mettre l’accent sur l’un d’entre eux, qui servira de point de départ, comme dans les exemples présentés à la Conférence internationale sur l’application de l’approche </w:t>
      </w:r>
      <w:proofErr w:type="spellStart"/>
      <w:r w:rsidRPr="009D7A81">
        <w:rPr>
          <w:lang w:val="fr-FR"/>
        </w:rPr>
        <w:t>paninstitutionnelle</w:t>
      </w:r>
      <w:proofErr w:type="spellEnd"/>
      <w:r w:rsidRPr="009D7A81">
        <w:rPr>
          <w:lang w:val="fr-FR"/>
        </w:rPr>
        <w:t xml:space="preserve"> à l’éducation en vue du développement durable (</w:t>
      </w:r>
      <w:proofErr w:type="spellStart"/>
      <w:r w:rsidRPr="009D7A81">
        <w:rPr>
          <w:lang w:val="fr-FR"/>
        </w:rPr>
        <w:t>Lunteren</w:t>
      </w:r>
      <w:proofErr w:type="spellEnd"/>
      <w:r w:rsidRPr="009D7A81">
        <w:rPr>
          <w:lang w:val="fr-FR"/>
        </w:rPr>
        <w:t>, Royaume des Pays-Bas, 28 au 30 mars 2022). Les</w:t>
      </w:r>
      <w:r w:rsidR="00BD6EEA">
        <w:rPr>
          <w:lang w:val="fr-FR"/>
        </w:rPr>
        <w:t> </w:t>
      </w:r>
      <w:r w:rsidRPr="009D7A81">
        <w:rPr>
          <w:lang w:val="fr-FR"/>
        </w:rPr>
        <w:t xml:space="preserve">ouvrages sur l’approche </w:t>
      </w:r>
      <w:proofErr w:type="spellStart"/>
      <w:r w:rsidRPr="009D7A81">
        <w:rPr>
          <w:lang w:val="fr-FR"/>
        </w:rPr>
        <w:t>paninstitutionnelle</w:t>
      </w:r>
      <w:proofErr w:type="spellEnd"/>
      <w:r w:rsidRPr="009D7A81">
        <w:rPr>
          <w:lang w:val="fr-FR"/>
        </w:rPr>
        <w:t xml:space="preserve"> et l’éducation en vue du développement durable ainsi que d’autres sources pertinentes pouvant servir de référence seront présentés succinctement</w:t>
      </w:r>
      <w:r>
        <w:rPr>
          <w:lang w:val="fr-FR"/>
        </w:rPr>
        <w:t> ;</w:t>
      </w:r>
    </w:p>
    <w:p w14:paraId="41766045" w14:textId="209BF777" w:rsidR="009D7A81" w:rsidRPr="009D7A81" w:rsidRDefault="009D7A81" w:rsidP="009D7A81">
      <w:pPr>
        <w:pStyle w:val="SingleTxtG"/>
        <w:ind w:firstLine="567"/>
        <w:rPr>
          <w:lang w:val="fr-FR"/>
        </w:rPr>
      </w:pPr>
      <w:r w:rsidRPr="009D7A81">
        <w:rPr>
          <w:lang w:val="fr-FR"/>
        </w:rPr>
        <w:t>h)</w:t>
      </w:r>
      <w:r w:rsidRPr="009D7A81">
        <w:rPr>
          <w:lang w:val="fr-FR"/>
        </w:rPr>
        <w:tab/>
        <w:t>Une formation</w:t>
      </w:r>
      <w:r>
        <w:rPr>
          <w:lang w:val="fr-FR"/>
        </w:rPr>
        <w:t> :</w:t>
      </w:r>
      <w:r w:rsidRPr="009D7A81">
        <w:rPr>
          <w:lang w:val="fr-FR"/>
        </w:rPr>
        <w:t xml:space="preserve"> élaboration d’un cours sur l’approche </w:t>
      </w:r>
      <w:proofErr w:type="spellStart"/>
      <w:r w:rsidRPr="009D7A81">
        <w:rPr>
          <w:lang w:val="fr-FR"/>
        </w:rPr>
        <w:t>paninstitutionnelle</w:t>
      </w:r>
      <w:proofErr w:type="spellEnd"/>
      <w:r w:rsidRPr="009D7A81">
        <w:rPr>
          <w:lang w:val="fr-FR"/>
        </w:rPr>
        <w:t xml:space="preserve"> et l’éducation en vue du développement durable fondé sur la boîte à outils, pouvant être utilisé par les États membres et adapté à leur contexte et à leurs particularités</w:t>
      </w:r>
      <w:r>
        <w:rPr>
          <w:lang w:val="fr-FR"/>
        </w:rPr>
        <w:t> ;</w:t>
      </w:r>
      <w:r w:rsidRPr="009D7A81">
        <w:rPr>
          <w:lang w:val="fr-FR"/>
        </w:rPr>
        <w:t xml:space="preserve"> </w:t>
      </w:r>
    </w:p>
    <w:p w14:paraId="755805BD" w14:textId="49AE233D" w:rsidR="009D7A81" w:rsidRPr="009D7A81" w:rsidRDefault="009D7A81" w:rsidP="009D7A81">
      <w:pPr>
        <w:pStyle w:val="SingleTxtG"/>
        <w:ind w:firstLine="567"/>
        <w:rPr>
          <w:lang w:val="fr-FR"/>
        </w:rPr>
      </w:pPr>
      <w:r w:rsidRPr="009D7A81">
        <w:rPr>
          <w:lang w:val="fr-FR"/>
        </w:rPr>
        <w:lastRenderedPageBreak/>
        <w:t>i)</w:t>
      </w:r>
      <w:r w:rsidRPr="009D7A81">
        <w:rPr>
          <w:lang w:val="fr-FR"/>
        </w:rPr>
        <w:tab/>
        <w:t>Des réseaux</w:t>
      </w:r>
      <w:r>
        <w:rPr>
          <w:lang w:val="fr-FR"/>
        </w:rPr>
        <w:t> :</w:t>
      </w:r>
      <w:r w:rsidRPr="009D7A81">
        <w:rPr>
          <w:lang w:val="fr-FR"/>
        </w:rPr>
        <w:t xml:space="preserve"> une liste contenant des informations sur les réseaux internationaux, régionaux et nationaux actifs dans le domaine de l’approche </w:t>
      </w:r>
      <w:proofErr w:type="spellStart"/>
      <w:r w:rsidRPr="009D7A81">
        <w:rPr>
          <w:lang w:val="fr-FR"/>
        </w:rPr>
        <w:t>paninstitutionnelle</w:t>
      </w:r>
      <w:proofErr w:type="spellEnd"/>
      <w:r w:rsidRPr="009D7A81">
        <w:rPr>
          <w:lang w:val="fr-FR"/>
        </w:rPr>
        <w:t xml:space="preserve"> et de l’éducation en vue du développement durable sera présentée ; </w:t>
      </w:r>
    </w:p>
    <w:p w14:paraId="4CE11939" w14:textId="3B76FC5F" w:rsidR="009D7A81" w:rsidRPr="009D7A81" w:rsidRDefault="009D7A81" w:rsidP="009D7A81">
      <w:pPr>
        <w:pStyle w:val="SingleTxtG"/>
        <w:ind w:firstLine="567"/>
        <w:rPr>
          <w:lang w:val="fr-FR"/>
        </w:rPr>
      </w:pPr>
      <w:r w:rsidRPr="009D7A81">
        <w:rPr>
          <w:lang w:val="fr-FR"/>
        </w:rPr>
        <w:t>j)</w:t>
      </w:r>
      <w:r w:rsidRPr="009D7A81">
        <w:rPr>
          <w:lang w:val="fr-FR"/>
        </w:rPr>
        <w:tab/>
        <w:t>Des lignes directrices et des commentaires</w:t>
      </w:r>
      <w:r>
        <w:rPr>
          <w:lang w:val="fr-FR"/>
        </w:rPr>
        <w:t> :</w:t>
      </w:r>
      <w:r w:rsidRPr="009D7A81">
        <w:rPr>
          <w:lang w:val="fr-FR"/>
        </w:rPr>
        <w:t xml:space="preserve"> des lignes directrices sur la manière d’utiliser la boîte à outils dans différents pays et de la traduire dans différentes langues seront présentées. Il sera possible de faire des commentaires.</w:t>
      </w:r>
    </w:p>
    <w:p w14:paraId="72917965" w14:textId="77777777" w:rsidR="009D7A81" w:rsidRPr="00495AE7" w:rsidRDefault="009D7A81" w:rsidP="009D7A81">
      <w:pPr>
        <w:pStyle w:val="HChG"/>
        <w:rPr>
          <w:rFonts w:eastAsia="SimSun"/>
        </w:rPr>
      </w:pPr>
      <w:r w:rsidRPr="00495AE7">
        <w:rPr>
          <w:lang w:val="fr-FR"/>
        </w:rPr>
        <w:tab/>
      </w:r>
      <w:r w:rsidRPr="00495AE7">
        <w:rPr>
          <w:lang w:val="fr-FR"/>
        </w:rPr>
        <w:tab/>
        <w:t>Proposition de supports pour l</w:t>
      </w:r>
      <w:r>
        <w:rPr>
          <w:lang w:val="fr-FR"/>
        </w:rPr>
        <w:t>’</w:t>
      </w:r>
      <w:r w:rsidRPr="00495AE7">
        <w:rPr>
          <w:lang w:val="fr-FR"/>
        </w:rPr>
        <w:t>élaboration de la boîte à outils</w:t>
      </w:r>
    </w:p>
    <w:p w14:paraId="51EB01CA" w14:textId="05EF4566" w:rsidR="009D7A81" w:rsidRPr="009D7A81" w:rsidRDefault="009D7A81" w:rsidP="00301BEC">
      <w:pPr>
        <w:pStyle w:val="SingleTxtG"/>
        <w:keepNext/>
        <w:rPr>
          <w:lang w:val="fr-FR"/>
        </w:rPr>
      </w:pPr>
      <w:r w:rsidRPr="009D7A81">
        <w:rPr>
          <w:lang w:val="fr-FR"/>
        </w:rPr>
        <w:t>11.</w:t>
      </w:r>
      <w:r w:rsidRPr="009D7A81">
        <w:rPr>
          <w:lang w:val="fr-FR"/>
        </w:rPr>
        <w:tab/>
        <w:t>La boîte à outils pourrait être mise en place sur différents supports, dont le groupe d’experts, les membres de l’équipe de projet et le groupe d’appui devront décider conjointement. Il pourrait s’agit entre autres :</w:t>
      </w:r>
    </w:p>
    <w:p w14:paraId="3FB08404" w14:textId="56A1CD0C" w:rsidR="009D7A81" w:rsidRPr="009D7A81" w:rsidRDefault="009D7A81" w:rsidP="009D7A81">
      <w:pPr>
        <w:pStyle w:val="SingleTxtG"/>
        <w:ind w:firstLine="567"/>
        <w:rPr>
          <w:lang w:val="fr-FR"/>
        </w:rPr>
      </w:pPr>
      <w:r w:rsidRPr="009D7A81">
        <w:rPr>
          <w:lang w:val="fr-FR"/>
        </w:rPr>
        <w:t>a)</w:t>
      </w:r>
      <w:r w:rsidRPr="009D7A81">
        <w:rPr>
          <w:lang w:val="fr-FR"/>
        </w:rPr>
        <w:tab/>
        <w:t xml:space="preserve">D’un site </w:t>
      </w:r>
      <w:r w:rsidR="00BD6EEA">
        <w:rPr>
          <w:lang w:val="fr-FR"/>
        </w:rPr>
        <w:t>W</w:t>
      </w:r>
      <w:r w:rsidRPr="009D7A81">
        <w:rPr>
          <w:lang w:val="fr-FR"/>
        </w:rPr>
        <w:t>eb contenant toutes les informations sur les activités et l’utilisation de la boîte à outils</w:t>
      </w:r>
      <w:r>
        <w:rPr>
          <w:lang w:val="fr-FR"/>
        </w:rPr>
        <w:t> ;</w:t>
      </w:r>
    </w:p>
    <w:p w14:paraId="71C55AED" w14:textId="37977E52" w:rsidR="009D7A81" w:rsidRPr="009D7A81" w:rsidRDefault="009D7A81" w:rsidP="009D7A81">
      <w:pPr>
        <w:pStyle w:val="SingleTxtG"/>
        <w:ind w:firstLine="567"/>
        <w:rPr>
          <w:lang w:val="fr-FR"/>
        </w:rPr>
      </w:pPr>
      <w:r w:rsidRPr="009D7A81">
        <w:rPr>
          <w:lang w:val="fr-FR"/>
        </w:rPr>
        <w:t>b)</w:t>
      </w:r>
      <w:r w:rsidRPr="009D7A81">
        <w:rPr>
          <w:lang w:val="fr-FR"/>
        </w:rPr>
        <w:tab/>
        <w:t xml:space="preserve">D’une vidéo présentant une introduction générale relative à l’approche </w:t>
      </w:r>
      <w:proofErr w:type="spellStart"/>
      <w:r w:rsidRPr="009D7A81">
        <w:rPr>
          <w:lang w:val="fr-FR"/>
        </w:rPr>
        <w:t>paninstitutionnelle</w:t>
      </w:r>
      <w:proofErr w:type="spellEnd"/>
      <w:r w:rsidRPr="009D7A81">
        <w:rPr>
          <w:lang w:val="fr-FR"/>
        </w:rPr>
        <w:t xml:space="preserve"> et à l’éducation en vue du développement durable, ainsi qu’à la boîte à outils (en anglais)</w:t>
      </w:r>
      <w:r>
        <w:rPr>
          <w:lang w:val="fr-FR"/>
        </w:rPr>
        <w:t> ;</w:t>
      </w:r>
    </w:p>
    <w:p w14:paraId="3B3E2F42" w14:textId="2E2B9A44" w:rsidR="009D7A81" w:rsidRPr="009D7A81" w:rsidRDefault="009D7A81" w:rsidP="009D7A81">
      <w:pPr>
        <w:pStyle w:val="SingleTxtG"/>
        <w:ind w:firstLine="567"/>
        <w:rPr>
          <w:lang w:val="fr-FR"/>
        </w:rPr>
      </w:pPr>
      <w:r w:rsidRPr="009D7A81">
        <w:rPr>
          <w:lang w:val="fr-FR"/>
        </w:rPr>
        <w:t>c)</w:t>
      </w:r>
      <w:r w:rsidRPr="009D7A81">
        <w:rPr>
          <w:lang w:val="fr-FR"/>
        </w:rPr>
        <w:tab/>
        <w:t>D’un classeur contenant des informations par élément/sujet</w:t>
      </w:r>
      <w:r>
        <w:rPr>
          <w:lang w:val="fr-FR"/>
        </w:rPr>
        <w:t> ;</w:t>
      </w:r>
    </w:p>
    <w:p w14:paraId="5BA7C5E0" w14:textId="07F4FEA2" w:rsidR="009D7A81" w:rsidRPr="009D7A81" w:rsidRDefault="009D7A81" w:rsidP="009D7A81">
      <w:pPr>
        <w:pStyle w:val="SingleTxtG"/>
        <w:ind w:firstLine="567"/>
        <w:rPr>
          <w:lang w:val="fr-FR"/>
        </w:rPr>
      </w:pPr>
      <w:r w:rsidRPr="009D7A81">
        <w:rPr>
          <w:lang w:val="fr-FR"/>
        </w:rPr>
        <w:t>d)</w:t>
      </w:r>
      <w:r w:rsidRPr="009D7A81">
        <w:rPr>
          <w:lang w:val="fr-FR"/>
        </w:rPr>
        <w:tab/>
        <w:t xml:space="preserve">D’un jeu de cartes de dialogue portant sur tous les aspects de l’approche </w:t>
      </w:r>
      <w:proofErr w:type="spellStart"/>
      <w:r w:rsidRPr="009D7A81">
        <w:rPr>
          <w:lang w:val="fr-FR"/>
        </w:rPr>
        <w:t>paninstitutionnelle</w:t>
      </w:r>
      <w:proofErr w:type="spellEnd"/>
      <w:r w:rsidRPr="009D7A81">
        <w:rPr>
          <w:lang w:val="fr-FR"/>
        </w:rPr>
        <w:t xml:space="preserve"> et de l’éducation en vue du développement durable, comportant des questions à débattre. Ces cartes aborderaient non seulement les différentes composantes de l’approche mais permettraient également d’établir des liens entre elles et comporteraient d’autres éléments relevant d’une vision d’ensemble de l’éducation de qualité, y</w:t>
      </w:r>
      <w:r w:rsidR="00BD6EEA">
        <w:rPr>
          <w:lang w:val="fr-FR"/>
        </w:rPr>
        <w:t> </w:t>
      </w:r>
      <w:r w:rsidRPr="009D7A81">
        <w:rPr>
          <w:lang w:val="fr-FR"/>
        </w:rPr>
        <w:t>compris la durabilité. La boîte contiendrait des cartes avec des exemples et des pratiques.</w:t>
      </w:r>
    </w:p>
    <w:p w14:paraId="4E5F067B" w14:textId="77777777" w:rsidR="009D7A81" w:rsidRPr="00495AE7" w:rsidRDefault="009D7A81" w:rsidP="009D7A81">
      <w:pPr>
        <w:pStyle w:val="HChG"/>
        <w:rPr>
          <w:rFonts w:eastAsia="SimSun"/>
        </w:rPr>
      </w:pPr>
      <w:r w:rsidRPr="00495AE7">
        <w:rPr>
          <w:lang w:val="fr-FR"/>
        </w:rPr>
        <w:tab/>
      </w:r>
      <w:r w:rsidRPr="00495AE7">
        <w:rPr>
          <w:lang w:val="fr-FR"/>
        </w:rPr>
        <w:tab/>
        <w:t>Traduction</w:t>
      </w:r>
    </w:p>
    <w:p w14:paraId="2E8869F0" w14:textId="77777777" w:rsidR="009D7A81" w:rsidRPr="009D7A81" w:rsidRDefault="009D7A81" w:rsidP="009D7A81">
      <w:pPr>
        <w:pStyle w:val="SingleTxtG"/>
        <w:rPr>
          <w:lang w:val="fr-FR"/>
        </w:rPr>
      </w:pPr>
      <w:r w:rsidRPr="009D7A81">
        <w:t>12.</w:t>
      </w:r>
      <w:r w:rsidRPr="009D7A81">
        <w:rPr>
          <w:lang w:val="fr-FR"/>
        </w:rPr>
        <w:tab/>
        <w:t>La boîte à outils sera traduite dans les trois langues officielles de la CEE (anglais, français et russe) et publiée par la CEE et chaque pays pourra la traduire dans sa ou ses langues nationales.</w:t>
      </w:r>
    </w:p>
    <w:p w14:paraId="4254DA14" w14:textId="77777777" w:rsidR="009D7A81" w:rsidRPr="00495AE7" w:rsidRDefault="009D7A81" w:rsidP="009D7A81">
      <w:pPr>
        <w:pStyle w:val="HChG"/>
        <w:rPr>
          <w:rFonts w:eastAsia="SimSun"/>
        </w:rPr>
      </w:pPr>
      <w:r w:rsidRPr="00495AE7">
        <w:rPr>
          <w:lang w:val="fr-FR"/>
        </w:rPr>
        <w:tab/>
      </w:r>
      <w:r w:rsidRPr="00495AE7">
        <w:rPr>
          <w:lang w:val="fr-FR"/>
        </w:rPr>
        <w:tab/>
        <w:t xml:space="preserve">Application </w:t>
      </w:r>
      <w:r>
        <w:rPr>
          <w:lang w:val="fr-FR"/>
        </w:rPr>
        <w:t>à titre expérimental</w:t>
      </w:r>
      <w:r w:rsidRPr="00495AE7">
        <w:rPr>
          <w:lang w:val="fr-FR"/>
        </w:rPr>
        <w:t xml:space="preserve"> de la boîte à outils</w:t>
      </w:r>
    </w:p>
    <w:p w14:paraId="4C3F0C74" w14:textId="77777777" w:rsidR="009D7A81" w:rsidRPr="00495AE7" w:rsidRDefault="009D7A81" w:rsidP="009D7A81">
      <w:pPr>
        <w:pStyle w:val="SingleTxtG"/>
        <w:rPr>
          <w:rFonts w:eastAsia="SimSun"/>
        </w:rPr>
      </w:pPr>
      <w:r w:rsidRPr="00495AE7">
        <w:rPr>
          <w:lang w:val="fr-FR"/>
        </w:rPr>
        <w:t>13.</w:t>
      </w:r>
      <w:r w:rsidRPr="00495AE7">
        <w:rPr>
          <w:lang w:val="fr-FR"/>
        </w:rPr>
        <w:tab/>
        <w:t>Les États membres de la région de la CEE seront invités à participer à une phase pilote d</w:t>
      </w:r>
      <w:r>
        <w:rPr>
          <w:lang w:val="fr-FR"/>
        </w:rPr>
        <w:t>e</w:t>
      </w:r>
      <w:r w:rsidRPr="00495AE7">
        <w:rPr>
          <w:lang w:val="fr-FR"/>
        </w:rPr>
        <w:t xml:space="preserve"> l</w:t>
      </w:r>
      <w:r>
        <w:rPr>
          <w:lang w:val="fr-FR"/>
        </w:rPr>
        <w:t>’</w:t>
      </w:r>
      <w:r w:rsidRPr="00495AE7">
        <w:rPr>
          <w:lang w:val="fr-FR"/>
        </w:rPr>
        <w:t>application de la boîte à outils</w:t>
      </w:r>
      <w:r>
        <w:rPr>
          <w:lang w:val="fr-FR"/>
        </w:rPr>
        <w:t xml:space="preserve"> dans la pratique</w:t>
      </w:r>
      <w:r w:rsidRPr="00495AE7">
        <w:rPr>
          <w:lang w:val="fr-FR"/>
        </w:rPr>
        <w:t>. Les pays souhaitant participer à la phase pilote seront invités à prendre part à un webinaire, au cours duquel les lignes directrices pour l</w:t>
      </w:r>
      <w:r>
        <w:rPr>
          <w:lang w:val="fr-FR"/>
        </w:rPr>
        <w:t>’</w:t>
      </w:r>
      <w:r w:rsidRPr="00495AE7">
        <w:rPr>
          <w:lang w:val="fr-FR"/>
        </w:rPr>
        <w:t xml:space="preserve">application </w:t>
      </w:r>
      <w:r>
        <w:rPr>
          <w:lang w:val="fr-FR"/>
        </w:rPr>
        <w:t>à titre expérimental</w:t>
      </w:r>
      <w:r w:rsidRPr="00495AE7">
        <w:rPr>
          <w:lang w:val="fr-FR"/>
        </w:rPr>
        <w:t xml:space="preserve"> de la boîte à outils seront présentées.</w:t>
      </w:r>
    </w:p>
    <w:p w14:paraId="29CD9A27" w14:textId="77777777" w:rsidR="009D7A81" w:rsidRPr="00495AE7" w:rsidRDefault="009D7A81" w:rsidP="009D7A81">
      <w:pPr>
        <w:pStyle w:val="HChG"/>
      </w:pPr>
      <w:r w:rsidRPr="00495AE7">
        <w:rPr>
          <w:lang w:val="fr-FR"/>
        </w:rPr>
        <w:tab/>
      </w:r>
      <w:r w:rsidRPr="00495AE7">
        <w:rPr>
          <w:lang w:val="fr-FR"/>
        </w:rPr>
        <w:tab/>
        <w:t>Calendrier proposé</w:t>
      </w:r>
    </w:p>
    <w:tbl>
      <w:tblPr>
        <w:tblW w:w="9637" w:type="dxa"/>
        <w:tblLayout w:type="fixed"/>
        <w:tblCellMar>
          <w:left w:w="0" w:type="dxa"/>
          <w:right w:w="0" w:type="dxa"/>
        </w:tblCellMar>
        <w:tblLook w:val="04A0" w:firstRow="1" w:lastRow="0" w:firstColumn="1" w:lastColumn="0" w:noHBand="0" w:noVBand="1"/>
      </w:tblPr>
      <w:tblGrid>
        <w:gridCol w:w="4746"/>
        <w:gridCol w:w="504"/>
        <w:gridCol w:w="503"/>
        <w:gridCol w:w="551"/>
        <w:gridCol w:w="569"/>
        <w:gridCol w:w="504"/>
        <w:gridCol w:w="533"/>
        <w:gridCol w:w="616"/>
        <w:gridCol w:w="573"/>
        <w:gridCol w:w="538"/>
      </w:tblGrid>
      <w:tr w:rsidR="00900E2B" w:rsidRPr="00900E2B" w14:paraId="477D90AA" w14:textId="77777777" w:rsidTr="00900E2B">
        <w:trPr>
          <w:tblHeader/>
        </w:trPr>
        <w:tc>
          <w:tcPr>
            <w:tcW w:w="4746" w:type="dxa"/>
            <w:tcBorders>
              <w:top w:val="single" w:sz="4" w:space="0" w:color="auto"/>
              <w:bottom w:val="single" w:sz="12" w:space="0" w:color="auto"/>
            </w:tcBorders>
            <w:shd w:val="clear" w:color="auto" w:fill="auto"/>
            <w:vAlign w:val="bottom"/>
          </w:tcPr>
          <w:p w14:paraId="4F9FA61B" w14:textId="77777777" w:rsidR="009D7A81" w:rsidRPr="00900E2B" w:rsidRDefault="009D7A81" w:rsidP="00900E2B">
            <w:pPr>
              <w:spacing w:before="80" w:after="80" w:line="200" w:lineRule="exact"/>
              <w:ind w:right="113"/>
              <w:rPr>
                <w:i/>
                <w:sz w:val="16"/>
              </w:rPr>
            </w:pPr>
          </w:p>
        </w:tc>
        <w:tc>
          <w:tcPr>
            <w:tcW w:w="2127" w:type="dxa"/>
            <w:gridSpan w:val="4"/>
            <w:tcBorders>
              <w:top w:val="single" w:sz="4" w:space="0" w:color="auto"/>
              <w:bottom w:val="single" w:sz="12" w:space="0" w:color="auto"/>
            </w:tcBorders>
            <w:shd w:val="clear" w:color="auto" w:fill="auto"/>
            <w:vAlign w:val="bottom"/>
          </w:tcPr>
          <w:p w14:paraId="3AB42EC7" w14:textId="77777777" w:rsidR="009D7A81" w:rsidRPr="00900E2B" w:rsidRDefault="009D7A81" w:rsidP="00900E2B">
            <w:pPr>
              <w:spacing w:before="80" w:after="80" w:line="200" w:lineRule="exact"/>
              <w:ind w:right="113"/>
              <w:rPr>
                <w:i/>
                <w:sz w:val="16"/>
              </w:rPr>
            </w:pPr>
            <w:r w:rsidRPr="00900E2B">
              <w:rPr>
                <w:i/>
                <w:iCs/>
                <w:sz w:val="16"/>
                <w:lang w:val="fr-FR"/>
              </w:rPr>
              <w:t>2024</w:t>
            </w:r>
          </w:p>
        </w:tc>
        <w:tc>
          <w:tcPr>
            <w:tcW w:w="2226" w:type="dxa"/>
            <w:gridSpan w:val="4"/>
            <w:tcBorders>
              <w:top w:val="single" w:sz="4" w:space="0" w:color="auto"/>
              <w:bottom w:val="single" w:sz="12" w:space="0" w:color="auto"/>
            </w:tcBorders>
            <w:shd w:val="clear" w:color="auto" w:fill="auto"/>
            <w:vAlign w:val="bottom"/>
          </w:tcPr>
          <w:p w14:paraId="2D736162" w14:textId="77777777" w:rsidR="009D7A81" w:rsidRPr="00900E2B" w:rsidRDefault="009D7A81" w:rsidP="00900E2B">
            <w:pPr>
              <w:spacing w:before="80" w:after="80" w:line="200" w:lineRule="exact"/>
              <w:ind w:right="113"/>
              <w:rPr>
                <w:i/>
                <w:sz w:val="16"/>
              </w:rPr>
            </w:pPr>
            <w:r w:rsidRPr="00900E2B">
              <w:rPr>
                <w:i/>
                <w:iCs/>
                <w:sz w:val="16"/>
                <w:lang w:val="fr-FR"/>
              </w:rPr>
              <w:t>2025</w:t>
            </w:r>
          </w:p>
        </w:tc>
        <w:tc>
          <w:tcPr>
            <w:tcW w:w="538" w:type="dxa"/>
            <w:tcBorders>
              <w:top w:val="single" w:sz="4" w:space="0" w:color="auto"/>
              <w:bottom w:val="single" w:sz="12" w:space="0" w:color="auto"/>
            </w:tcBorders>
            <w:shd w:val="clear" w:color="auto" w:fill="auto"/>
            <w:vAlign w:val="bottom"/>
          </w:tcPr>
          <w:p w14:paraId="3E6BC551" w14:textId="77777777" w:rsidR="009D7A81" w:rsidRPr="00900E2B" w:rsidRDefault="009D7A81" w:rsidP="00900E2B">
            <w:pPr>
              <w:spacing w:before="80" w:after="80" w:line="200" w:lineRule="exact"/>
              <w:ind w:right="113"/>
              <w:rPr>
                <w:i/>
                <w:sz w:val="16"/>
              </w:rPr>
            </w:pPr>
            <w:r w:rsidRPr="00900E2B">
              <w:rPr>
                <w:i/>
                <w:iCs/>
                <w:sz w:val="16"/>
                <w:lang w:val="fr-FR"/>
              </w:rPr>
              <w:t>2026</w:t>
            </w:r>
          </w:p>
        </w:tc>
      </w:tr>
      <w:tr w:rsidR="00900E2B" w:rsidRPr="00900E2B" w14:paraId="68C74570" w14:textId="77777777" w:rsidTr="00900E2B">
        <w:trPr>
          <w:trHeight w:hRule="exact" w:val="113"/>
          <w:tblHeader/>
        </w:trPr>
        <w:tc>
          <w:tcPr>
            <w:tcW w:w="4746" w:type="dxa"/>
            <w:tcBorders>
              <w:top w:val="single" w:sz="12" w:space="0" w:color="auto"/>
            </w:tcBorders>
            <w:shd w:val="clear" w:color="auto" w:fill="auto"/>
          </w:tcPr>
          <w:p w14:paraId="5F64A4A9" w14:textId="77777777" w:rsidR="00900E2B" w:rsidRPr="00900E2B" w:rsidRDefault="00900E2B" w:rsidP="00900E2B">
            <w:pPr>
              <w:spacing w:before="40" w:after="120"/>
              <w:ind w:right="113"/>
            </w:pPr>
          </w:p>
        </w:tc>
        <w:tc>
          <w:tcPr>
            <w:tcW w:w="2127" w:type="dxa"/>
            <w:gridSpan w:val="4"/>
            <w:tcBorders>
              <w:top w:val="single" w:sz="12" w:space="0" w:color="auto"/>
            </w:tcBorders>
            <w:shd w:val="clear" w:color="auto" w:fill="auto"/>
          </w:tcPr>
          <w:p w14:paraId="330DC881" w14:textId="77777777" w:rsidR="00900E2B" w:rsidRPr="00900E2B" w:rsidRDefault="00900E2B" w:rsidP="00900E2B">
            <w:pPr>
              <w:spacing w:before="40" w:after="120"/>
              <w:ind w:right="113"/>
              <w:rPr>
                <w:iCs/>
                <w:lang w:val="fr-FR"/>
              </w:rPr>
            </w:pPr>
          </w:p>
        </w:tc>
        <w:tc>
          <w:tcPr>
            <w:tcW w:w="2226" w:type="dxa"/>
            <w:gridSpan w:val="4"/>
            <w:tcBorders>
              <w:top w:val="single" w:sz="12" w:space="0" w:color="auto"/>
            </w:tcBorders>
            <w:shd w:val="clear" w:color="auto" w:fill="auto"/>
          </w:tcPr>
          <w:p w14:paraId="32D1BFED" w14:textId="77777777" w:rsidR="00900E2B" w:rsidRPr="00900E2B" w:rsidRDefault="00900E2B" w:rsidP="00900E2B">
            <w:pPr>
              <w:spacing w:before="40" w:after="120"/>
              <w:ind w:right="113"/>
              <w:rPr>
                <w:iCs/>
                <w:lang w:val="fr-FR"/>
              </w:rPr>
            </w:pPr>
          </w:p>
        </w:tc>
        <w:tc>
          <w:tcPr>
            <w:tcW w:w="538" w:type="dxa"/>
            <w:tcBorders>
              <w:top w:val="single" w:sz="12" w:space="0" w:color="auto"/>
            </w:tcBorders>
            <w:shd w:val="clear" w:color="auto" w:fill="auto"/>
          </w:tcPr>
          <w:p w14:paraId="33BCB061" w14:textId="77777777" w:rsidR="00900E2B" w:rsidRPr="00900E2B" w:rsidRDefault="00900E2B" w:rsidP="00900E2B">
            <w:pPr>
              <w:spacing w:before="40" w:after="120"/>
              <w:ind w:right="113"/>
              <w:rPr>
                <w:iCs/>
                <w:lang w:val="fr-FR"/>
              </w:rPr>
            </w:pPr>
          </w:p>
        </w:tc>
      </w:tr>
      <w:tr w:rsidR="00900E2B" w:rsidRPr="00900E2B" w14:paraId="7CF16D1F" w14:textId="77777777" w:rsidTr="00900E2B">
        <w:tc>
          <w:tcPr>
            <w:tcW w:w="4746" w:type="dxa"/>
            <w:shd w:val="clear" w:color="auto" w:fill="auto"/>
          </w:tcPr>
          <w:p w14:paraId="269931D5" w14:textId="77777777" w:rsidR="009D7A81" w:rsidRPr="00900E2B" w:rsidRDefault="009D7A81" w:rsidP="00900E2B">
            <w:pPr>
              <w:spacing w:before="40" w:after="120"/>
              <w:ind w:right="113"/>
            </w:pPr>
            <w:bookmarkStart w:id="3" w:name="_Hlk163117684"/>
          </w:p>
        </w:tc>
        <w:tc>
          <w:tcPr>
            <w:tcW w:w="504" w:type="dxa"/>
            <w:shd w:val="clear" w:color="auto" w:fill="auto"/>
          </w:tcPr>
          <w:p w14:paraId="5E197286" w14:textId="77777777" w:rsidR="009D7A81" w:rsidRPr="00900E2B" w:rsidRDefault="009D7A81" w:rsidP="00900E2B">
            <w:pPr>
              <w:spacing w:before="40" w:after="120"/>
              <w:ind w:right="113"/>
            </w:pPr>
            <w:r w:rsidRPr="00900E2B">
              <w:rPr>
                <w:lang w:val="fr-FR"/>
              </w:rPr>
              <w:t>1</w:t>
            </w:r>
            <w:r w:rsidRPr="00900E2B">
              <w:rPr>
                <w:vertAlign w:val="superscript"/>
                <w:lang w:val="fr-FR"/>
              </w:rPr>
              <w:t>er</w:t>
            </w:r>
            <w:r w:rsidRPr="00900E2B">
              <w:rPr>
                <w:lang w:val="fr-FR"/>
              </w:rPr>
              <w:t xml:space="preserve"> trim.</w:t>
            </w:r>
          </w:p>
        </w:tc>
        <w:tc>
          <w:tcPr>
            <w:tcW w:w="503" w:type="dxa"/>
            <w:shd w:val="clear" w:color="auto" w:fill="auto"/>
          </w:tcPr>
          <w:p w14:paraId="114B56B9" w14:textId="77777777" w:rsidR="009D7A81" w:rsidRPr="00900E2B" w:rsidRDefault="009D7A81" w:rsidP="00900E2B">
            <w:pPr>
              <w:spacing w:before="40" w:after="120"/>
              <w:ind w:right="113"/>
            </w:pPr>
            <w:r w:rsidRPr="00900E2B">
              <w:t>2</w:t>
            </w:r>
            <w:r w:rsidRPr="00900E2B">
              <w:rPr>
                <w:vertAlign w:val="superscript"/>
              </w:rPr>
              <w:t>e</w:t>
            </w:r>
            <w:r w:rsidRPr="00900E2B">
              <w:t xml:space="preserve"> trim.</w:t>
            </w:r>
          </w:p>
        </w:tc>
        <w:tc>
          <w:tcPr>
            <w:tcW w:w="551" w:type="dxa"/>
            <w:shd w:val="clear" w:color="auto" w:fill="auto"/>
          </w:tcPr>
          <w:p w14:paraId="124ABB18" w14:textId="77777777" w:rsidR="009D7A81" w:rsidRPr="00900E2B" w:rsidRDefault="009D7A81" w:rsidP="00900E2B">
            <w:pPr>
              <w:spacing w:before="40" w:after="120"/>
              <w:ind w:right="113"/>
            </w:pPr>
            <w:r w:rsidRPr="00900E2B">
              <w:t>3</w:t>
            </w:r>
            <w:r w:rsidRPr="00900E2B">
              <w:rPr>
                <w:vertAlign w:val="superscript"/>
              </w:rPr>
              <w:t>e</w:t>
            </w:r>
            <w:r w:rsidRPr="00900E2B">
              <w:t xml:space="preserve"> trim.</w:t>
            </w:r>
          </w:p>
        </w:tc>
        <w:tc>
          <w:tcPr>
            <w:tcW w:w="569" w:type="dxa"/>
            <w:shd w:val="clear" w:color="auto" w:fill="auto"/>
          </w:tcPr>
          <w:p w14:paraId="57F850EC" w14:textId="77777777" w:rsidR="009D7A81" w:rsidRPr="00900E2B" w:rsidRDefault="009D7A81" w:rsidP="00900E2B">
            <w:pPr>
              <w:spacing w:before="40" w:after="120"/>
              <w:ind w:right="113"/>
            </w:pPr>
            <w:r w:rsidRPr="00900E2B">
              <w:t>4</w:t>
            </w:r>
            <w:r w:rsidRPr="00900E2B">
              <w:rPr>
                <w:vertAlign w:val="superscript"/>
              </w:rPr>
              <w:t>e</w:t>
            </w:r>
            <w:r w:rsidRPr="00900E2B">
              <w:t xml:space="preserve"> trim.</w:t>
            </w:r>
          </w:p>
        </w:tc>
        <w:tc>
          <w:tcPr>
            <w:tcW w:w="504" w:type="dxa"/>
            <w:shd w:val="clear" w:color="auto" w:fill="auto"/>
          </w:tcPr>
          <w:p w14:paraId="6C455954" w14:textId="4936E564" w:rsidR="009D7A81" w:rsidRPr="00900E2B" w:rsidRDefault="009D7A81" w:rsidP="00900E2B">
            <w:pPr>
              <w:spacing w:before="40" w:after="120"/>
              <w:ind w:right="113"/>
            </w:pPr>
            <w:r w:rsidRPr="00900E2B">
              <w:t>1</w:t>
            </w:r>
            <w:r w:rsidRPr="00900E2B">
              <w:rPr>
                <w:vertAlign w:val="superscript"/>
              </w:rPr>
              <w:t xml:space="preserve">er </w:t>
            </w:r>
            <w:r w:rsidRPr="00900E2B">
              <w:t>trim.</w:t>
            </w:r>
          </w:p>
        </w:tc>
        <w:tc>
          <w:tcPr>
            <w:tcW w:w="533" w:type="dxa"/>
            <w:shd w:val="clear" w:color="auto" w:fill="auto"/>
          </w:tcPr>
          <w:p w14:paraId="3B80E56D" w14:textId="77777777" w:rsidR="009D7A81" w:rsidRPr="00900E2B" w:rsidRDefault="009D7A81" w:rsidP="00900E2B">
            <w:pPr>
              <w:spacing w:before="40" w:after="120"/>
              <w:ind w:right="113"/>
            </w:pPr>
            <w:r w:rsidRPr="00900E2B">
              <w:t>2</w:t>
            </w:r>
            <w:r w:rsidRPr="00900E2B">
              <w:rPr>
                <w:vertAlign w:val="superscript"/>
              </w:rPr>
              <w:t>e</w:t>
            </w:r>
            <w:r w:rsidRPr="00900E2B">
              <w:t xml:space="preserve"> trim.</w:t>
            </w:r>
          </w:p>
        </w:tc>
        <w:tc>
          <w:tcPr>
            <w:tcW w:w="616" w:type="dxa"/>
            <w:shd w:val="clear" w:color="auto" w:fill="auto"/>
          </w:tcPr>
          <w:p w14:paraId="5AEE4E74" w14:textId="77777777" w:rsidR="009D7A81" w:rsidRPr="00900E2B" w:rsidRDefault="009D7A81" w:rsidP="00900E2B">
            <w:pPr>
              <w:spacing w:before="40" w:after="120"/>
              <w:ind w:right="113"/>
            </w:pPr>
            <w:r w:rsidRPr="00900E2B">
              <w:t>3</w:t>
            </w:r>
            <w:r w:rsidRPr="00900E2B">
              <w:rPr>
                <w:vertAlign w:val="superscript"/>
              </w:rPr>
              <w:t>e</w:t>
            </w:r>
            <w:r w:rsidRPr="00900E2B">
              <w:t xml:space="preserve"> trim.</w:t>
            </w:r>
          </w:p>
        </w:tc>
        <w:tc>
          <w:tcPr>
            <w:tcW w:w="573" w:type="dxa"/>
            <w:shd w:val="clear" w:color="auto" w:fill="auto"/>
          </w:tcPr>
          <w:p w14:paraId="03449967" w14:textId="77777777" w:rsidR="009D7A81" w:rsidRPr="00900E2B" w:rsidRDefault="009D7A81" w:rsidP="00900E2B">
            <w:pPr>
              <w:spacing w:before="40" w:after="120"/>
              <w:ind w:right="113"/>
            </w:pPr>
            <w:r w:rsidRPr="00900E2B">
              <w:t>4</w:t>
            </w:r>
            <w:r w:rsidRPr="00900E2B">
              <w:rPr>
                <w:vertAlign w:val="superscript"/>
              </w:rPr>
              <w:t>e</w:t>
            </w:r>
            <w:r w:rsidRPr="00900E2B">
              <w:t xml:space="preserve"> trim.</w:t>
            </w:r>
          </w:p>
        </w:tc>
        <w:tc>
          <w:tcPr>
            <w:tcW w:w="538" w:type="dxa"/>
            <w:shd w:val="clear" w:color="auto" w:fill="auto"/>
          </w:tcPr>
          <w:p w14:paraId="79BDAF0D" w14:textId="77777777" w:rsidR="009D7A81" w:rsidRPr="00900E2B" w:rsidRDefault="009D7A81" w:rsidP="00900E2B">
            <w:pPr>
              <w:spacing w:before="40" w:after="120"/>
              <w:ind w:right="113"/>
            </w:pPr>
            <w:r w:rsidRPr="00900E2B">
              <w:t>1</w:t>
            </w:r>
            <w:r w:rsidRPr="00900E2B">
              <w:rPr>
                <w:vertAlign w:val="superscript"/>
              </w:rPr>
              <w:t>er</w:t>
            </w:r>
            <w:r w:rsidRPr="00900E2B">
              <w:t xml:space="preserve"> trim.</w:t>
            </w:r>
          </w:p>
        </w:tc>
      </w:tr>
      <w:bookmarkEnd w:id="3"/>
      <w:tr w:rsidR="00900E2B" w:rsidRPr="00900E2B" w14:paraId="3187CB53" w14:textId="77777777" w:rsidTr="00900E2B">
        <w:tc>
          <w:tcPr>
            <w:tcW w:w="4746" w:type="dxa"/>
            <w:shd w:val="clear" w:color="auto" w:fill="auto"/>
          </w:tcPr>
          <w:p w14:paraId="54F448A7" w14:textId="77777777" w:rsidR="009D7A81" w:rsidRPr="00900E2B" w:rsidRDefault="009D7A81" w:rsidP="00900E2B">
            <w:pPr>
              <w:spacing w:before="40" w:after="120"/>
              <w:ind w:right="113"/>
            </w:pPr>
            <w:r w:rsidRPr="00900E2B">
              <w:rPr>
                <w:lang w:val="fr-FR"/>
              </w:rPr>
              <w:t xml:space="preserve">Lancement des travaux du groupe d’experts, de l’équipe de projet et du groupe d’appui </w:t>
            </w:r>
          </w:p>
        </w:tc>
        <w:tc>
          <w:tcPr>
            <w:tcW w:w="504" w:type="dxa"/>
            <w:shd w:val="clear" w:color="auto" w:fill="auto"/>
          </w:tcPr>
          <w:p w14:paraId="3A941B64" w14:textId="77777777" w:rsidR="009D7A81" w:rsidRPr="00900E2B" w:rsidRDefault="009D7A81" w:rsidP="00900E2B">
            <w:pPr>
              <w:spacing w:before="40" w:after="120"/>
              <w:ind w:right="113"/>
            </w:pPr>
          </w:p>
        </w:tc>
        <w:tc>
          <w:tcPr>
            <w:tcW w:w="503" w:type="dxa"/>
            <w:shd w:val="clear" w:color="auto" w:fill="auto"/>
          </w:tcPr>
          <w:p w14:paraId="5EEB944F" w14:textId="77777777" w:rsidR="009D7A81" w:rsidRPr="00900E2B" w:rsidRDefault="009D7A81" w:rsidP="00900E2B">
            <w:pPr>
              <w:spacing w:before="40" w:after="120"/>
              <w:ind w:right="113"/>
            </w:pPr>
            <w:r w:rsidRPr="00900E2B">
              <w:rPr>
                <w:lang w:val="fr-FR"/>
              </w:rPr>
              <w:t>X</w:t>
            </w:r>
          </w:p>
        </w:tc>
        <w:tc>
          <w:tcPr>
            <w:tcW w:w="551" w:type="dxa"/>
            <w:shd w:val="clear" w:color="auto" w:fill="auto"/>
          </w:tcPr>
          <w:p w14:paraId="0EA57165" w14:textId="77777777" w:rsidR="009D7A81" w:rsidRPr="00900E2B" w:rsidRDefault="009D7A81" w:rsidP="00900E2B">
            <w:pPr>
              <w:spacing w:before="40" w:after="120"/>
              <w:ind w:right="113"/>
            </w:pPr>
          </w:p>
        </w:tc>
        <w:tc>
          <w:tcPr>
            <w:tcW w:w="569" w:type="dxa"/>
            <w:shd w:val="clear" w:color="auto" w:fill="auto"/>
          </w:tcPr>
          <w:p w14:paraId="7BFBE93C" w14:textId="77777777" w:rsidR="009D7A81" w:rsidRPr="00900E2B" w:rsidRDefault="009D7A81" w:rsidP="00900E2B">
            <w:pPr>
              <w:spacing w:before="40" w:after="120"/>
              <w:ind w:right="113"/>
            </w:pPr>
          </w:p>
        </w:tc>
        <w:tc>
          <w:tcPr>
            <w:tcW w:w="504" w:type="dxa"/>
            <w:shd w:val="clear" w:color="auto" w:fill="auto"/>
          </w:tcPr>
          <w:p w14:paraId="0A2F8FD2" w14:textId="77777777" w:rsidR="009D7A81" w:rsidRPr="00900E2B" w:rsidRDefault="009D7A81" w:rsidP="00900E2B">
            <w:pPr>
              <w:spacing w:before="40" w:after="120"/>
              <w:ind w:right="113"/>
            </w:pPr>
          </w:p>
        </w:tc>
        <w:tc>
          <w:tcPr>
            <w:tcW w:w="533" w:type="dxa"/>
            <w:shd w:val="clear" w:color="auto" w:fill="auto"/>
          </w:tcPr>
          <w:p w14:paraId="5DAD29DA" w14:textId="77777777" w:rsidR="009D7A81" w:rsidRPr="00900E2B" w:rsidRDefault="009D7A81" w:rsidP="00900E2B">
            <w:pPr>
              <w:spacing w:before="40" w:after="120"/>
              <w:ind w:right="113"/>
            </w:pPr>
          </w:p>
        </w:tc>
        <w:tc>
          <w:tcPr>
            <w:tcW w:w="616" w:type="dxa"/>
            <w:shd w:val="clear" w:color="auto" w:fill="auto"/>
          </w:tcPr>
          <w:p w14:paraId="572B83BC" w14:textId="77777777" w:rsidR="009D7A81" w:rsidRPr="00900E2B" w:rsidRDefault="009D7A81" w:rsidP="00900E2B">
            <w:pPr>
              <w:spacing w:before="40" w:after="120"/>
              <w:ind w:right="113"/>
            </w:pPr>
          </w:p>
        </w:tc>
        <w:tc>
          <w:tcPr>
            <w:tcW w:w="573" w:type="dxa"/>
            <w:shd w:val="clear" w:color="auto" w:fill="auto"/>
          </w:tcPr>
          <w:p w14:paraId="3B69A095" w14:textId="77777777" w:rsidR="009D7A81" w:rsidRPr="00900E2B" w:rsidRDefault="009D7A81" w:rsidP="00900E2B">
            <w:pPr>
              <w:spacing w:before="40" w:after="120"/>
              <w:ind w:right="113"/>
            </w:pPr>
          </w:p>
        </w:tc>
        <w:tc>
          <w:tcPr>
            <w:tcW w:w="538" w:type="dxa"/>
            <w:shd w:val="clear" w:color="auto" w:fill="auto"/>
          </w:tcPr>
          <w:p w14:paraId="5E425370" w14:textId="77777777" w:rsidR="009D7A81" w:rsidRPr="00900E2B" w:rsidRDefault="009D7A81" w:rsidP="00900E2B">
            <w:pPr>
              <w:spacing w:before="40" w:after="120"/>
              <w:ind w:right="113"/>
            </w:pPr>
          </w:p>
        </w:tc>
      </w:tr>
      <w:tr w:rsidR="00900E2B" w:rsidRPr="00900E2B" w14:paraId="758885A8" w14:textId="77777777" w:rsidTr="00900E2B">
        <w:tc>
          <w:tcPr>
            <w:tcW w:w="4746" w:type="dxa"/>
            <w:shd w:val="clear" w:color="auto" w:fill="auto"/>
          </w:tcPr>
          <w:p w14:paraId="41900E9C" w14:textId="77777777" w:rsidR="009D7A81" w:rsidRPr="00900E2B" w:rsidRDefault="009D7A81" w:rsidP="00900E2B">
            <w:pPr>
              <w:spacing w:before="40" w:after="120"/>
              <w:ind w:right="113"/>
            </w:pPr>
            <w:r w:rsidRPr="00900E2B">
              <w:rPr>
                <w:lang w:val="fr-FR"/>
              </w:rPr>
              <w:t>Réunions en ligne et en personne avec le groupe d’experts et le groupe d’appui pour convenir de l’élaboration de la boîte à outils (structure, contenu, support, développement).</w:t>
            </w:r>
          </w:p>
        </w:tc>
        <w:tc>
          <w:tcPr>
            <w:tcW w:w="504" w:type="dxa"/>
            <w:shd w:val="clear" w:color="auto" w:fill="auto"/>
          </w:tcPr>
          <w:p w14:paraId="4E8D603F" w14:textId="77777777" w:rsidR="009D7A81" w:rsidRPr="00900E2B" w:rsidRDefault="009D7A81" w:rsidP="00900E2B">
            <w:pPr>
              <w:spacing w:before="40" w:after="120"/>
              <w:ind w:right="113"/>
            </w:pPr>
          </w:p>
        </w:tc>
        <w:tc>
          <w:tcPr>
            <w:tcW w:w="503" w:type="dxa"/>
            <w:shd w:val="clear" w:color="auto" w:fill="auto"/>
          </w:tcPr>
          <w:p w14:paraId="20B2281B" w14:textId="77777777" w:rsidR="009D7A81" w:rsidRPr="00900E2B" w:rsidRDefault="009D7A81" w:rsidP="00900E2B">
            <w:pPr>
              <w:spacing w:before="40" w:after="120"/>
              <w:ind w:right="113"/>
            </w:pPr>
          </w:p>
        </w:tc>
        <w:tc>
          <w:tcPr>
            <w:tcW w:w="551" w:type="dxa"/>
            <w:shd w:val="clear" w:color="auto" w:fill="auto"/>
          </w:tcPr>
          <w:p w14:paraId="6DB957C4" w14:textId="77777777" w:rsidR="009D7A81" w:rsidRPr="00900E2B" w:rsidRDefault="009D7A81" w:rsidP="00900E2B">
            <w:pPr>
              <w:spacing w:before="40" w:after="120"/>
              <w:ind w:right="113"/>
            </w:pPr>
          </w:p>
        </w:tc>
        <w:tc>
          <w:tcPr>
            <w:tcW w:w="569" w:type="dxa"/>
            <w:shd w:val="clear" w:color="auto" w:fill="auto"/>
          </w:tcPr>
          <w:p w14:paraId="7A68F0BD" w14:textId="5066D63F" w:rsidR="009D7A81" w:rsidRPr="00900E2B" w:rsidRDefault="00F668A5" w:rsidP="00900E2B">
            <w:pPr>
              <w:spacing w:before="40" w:after="120"/>
              <w:ind w:right="113"/>
            </w:pPr>
            <w:r w:rsidRPr="00900E2B">
              <w:t>X</w:t>
            </w:r>
          </w:p>
        </w:tc>
        <w:tc>
          <w:tcPr>
            <w:tcW w:w="504" w:type="dxa"/>
            <w:shd w:val="clear" w:color="auto" w:fill="auto"/>
          </w:tcPr>
          <w:p w14:paraId="26E86A4A" w14:textId="77777777" w:rsidR="009D7A81" w:rsidRPr="00900E2B" w:rsidRDefault="009D7A81" w:rsidP="00900E2B">
            <w:pPr>
              <w:spacing w:before="40" w:after="120"/>
              <w:ind w:right="113"/>
            </w:pPr>
          </w:p>
        </w:tc>
        <w:tc>
          <w:tcPr>
            <w:tcW w:w="533" w:type="dxa"/>
            <w:shd w:val="clear" w:color="auto" w:fill="auto"/>
          </w:tcPr>
          <w:p w14:paraId="3D425474" w14:textId="77777777" w:rsidR="009D7A81" w:rsidRPr="00900E2B" w:rsidRDefault="009D7A81" w:rsidP="00900E2B">
            <w:pPr>
              <w:spacing w:before="40" w:after="120"/>
              <w:ind w:right="113"/>
            </w:pPr>
            <w:r w:rsidRPr="00900E2B">
              <w:t>X</w:t>
            </w:r>
          </w:p>
        </w:tc>
        <w:tc>
          <w:tcPr>
            <w:tcW w:w="616" w:type="dxa"/>
            <w:shd w:val="clear" w:color="auto" w:fill="auto"/>
          </w:tcPr>
          <w:p w14:paraId="34AEA921" w14:textId="77777777" w:rsidR="009D7A81" w:rsidRPr="00900E2B" w:rsidRDefault="009D7A81" w:rsidP="00900E2B">
            <w:pPr>
              <w:spacing w:before="40" w:after="120"/>
              <w:ind w:right="113"/>
            </w:pPr>
          </w:p>
        </w:tc>
        <w:tc>
          <w:tcPr>
            <w:tcW w:w="573" w:type="dxa"/>
            <w:shd w:val="clear" w:color="auto" w:fill="auto"/>
          </w:tcPr>
          <w:p w14:paraId="2B9B194D" w14:textId="77D76252" w:rsidR="009D7A81" w:rsidRPr="00900E2B" w:rsidRDefault="00F668A5" w:rsidP="00900E2B">
            <w:pPr>
              <w:spacing w:before="40" w:after="120"/>
              <w:ind w:right="113"/>
            </w:pPr>
            <w:r w:rsidRPr="00900E2B">
              <w:t>X</w:t>
            </w:r>
          </w:p>
        </w:tc>
        <w:tc>
          <w:tcPr>
            <w:tcW w:w="538" w:type="dxa"/>
            <w:shd w:val="clear" w:color="auto" w:fill="auto"/>
          </w:tcPr>
          <w:p w14:paraId="78266F4B" w14:textId="77777777" w:rsidR="009D7A81" w:rsidRPr="00900E2B" w:rsidRDefault="009D7A81" w:rsidP="00900E2B">
            <w:pPr>
              <w:spacing w:before="40" w:after="120"/>
              <w:ind w:right="113"/>
            </w:pPr>
          </w:p>
        </w:tc>
      </w:tr>
      <w:tr w:rsidR="00F668A5" w:rsidRPr="00900E2B" w14:paraId="7C6BCE9C" w14:textId="77777777" w:rsidTr="00900E2B">
        <w:tc>
          <w:tcPr>
            <w:tcW w:w="4746" w:type="dxa"/>
            <w:shd w:val="clear" w:color="auto" w:fill="auto"/>
          </w:tcPr>
          <w:p w14:paraId="117C7026" w14:textId="77777777" w:rsidR="00F668A5" w:rsidRPr="00900E2B" w:rsidRDefault="00F668A5" w:rsidP="00F668A5">
            <w:pPr>
              <w:spacing w:before="40" w:after="120"/>
              <w:ind w:right="113"/>
            </w:pPr>
            <w:r w:rsidRPr="00900E2B">
              <w:rPr>
                <w:lang w:val="fr-FR"/>
              </w:rPr>
              <w:t xml:space="preserve">Réunions en ligne et en personne de l’équipe de projet </w:t>
            </w:r>
          </w:p>
        </w:tc>
        <w:tc>
          <w:tcPr>
            <w:tcW w:w="504" w:type="dxa"/>
            <w:shd w:val="clear" w:color="auto" w:fill="auto"/>
          </w:tcPr>
          <w:p w14:paraId="6DE72DDB" w14:textId="77777777" w:rsidR="00F668A5" w:rsidRPr="00900E2B" w:rsidRDefault="00F668A5" w:rsidP="00F668A5">
            <w:pPr>
              <w:spacing w:before="40" w:after="120"/>
              <w:ind w:right="113"/>
            </w:pPr>
          </w:p>
        </w:tc>
        <w:tc>
          <w:tcPr>
            <w:tcW w:w="503" w:type="dxa"/>
            <w:shd w:val="clear" w:color="auto" w:fill="auto"/>
          </w:tcPr>
          <w:p w14:paraId="58D71268" w14:textId="2B009C0B" w:rsidR="00F668A5" w:rsidRPr="00900E2B" w:rsidRDefault="00F668A5" w:rsidP="00F668A5">
            <w:pPr>
              <w:spacing w:before="40" w:after="120"/>
              <w:ind w:right="113"/>
            </w:pPr>
            <w:r w:rsidRPr="00D171D7">
              <w:t>X</w:t>
            </w:r>
          </w:p>
        </w:tc>
        <w:tc>
          <w:tcPr>
            <w:tcW w:w="551" w:type="dxa"/>
            <w:shd w:val="clear" w:color="auto" w:fill="auto"/>
          </w:tcPr>
          <w:p w14:paraId="4DEA16B1" w14:textId="2BD54149" w:rsidR="00F668A5" w:rsidRPr="00900E2B" w:rsidRDefault="00F668A5" w:rsidP="00F668A5">
            <w:pPr>
              <w:spacing w:before="40" w:after="120"/>
              <w:ind w:right="113"/>
            </w:pPr>
            <w:r w:rsidRPr="00D171D7">
              <w:t>X</w:t>
            </w:r>
          </w:p>
        </w:tc>
        <w:tc>
          <w:tcPr>
            <w:tcW w:w="569" w:type="dxa"/>
            <w:shd w:val="clear" w:color="auto" w:fill="auto"/>
          </w:tcPr>
          <w:p w14:paraId="28756842" w14:textId="51B58DCC" w:rsidR="00F668A5" w:rsidRPr="00900E2B" w:rsidRDefault="00F668A5" w:rsidP="00F668A5">
            <w:pPr>
              <w:spacing w:before="40" w:after="120"/>
              <w:ind w:right="113"/>
            </w:pPr>
            <w:r w:rsidRPr="00D171D7">
              <w:t>X</w:t>
            </w:r>
          </w:p>
        </w:tc>
        <w:tc>
          <w:tcPr>
            <w:tcW w:w="504" w:type="dxa"/>
            <w:shd w:val="clear" w:color="auto" w:fill="auto"/>
          </w:tcPr>
          <w:p w14:paraId="3B2D6B4B" w14:textId="4F4CF226" w:rsidR="00F668A5" w:rsidRPr="00900E2B" w:rsidRDefault="00F668A5" w:rsidP="00F668A5">
            <w:pPr>
              <w:spacing w:before="40" w:after="120"/>
              <w:ind w:right="113"/>
            </w:pPr>
            <w:r w:rsidRPr="00D171D7">
              <w:t>X</w:t>
            </w:r>
          </w:p>
        </w:tc>
        <w:tc>
          <w:tcPr>
            <w:tcW w:w="533" w:type="dxa"/>
            <w:shd w:val="clear" w:color="auto" w:fill="auto"/>
          </w:tcPr>
          <w:p w14:paraId="5879E261" w14:textId="5086F8E6" w:rsidR="00F668A5" w:rsidRPr="00900E2B" w:rsidRDefault="00F668A5" w:rsidP="00F668A5">
            <w:pPr>
              <w:spacing w:before="40" w:after="120"/>
              <w:ind w:right="113"/>
            </w:pPr>
            <w:r w:rsidRPr="00D171D7">
              <w:t>X</w:t>
            </w:r>
          </w:p>
        </w:tc>
        <w:tc>
          <w:tcPr>
            <w:tcW w:w="616" w:type="dxa"/>
            <w:shd w:val="clear" w:color="auto" w:fill="auto"/>
          </w:tcPr>
          <w:p w14:paraId="56EE7DAD" w14:textId="697FAC8F" w:rsidR="00F668A5" w:rsidRPr="00900E2B" w:rsidRDefault="00F668A5" w:rsidP="00F668A5">
            <w:pPr>
              <w:spacing w:before="40" w:after="120"/>
              <w:ind w:right="113"/>
            </w:pPr>
            <w:r w:rsidRPr="00D171D7">
              <w:t>X</w:t>
            </w:r>
          </w:p>
        </w:tc>
        <w:tc>
          <w:tcPr>
            <w:tcW w:w="573" w:type="dxa"/>
            <w:shd w:val="clear" w:color="auto" w:fill="auto"/>
          </w:tcPr>
          <w:p w14:paraId="165838E8" w14:textId="7A6B36A5" w:rsidR="00F668A5" w:rsidRPr="00900E2B" w:rsidRDefault="00F668A5" w:rsidP="00F668A5">
            <w:pPr>
              <w:spacing w:before="40" w:after="120"/>
              <w:ind w:right="113"/>
            </w:pPr>
            <w:r w:rsidRPr="00D171D7">
              <w:t>X</w:t>
            </w:r>
          </w:p>
        </w:tc>
        <w:tc>
          <w:tcPr>
            <w:tcW w:w="538" w:type="dxa"/>
            <w:shd w:val="clear" w:color="auto" w:fill="auto"/>
          </w:tcPr>
          <w:p w14:paraId="518BD4B4" w14:textId="1DD09366" w:rsidR="00F668A5" w:rsidRPr="00900E2B" w:rsidRDefault="00F668A5" w:rsidP="00F668A5">
            <w:pPr>
              <w:spacing w:before="40" w:after="120"/>
              <w:ind w:right="113"/>
            </w:pPr>
            <w:r w:rsidRPr="00D171D7">
              <w:t>X</w:t>
            </w:r>
          </w:p>
        </w:tc>
      </w:tr>
      <w:tr w:rsidR="00B608EB" w:rsidRPr="00900E2B" w14:paraId="21DD1EBD" w14:textId="77777777" w:rsidTr="00D5061B">
        <w:tc>
          <w:tcPr>
            <w:tcW w:w="4746" w:type="dxa"/>
            <w:shd w:val="clear" w:color="auto" w:fill="auto"/>
          </w:tcPr>
          <w:p w14:paraId="6CBC0BBF" w14:textId="77777777" w:rsidR="00B608EB" w:rsidRPr="00900E2B" w:rsidRDefault="00B608EB" w:rsidP="00D5061B">
            <w:pPr>
              <w:spacing w:before="40" w:after="120"/>
              <w:ind w:right="113"/>
            </w:pPr>
          </w:p>
        </w:tc>
        <w:tc>
          <w:tcPr>
            <w:tcW w:w="504" w:type="dxa"/>
            <w:shd w:val="clear" w:color="auto" w:fill="auto"/>
          </w:tcPr>
          <w:p w14:paraId="051B7CA7" w14:textId="77777777" w:rsidR="00B608EB" w:rsidRPr="00900E2B" w:rsidRDefault="00B608EB" w:rsidP="00D5061B">
            <w:pPr>
              <w:spacing w:before="40" w:after="120"/>
              <w:ind w:right="113"/>
            </w:pPr>
            <w:r w:rsidRPr="00900E2B">
              <w:rPr>
                <w:lang w:val="fr-FR"/>
              </w:rPr>
              <w:t>1</w:t>
            </w:r>
            <w:r w:rsidRPr="00900E2B">
              <w:rPr>
                <w:vertAlign w:val="superscript"/>
                <w:lang w:val="fr-FR"/>
              </w:rPr>
              <w:t>er</w:t>
            </w:r>
            <w:r w:rsidRPr="00900E2B">
              <w:rPr>
                <w:lang w:val="fr-FR"/>
              </w:rPr>
              <w:t xml:space="preserve"> trim.</w:t>
            </w:r>
          </w:p>
        </w:tc>
        <w:tc>
          <w:tcPr>
            <w:tcW w:w="503" w:type="dxa"/>
            <w:shd w:val="clear" w:color="auto" w:fill="auto"/>
          </w:tcPr>
          <w:p w14:paraId="0A89B344" w14:textId="77777777" w:rsidR="00B608EB" w:rsidRPr="00900E2B" w:rsidRDefault="00B608EB" w:rsidP="00D5061B">
            <w:pPr>
              <w:spacing w:before="40" w:after="120"/>
              <w:ind w:right="113"/>
            </w:pPr>
            <w:r w:rsidRPr="00900E2B">
              <w:t>2</w:t>
            </w:r>
            <w:r w:rsidRPr="00900E2B">
              <w:rPr>
                <w:vertAlign w:val="superscript"/>
              </w:rPr>
              <w:t>e</w:t>
            </w:r>
            <w:r w:rsidRPr="00900E2B">
              <w:t xml:space="preserve"> trim.</w:t>
            </w:r>
          </w:p>
        </w:tc>
        <w:tc>
          <w:tcPr>
            <w:tcW w:w="551" w:type="dxa"/>
            <w:shd w:val="clear" w:color="auto" w:fill="auto"/>
          </w:tcPr>
          <w:p w14:paraId="5FAEEBB4" w14:textId="77777777" w:rsidR="00B608EB" w:rsidRPr="00900E2B" w:rsidRDefault="00B608EB" w:rsidP="00D5061B">
            <w:pPr>
              <w:spacing w:before="40" w:after="120"/>
              <w:ind w:right="113"/>
            </w:pPr>
            <w:r w:rsidRPr="00900E2B">
              <w:t>3</w:t>
            </w:r>
            <w:r w:rsidRPr="00900E2B">
              <w:rPr>
                <w:vertAlign w:val="superscript"/>
              </w:rPr>
              <w:t>e</w:t>
            </w:r>
            <w:r w:rsidRPr="00900E2B">
              <w:t xml:space="preserve"> trim.</w:t>
            </w:r>
          </w:p>
        </w:tc>
        <w:tc>
          <w:tcPr>
            <w:tcW w:w="569" w:type="dxa"/>
            <w:shd w:val="clear" w:color="auto" w:fill="auto"/>
          </w:tcPr>
          <w:p w14:paraId="5495347A" w14:textId="77777777" w:rsidR="00B608EB" w:rsidRPr="00900E2B" w:rsidRDefault="00B608EB" w:rsidP="00D5061B">
            <w:pPr>
              <w:spacing w:before="40" w:after="120"/>
              <w:ind w:right="113"/>
            </w:pPr>
            <w:r w:rsidRPr="00900E2B">
              <w:t>4</w:t>
            </w:r>
            <w:r w:rsidRPr="00900E2B">
              <w:rPr>
                <w:vertAlign w:val="superscript"/>
              </w:rPr>
              <w:t>e</w:t>
            </w:r>
            <w:r w:rsidRPr="00900E2B">
              <w:t xml:space="preserve"> trim.</w:t>
            </w:r>
          </w:p>
        </w:tc>
        <w:tc>
          <w:tcPr>
            <w:tcW w:w="504" w:type="dxa"/>
            <w:shd w:val="clear" w:color="auto" w:fill="auto"/>
          </w:tcPr>
          <w:p w14:paraId="7B0B0F39" w14:textId="77777777" w:rsidR="00B608EB" w:rsidRPr="00900E2B" w:rsidRDefault="00B608EB" w:rsidP="00D5061B">
            <w:pPr>
              <w:spacing w:before="40" w:after="120"/>
              <w:ind w:right="113"/>
            </w:pPr>
            <w:r w:rsidRPr="00900E2B">
              <w:t>1</w:t>
            </w:r>
            <w:r w:rsidRPr="00900E2B">
              <w:rPr>
                <w:vertAlign w:val="superscript"/>
              </w:rPr>
              <w:t xml:space="preserve">er </w:t>
            </w:r>
            <w:r w:rsidRPr="00900E2B">
              <w:t>trim.</w:t>
            </w:r>
          </w:p>
        </w:tc>
        <w:tc>
          <w:tcPr>
            <w:tcW w:w="533" w:type="dxa"/>
            <w:shd w:val="clear" w:color="auto" w:fill="auto"/>
          </w:tcPr>
          <w:p w14:paraId="7253F4EA" w14:textId="77777777" w:rsidR="00B608EB" w:rsidRPr="00900E2B" w:rsidRDefault="00B608EB" w:rsidP="00D5061B">
            <w:pPr>
              <w:spacing w:before="40" w:after="120"/>
              <w:ind w:right="113"/>
            </w:pPr>
            <w:r w:rsidRPr="00900E2B">
              <w:t>2</w:t>
            </w:r>
            <w:r w:rsidRPr="00900E2B">
              <w:rPr>
                <w:vertAlign w:val="superscript"/>
              </w:rPr>
              <w:t>e</w:t>
            </w:r>
            <w:r w:rsidRPr="00900E2B">
              <w:t xml:space="preserve"> trim.</w:t>
            </w:r>
          </w:p>
        </w:tc>
        <w:tc>
          <w:tcPr>
            <w:tcW w:w="616" w:type="dxa"/>
            <w:shd w:val="clear" w:color="auto" w:fill="auto"/>
          </w:tcPr>
          <w:p w14:paraId="19E7B4EA" w14:textId="77777777" w:rsidR="00B608EB" w:rsidRPr="00900E2B" w:rsidRDefault="00B608EB" w:rsidP="00D5061B">
            <w:pPr>
              <w:spacing w:before="40" w:after="120"/>
              <w:ind w:right="113"/>
            </w:pPr>
            <w:r w:rsidRPr="00900E2B">
              <w:t>3</w:t>
            </w:r>
            <w:r w:rsidRPr="00900E2B">
              <w:rPr>
                <w:vertAlign w:val="superscript"/>
              </w:rPr>
              <w:t>e</w:t>
            </w:r>
            <w:r w:rsidRPr="00900E2B">
              <w:t xml:space="preserve"> trim.</w:t>
            </w:r>
          </w:p>
        </w:tc>
        <w:tc>
          <w:tcPr>
            <w:tcW w:w="573" w:type="dxa"/>
            <w:shd w:val="clear" w:color="auto" w:fill="auto"/>
          </w:tcPr>
          <w:p w14:paraId="69142AE1" w14:textId="77777777" w:rsidR="00B608EB" w:rsidRPr="00900E2B" w:rsidRDefault="00B608EB" w:rsidP="00D5061B">
            <w:pPr>
              <w:spacing w:before="40" w:after="120"/>
              <w:ind w:right="113"/>
            </w:pPr>
            <w:r w:rsidRPr="00900E2B">
              <w:t>4</w:t>
            </w:r>
            <w:r w:rsidRPr="00900E2B">
              <w:rPr>
                <w:vertAlign w:val="superscript"/>
              </w:rPr>
              <w:t>e</w:t>
            </w:r>
            <w:r w:rsidRPr="00900E2B">
              <w:t xml:space="preserve"> trim.</w:t>
            </w:r>
          </w:p>
        </w:tc>
        <w:tc>
          <w:tcPr>
            <w:tcW w:w="538" w:type="dxa"/>
            <w:shd w:val="clear" w:color="auto" w:fill="auto"/>
          </w:tcPr>
          <w:p w14:paraId="45BDEA95" w14:textId="77777777" w:rsidR="00B608EB" w:rsidRPr="00900E2B" w:rsidRDefault="00B608EB" w:rsidP="00D5061B">
            <w:pPr>
              <w:spacing w:before="40" w:after="120"/>
              <w:ind w:right="113"/>
            </w:pPr>
            <w:r w:rsidRPr="00900E2B">
              <w:t>1</w:t>
            </w:r>
            <w:r w:rsidRPr="00900E2B">
              <w:rPr>
                <w:vertAlign w:val="superscript"/>
              </w:rPr>
              <w:t>er</w:t>
            </w:r>
            <w:r w:rsidRPr="00900E2B">
              <w:t xml:space="preserve"> trim.</w:t>
            </w:r>
          </w:p>
        </w:tc>
      </w:tr>
      <w:tr w:rsidR="00F668A5" w:rsidRPr="00900E2B" w14:paraId="281F2E2F" w14:textId="77777777" w:rsidTr="00900E2B">
        <w:tc>
          <w:tcPr>
            <w:tcW w:w="4746" w:type="dxa"/>
            <w:shd w:val="clear" w:color="auto" w:fill="auto"/>
          </w:tcPr>
          <w:p w14:paraId="4EE232FA" w14:textId="77777777" w:rsidR="00F668A5" w:rsidRPr="00900E2B" w:rsidRDefault="00F668A5" w:rsidP="00F668A5">
            <w:pPr>
              <w:spacing w:before="40" w:after="120"/>
              <w:ind w:right="113"/>
            </w:pPr>
            <w:r w:rsidRPr="00900E2B">
              <w:rPr>
                <w:lang w:val="fr-FR"/>
              </w:rPr>
              <w:t xml:space="preserve">Réunions en ligne avec les prestataires et une réunion en présentiel </w:t>
            </w:r>
          </w:p>
        </w:tc>
        <w:tc>
          <w:tcPr>
            <w:tcW w:w="504" w:type="dxa"/>
            <w:shd w:val="clear" w:color="auto" w:fill="auto"/>
          </w:tcPr>
          <w:p w14:paraId="56CA87D8" w14:textId="77777777" w:rsidR="00F668A5" w:rsidRPr="00900E2B" w:rsidRDefault="00F668A5" w:rsidP="00F668A5">
            <w:pPr>
              <w:spacing w:before="40" w:after="120"/>
              <w:ind w:right="113"/>
            </w:pPr>
          </w:p>
        </w:tc>
        <w:tc>
          <w:tcPr>
            <w:tcW w:w="503" w:type="dxa"/>
            <w:shd w:val="clear" w:color="auto" w:fill="auto"/>
          </w:tcPr>
          <w:p w14:paraId="32CA604E" w14:textId="33708704" w:rsidR="00F668A5" w:rsidRPr="00900E2B" w:rsidRDefault="00F668A5" w:rsidP="00F668A5">
            <w:pPr>
              <w:spacing w:before="40" w:after="120"/>
              <w:ind w:right="113"/>
            </w:pPr>
            <w:r w:rsidRPr="00900E2B">
              <w:t>X</w:t>
            </w:r>
          </w:p>
        </w:tc>
        <w:tc>
          <w:tcPr>
            <w:tcW w:w="551" w:type="dxa"/>
            <w:shd w:val="clear" w:color="auto" w:fill="auto"/>
          </w:tcPr>
          <w:p w14:paraId="18DD6D53" w14:textId="77777777" w:rsidR="00F668A5" w:rsidRPr="00900E2B" w:rsidRDefault="00F668A5" w:rsidP="00F668A5">
            <w:pPr>
              <w:spacing w:before="40" w:after="120"/>
              <w:ind w:right="113"/>
            </w:pPr>
          </w:p>
        </w:tc>
        <w:tc>
          <w:tcPr>
            <w:tcW w:w="569" w:type="dxa"/>
            <w:shd w:val="clear" w:color="auto" w:fill="auto"/>
          </w:tcPr>
          <w:p w14:paraId="01B7CC98" w14:textId="50EB990D" w:rsidR="00F668A5" w:rsidRPr="00900E2B" w:rsidRDefault="00F668A5" w:rsidP="00F668A5">
            <w:pPr>
              <w:spacing w:before="40" w:after="120"/>
              <w:ind w:right="113"/>
            </w:pPr>
            <w:r w:rsidRPr="003A3669">
              <w:t>X</w:t>
            </w:r>
          </w:p>
        </w:tc>
        <w:tc>
          <w:tcPr>
            <w:tcW w:w="504" w:type="dxa"/>
            <w:shd w:val="clear" w:color="auto" w:fill="auto"/>
          </w:tcPr>
          <w:p w14:paraId="0330829E" w14:textId="77777777" w:rsidR="00F668A5" w:rsidRPr="00900E2B" w:rsidRDefault="00F668A5" w:rsidP="00F668A5">
            <w:pPr>
              <w:spacing w:before="40" w:after="120"/>
              <w:ind w:right="113"/>
            </w:pPr>
          </w:p>
        </w:tc>
        <w:tc>
          <w:tcPr>
            <w:tcW w:w="533" w:type="dxa"/>
            <w:shd w:val="clear" w:color="auto" w:fill="auto"/>
          </w:tcPr>
          <w:p w14:paraId="770F9EFF" w14:textId="77777777" w:rsidR="00F668A5" w:rsidRPr="00900E2B" w:rsidRDefault="00F668A5" w:rsidP="00F668A5">
            <w:pPr>
              <w:spacing w:before="40" w:after="120"/>
              <w:ind w:right="113"/>
            </w:pPr>
            <w:r w:rsidRPr="00900E2B">
              <w:t>X</w:t>
            </w:r>
          </w:p>
        </w:tc>
        <w:tc>
          <w:tcPr>
            <w:tcW w:w="616" w:type="dxa"/>
            <w:shd w:val="clear" w:color="auto" w:fill="auto"/>
          </w:tcPr>
          <w:p w14:paraId="2D5384EF" w14:textId="77777777" w:rsidR="00F668A5" w:rsidRPr="00900E2B" w:rsidRDefault="00F668A5" w:rsidP="00F668A5">
            <w:pPr>
              <w:spacing w:before="40" w:after="120"/>
              <w:ind w:right="113"/>
            </w:pPr>
          </w:p>
        </w:tc>
        <w:tc>
          <w:tcPr>
            <w:tcW w:w="573" w:type="dxa"/>
            <w:shd w:val="clear" w:color="auto" w:fill="auto"/>
          </w:tcPr>
          <w:p w14:paraId="781F912C" w14:textId="5D56612C" w:rsidR="00F668A5" w:rsidRPr="00900E2B" w:rsidRDefault="00F668A5" w:rsidP="00F668A5">
            <w:pPr>
              <w:spacing w:before="40" w:after="120"/>
              <w:ind w:right="113"/>
            </w:pPr>
            <w:r w:rsidRPr="004A082E">
              <w:t>X</w:t>
            </w:r>
          </w:p>
        </w:tc>
        <w:tc>
          <w:tcPr>
            <w:tcW w:w="538" w:type="dxa"/>
            <w:shd w:val="clear" w:color="auto" w:fill="auto"/>
          </w:tcPr>
          <w:p w14:paraId="6E1148B5" w14:textId="42F894BC" w:rsidR="00F668A5" w:rsidRPr="00900E2B" w:rsidRDefault="00F668A5" w:rsidP="00F668A5">
            <w:pPr>
              <w:spacing w:before="40" w:after="120"/>
              <w:ind w:right="113"/>
            </w:pPr>
            <w:r w:rsidRPr="004A082E">
              <w:t>X</w:t>
            </w:r>
          </w:p>
        </w:tc>
      </w:tr>
      <w:tr w:rsidR="00F668A5" w:rsidRPr="00900E2B" w14:paraId="2DAA2CA1" w14:textId="77777777" w:rsidTr="00900E2B">
        <w:tc>
          <w:tcPr>
            <w:tcW w:w="4746" w:type="dxa"/>
            <w:shd w:val="clear" w:color="auto" w:fill="auto"/>
          </w:tcPr>
          <w:p w14:paraId="4F3B803D" w14:textId="77777777" w:rsidR="00F668A5" w:rsidRPr="00900E2B" w:rsidRDefault="00F668A5" w:rsidP="00F668A5">
            <w:pPr>
              <w:spacing w:before="40" w:after="120"/>
              <w:ind w:right="113"/>
            </w:pPr>
            <w:r w:rsidRPr="00900E2B">
              <w:rPr>
                <w:lang w:val="fr-FR"/>
              </w:rPr>
              <w:t>Recherche et analyse</w:t>
            </w:r>
          </w:p>
        </w:tc>
        <w:tc>
          <w:tcPr>
            <w:tcW w:w="504" w:type="dxa"/>
            <w:shd w:val="clear" w:color="auto" w:fill="auto"/>
          </w:tcPr>
          <w:p w14:paraId="38B382B8" w14:textId="77777777" w:rsidR="00F668A5" w:rsidRPr="00900E2B" w:rsidRDefault="00F668A5" w:rsidP="00F668A5">
            <w:pPr>
              <w:spacing w:before="40" w:after="120"/>
              <w:ind w:right="113"/>
            </w:pPr>
          </w:p>
        </w:tc>
        <w:tc>
          <w:tcPr>
            <w:tcW w:w="503" w:type="dxa"/>
            <w:shd w:val="clear" w:color="auto" w:fill="auto"/>
          </w:tcPr>
          <w:p w14:paraId="59AAAF86" w14:textId="77777777" w:rsidR="00F668A5" w:rsidRPr="00900E2B" w:rsidRDefault="00F668A5" w:rsidP="00F668A5">
            <w:pPr>
              <w:spacing w:before="40" w:after="120"/>
              <w:ind w:right="113"/>
            </w:pPr>
          </w:p>
        </w:tc>
        <w:tc>
          <w:tcPr>
            <w:tcW w:w="551" w:type="dxa"/>
            <w:shd w:val="clear" w:color="auto" w:fill="auto"/>
          </w:tcPr>
          <w:p w14:paraId="041C89FD" w14:textId="77777777" w:rsidR="00F668A5" w:rsidRPr="00900E2B" w:rsidRDefault="00F668A5" w:rsidP="00F668A5">
            <w:pPr>
              <w:spacing w:before="40" w:after="120"/>
              <w:ind w:right="113"/>
            </w:pPr>
          </w:p>
        </w:tc>
        <w:tc>
          <w:tcPr>
            <w:tcW w:w="569" w:type="dxa"/>
            <w:shd w:val="clear" w:color="auto" w:fill="auto"/>
          </w:tcPr>
          <w:p w14:paraId="55E66E60" w14:textId="44D11F6B" w:rsidR="00F668A5" w:rsidRPr="00900E2B" w:rsidRDefault="00F668A5" w:rsidP="00F668A5">
            <w:pPr>
              <w:spacing w:before="40" w:after="120"/>
              <w:ind w:right="113"/>
            </w:pPr>
            <w:r w:rsidRPr="003A3669">
              <w:t>X</w:t>
            </w:r>
          </w:p>
        </w:tc>
        <w:tc>
          <w:tcPr>
            <w:tcW w:w="504" w:type="dxa"/>
            <w:shd w:val="clear" w:color="auto" w:fill="auto"/>
          </w:tcPr>
          <w:p w14:paraId="04252CF3" w14:textId="1E3040DA" w:rsidR="00F668A5" w:rsidRPr="00900E2B" w:rsidRDefault="00F668A5" w:rsidP="00F668A5">
            <w:pPr>
              <w:spacing w:before="40" w:after="120"/>
              <w:ind w:right="113"/>
            </w:pPr>
            <w:r w:rsidRPr="00CC3953">
              <w:t>X</w:t>
            </w:r>
          </w:p>
        </w:tc>
        <w:tc>
          <w:tcPr>
            <w:tcW w:w="533" w:type="dxa"/>
            <w:shd w:val="clear" w:color="auto" w:fill="auto"/>
          </w:tcPr>
          <w:p w14:paraId="213A121D" w14:textId="77777777" w:rsidR="00F668A5" w:rsidRPr="00900E2B" w:rsidRDefault="00F668A5" w:rsidP="00F668A5">
            <w:pPr>
              <w:spacing w:before="40" w:after="120"/>
              <w:ind w:right="113"/>
            </w:pPr>
          </w:p>
        </w:tc>
        <w:tc>
          <w:tcPr>
            <w:tcW w:w="616" w:type="dxa"/>
            <w:shd w:val="clear" w:color="auto" w:fill="auto"/>
          </w:tcPr>
          <w:p w14:paraId="4BD59FFA" w14:textId="77777777" w:rsidR="00F668A5" w:rsidRPr="00900E2B" w:rsidRDefault="00F668A5" w:rsidP="00F668A5">
            <w:pPr>
              <w:spacing w:before="40" w:after="120"/>
              <w:ind w:right="113"/>
            </w:pPr>
          </w:p>
        </w:tc>
        <w:tc>
          <w:tcPr>
            <w:tcW w:w="573" w:type="dxa"/>
            <w:shd w:val="clear" w:color="auto" w:fill="auto"/>
          </w:tcPr>
          <w:p w14:paraId="5D67118F" w14:textId="77777777" w:rsidR="00F668A5" w:rsidRPr="00900E2B" w:rsidRDefault="00F668A5" w:rsidP="00F668A5">
            <w:pPr>
              <w:spacing w:before="40" w:after="120"/>
              <w:ind w:right="113"/>
            </w:pPr>
          </w:p>
        </w:tc>
        <w:tc>
          <w:tcPr>
            <w:tcW w:w="538" w:type="dxa"/>
            <w:shd w:val="clear" w:color="auto" w:fill="auto"/>
          </w:tcPr>
          <w:p w14:paraId="56198FB0" w14:textId="77777777" w:rsidR="00F668A5" w:rsidRPr="00900E2B" w:rsidRDefault="00F668A5" w:rsidP="00F668A5">
            <w:pPr>
              <w:spacing w:before="40" w:after="120"/>
              <w:ind w:right="113"/>
            </w:pPr>
          </w:p>
        </w:tc>
      </w:tr>
      <w:tr w:rsidR="00F668A5" w:rsidRPr="00900E2B" w14:paraId="31A35E7F" w14:textId="77777777" w:rsidTr="00900E2B">
        <w:tc>
          <w:tcPr>
            <w:tcW w:w="4746" w:type="dxa"/>
            <w:shd w:val="clear" w:color="auto" w:fill="auto"/>
          </w:tcPr>
          <w:p w14:paraId="747EE038" w14:textId="326C0EE1" w:rsidR="00F668A5" w:rsidRPr="00900E2B" w:rsidRDefault="00F668A5" w:rsidP="00F668A5">
            <w:pPr>
              <w:spacing w:before="40" w:after="120"/>
              <w:ind w:right="113"/>
            </w:pPr>
            <w:r w:rsidRPr="00900E2B">
              <w:rPr>
                <w:lang w:val="fr-FR"/>
              </w:rPr>
              <w:t>Concept pédagogique ; aspects généraux et particuliers</w:t>
            </w:r>
          </w:p>
        </w:tc>
        <w:tc>
          <w:tcPr>
            <w:tcW w:w="504" w:type="dxa"/>
            <w:shd w:val="clear" w:color="auto" w:fill="auto"/>
          </w:tcPr>
          <w:p w14:paraId="426CCC57" w14:textId="77777777" w:rsidR="00F668A5" w:rsidRPr="00900E2B" w:rsidRDefault="00F668A5" w:rsidP="00F668A5">
            <w:pPr>
              <w:spacing w:before="40" w:after="120"/>
              <w:ind w:right="113"/>
            </w:pPr>
          </w:p>
        </w:tc>
        <w:tc>
          <w:tcPr>
            <w:tcW w:w="503" w:type="dxa"/>
            <w:shd w:val="clear" w:color="auto" w:fill="auto"/>
          </w:tcPr>
          <w:p w14:paraId="62E7F328" w14:textId="77777777" w:rsidR="00F668A5" w:rsidRPr="00900E2B" w:rsidRDefault="00F668A5" w:rsidP="00F668A5">
            <w:pPr>
              <w:spacing w:before="40" w:after="120"/>
              <w:ind w:right="113"/>
            </w:pPr>
          </w:p>
        </w:tc>
        <w:tc>
          <w:tcPr>
            <w:tcW w:w="551" w:type="dxa"/>
            <w:shd w:val="clear" w:color="auto" w:fill="auto"/>
          </w:tcPr>
          <w:p w14:paraId="77681F4B" w14:textId="77777777" w:rsidR="00F668A5" w:rsidRPr="00900E2B" w:rsidRDefault="00F668A5" w:rsidP="00F668A5">
            <w:pPr>
              <w:spacing w:before="40" w:after="120"/>
              <w:ind w:right="113"/>
            </w:pPr>
          </w:p>
        </w:tc>
        <w:tc>
          <w:tcPr>
            <w:tcW w:w="569" w:type="dxa"/>
            <w:shd w:val="clear" w:color="auto" w:fill="auto"/>
          </w:tcPr>
          <w:p w14:paraId="7085714F" w14:textId="4DDBAB0B" w:rsidR="00F668A5" w:rsidRPr="00900E2B" w:rsidRDefault="00F668A5" w:rsidP="00F668A5">
            <w:pPr>
              <w:spacing w:before="40" w:after="120"/>
              <w:ind w:right="113"/>
            </w:pPr>
            <w:r w:rsidRPr="003A3669">
              <w:t>X</w:t>
            </w:r>
          </w:p>
        </w:tc>
        <w:tc>
          <w:tcPr>
            <w:tcW w:w="504" w:type="dxa"/>
            <w:shd w:val="clear" w:color="auto" w:fill="auto"/>
          </w:tcPr>
          <w:p w14:paraId="4A58E7A6" w14:textId="4B10EEA3" w:rsidR="00F668A5" w:rsidRPr="00900E2B" w:rsidRDefault="00F668A5" w:rsidP="00F668A5">
            <w:pPr>
              <w:spacing w:before="40" w:after="120"/>
              <w:ind w:right="113"/>
            </w:pPr>
            <w:r w:rsidRPr="00CC3953">
              <w:t>X</w:t>
            </w:r>
          </w:p>
        </w:tc>
        <w:tc>
          <w:tcPr>
            <w:tcW w:w="533" w:type="dxa"/>
            <w:shd w:val="clear" w:color="auto" w:fill="auto"/>
          </w:tcPr>
          <w:p w14:paraId="4FBBA033" w14:textId="77777777" w:rsidR="00F668A5" w:rsidRPr="00900E2B" w:rsidRDefault="00F668A5" w:rsidP="00F668A5">
            <w:pPr>
              <w:spacing w:before="40" w:after="120"/>
              <w:ind w:right="113"/>
            </w:pPr>
            <w:r w:rsidRPr="00900E2B">
              <w:t>X</w:t>
            </w:r>
          </w:p>
        </w:tc>
        <w:tc>
          <w:tcPr>
            <w:tcW w:w="616" w:type="dxa"/>
            <w:shd w:val="clear" w:color="auto" w:fill="auto"/>
          </w:tcPr>
          <w:p w14:paraId="6BFD96A5" w14:textId="77777777" w:rsidR="00F668A5" w:rsidRPr="00900E2B" w:rsidRDefault="00F668A5" w:rsidP="00F668A5">
            <w:pPr>
              <w:spacing w:before="40" w:after="120"/>
              <w:ind w:right="113"/>
            </w:pPr>
          </w:p>
        </w:tc>
        <w:tc>
          <w:tcPr>
            <w:tcW w:w="573" w:type="dxa"/>
            <w:shd w:val="clear" w:color="auto" w:fill="auto"/>
          </w:tcPr>
          <w:p w14:paraId="7A893B23" w14:textId="77777777" w:rsidR="00F668A5" w:rsidRPr="00900E2B" w:rsidRDefault="00F668A5" w:rsidP="00F668A5">
            <w:pPr>
              <w:spacing w:before="40" w:after="120"/>
              <w:ind w:right="113"/>
            </w:pPr>
          </w:p>
        </w:tc>
        <w:tc>
          <w:tcPr>
            <w:tcW w:w="538" w:type="dxa"/>
            <w:shd w:val="clear" w:color="auto" w:fill="auto"/>
          </w:tcPr>
          <w:p w14:paraId="7DAEB003" w14:textId="77777777" w:rsidR="00F668A5" w:rsidRPr="00900E2B" w:rsidRDefault="00F668A5" w:rsidP="00F668A5">
            <w:pPr>
              <w:spacing w:before="40" w:after="120"/>
              <w:ind w:right="113"/>
            </w:pPr>
          </w:p>
        </w:tc>
      </w:tr>
      <w:tr w:rsidR="00F668A5" w:rsidRPr="00900E2B" w14:paraId="7237130A" w14:textId="77777777" w:rsidTr="00900E2B">
        <w:tc>
          <w:tcPr>
            <w:tcW w:w="4746" w:type="dxa"/>
            <w:shd w:val="clear" w:color="auto" w:fill="auto"/>
          </w:tcPr>
          <w:p w14:paraId="636D0E45" w14:textId="77777777" w:rsidR="00F668A5" w:rsidRPr="00900E2B" w:rsidRDefault="00F668A5" w:rsidP="00F668A5">
            <w:pPr>
              <w:spacing w:before="40" w:after="120"/>
              <w:ind w:right="113"/>
            </w:pPr>
            <w:r w:rsidRPr="00900E2B">
              <w:rPr>
                <w:lang w:val="fr-FR"/>
              </w:rPr>
              <w:t>Architecture et conception de la boîte à outils</w:t>
            </w:r>
          </w:p>
        </w:tc>
        <w:tc>
          <w:tcPr>
            <w:tcW w:w="504" w:type="dxa"/>
            <w:shd w:val="clear" w:color="auto" w:fill="auto"/>
          </w:tcPr>
          <w:p w14:paraId="69C948A0" w14:textId="77777777" w:rsidR="00F668A5" w:rsidRPr="00900E2B" w:rsidRDefault="00F668A5" w:rsidP="00F668A5">
            <w:pPr>
              <w:spacing w:before="40" w:after="120"/>
              <w:ind w:right="113"/>
            </w:pPr>
          </w:p>
        </w:tc>
        <w:tc>
          <w:tcPr>
            <w:tcW w:w="503" w:type="dxa"/>
            <w:shd w:val="clear" w:color="auto" w:fill="auto"/>
          </w:tcPr>
          <w:p w14:paraId="69F420FA" w14:textId="77777777" w:rsidR="00F668A5" w:rsidRPr="00900E2B" w:rsidRDefault="00F668A5" w:rsidP="00F668A5">
            <w:pPr>
              <w:spacing w:before="40" w:after="120"/>
              <w:ind w:right="113"/>
            </w:pPr>
          </w:p>
        </w:tc>
        <w:tc>
          <w:tcPr>
            <w:tcW w:w="551" w:type="dxa"/>
            <w:shd w:val="clear" w:color="auto" w:fill="auto"/>
          </w:tcPr>
          <w:p w14:paraId="55A20484" w14:textId="77777777" w:rsidR="00F668A5" w:rsidRPr="00900E2B" w:rsidRDefault="00F668A5" w:rsidP="00F668A5">
            <w:pPr>
              <w:spacing w:before="40" w:after="120"/>
              <w:ind w:right="113"/>
            </w:pPr>
          </w:p>
        </w:tc>
        <w:tc>
          <w:tcPr>
            <w:tcW w:w="569" w:type="dxa"/>
            <w:shd w:val="clear" w:color="auto" w:fill="auto"/>
          </w:tcPr>
          <w:p w14:paraId="439412CC" w14:textId="77777777" w:rsidR="00F668A5" w:rsidRPr="00900E2B" w:rsidRDefault="00F668A5" w:rsidP="00F668A5">
            <w:pPr>
              <w:spacing w:before="40" w:after="120"/>
              <w:ind w:right="113"/>
            </w:pPr>
          </w:p>
        </w:tc>
        <w:tc>
          <w:tcPr>
            <w:tcW w:w="504" w:type="dxa"/>
            <w:shd w:val="clear" w:color="auto" w:fill="auto"/>
          </w:tcPr>
          <w:p w14:paraId="22A1E398" w14:textId="02B44D4C" w:rsidR="00F668A5" w:rsidRPr="00900E2B" w:rsidRDefault="00F668A5" w:rsidP="00F668A5">
            <w:pPr>
              <w:spacing w:before="40" w:after="120"/>
              <w:ind w:right="113"/>
            </w:pPr>
            <w:r w:rsidRPr="00CC3953">
              <w:t>X</w:t>
            </w:r>
          </w:p>
        </w:tc>
        <w:tc>
          <w:tcPr>
            <w:tcW w:w="533" w:type="dxa"/>
            <w:shd w:val="clear" w:color="auto" w:fill="auto"/>
          </w:tcPr>
          <w:p w14:paraId="37A4FCA3" w14:textId="77777777" w:rsidR="00F668A5" w:rsidRPr="00900E2B" w:rsidRDefault="00F668A5" w:rsidP="00F668A5">
            <w:pPr>
              <w:spacing w:before="40" w:after="120"/>
              <w:ind w:right="113"/>
            </w:pPr>
            <w:r w:rsidRPr="00900E2B">
              <w:t>X</w:t>
            </w:r>
          </w:p>
        </w:tc>
        <w:tc>
          <w:tcPr>
            <w:tcW w:w="616" w:type="dxa"/>
            <w:shd w:val="clear" w:color="auto" w:fill="auto"/>
          </w:tcPr>
          <w:p w14:paraId="4F7CB874" w14:textId="77777777" w:rsidR="00F668A5" w:rsidRPr="00900E2B" w:rsidRDefault="00F668A5" w:rsidP="00F668A5">
            <w:pPr>
              <w:spacing w:before="40" w:after="120"/>
              <w:ind w:right="113"/>
            </w:pPr>
          </w:p>
        </w:tc>
        <w:tc>
          <w:tcPr>
            <w:tcW w:w="573" w:type="dxa"/>
            <w:shd w:val="clear" w:color="auto" w:fill="auto"/>
          </w:tcPr>
          <w:p w14:paraId="7EBD1FAA" w14:textId="77777777" w:rsidR="00F668A5" w:rsidRPr="00900E2B" w:rsidRDefault="00F668A5" w:rsidP="00F668A5">
            <w:pPr>
              <w:spacing w:before="40" w:after="120"/>
              <w:ind w:right="113"/>
            </w:pPr>
          </w:p>
        </w:tc>
        <w:tc>
          <w:tcPr>
            <w:tcW w:w="538" w:type="dxa"/>
            <w:shd w:val="clear" w:color="auto" w:fill="auto"/>
          </w:tcPr>
          <w:p w14:paraId="3874C1AE" w14:textId="77777777" w:rsidR="00F668A5" w:rsidRPr="00900E2B" w:rsidRDefault="00F668A5" w:rsidP="00F668A5">
            <w:pPr>
              <w:spacing w:before="40" w:after="120"/>
              <w:ind w:right="113"/>
            </w:pPr>
          </w:p>
        </w:tc>
      </w:tr>
      <w:tr w:rsidR="00F668A5" w:rsidRPr="00900E2B" w14:paraId="2EB52496" w14:textId="77777777" w:rsidTr="00900E2B">
        <w:tc>
          <w:tcPr>
            <w:tcW w:w="4746" w:type="dxa"/>
            <w:shd w:val="clear" w:color="auto" w:fill="auto"/>
          </w:tcPr>
          <w:p w14:paraId="45E256E0" w14:textId="77777777" w:rsidR="00F668A5" w:rsidRPr="00900E2B" w:rsidRDefault="00F668A5" w:rsidP="00F668A5">
            <w:pPr>
              <w:spacing w:before="40" w:after="120"/>
              <w:ind w:right="113"/>
            </w:pPr>
            <w:r w:rsidRPr="00900E2B">
              <w:rPr>
                <w:lang w:val="fr-FR"/>
              </w:rPr>
              <w:t xml:space="preserve">Mise au point des outils et modifications </w:t>
            </w:r>
          </w:p>
        </w:tc>
        <w:tc>
          <w:tcPr>
            <w:tcW w:w="504" w:type="dxa"/>
            <w:shd w:val="clear" w:color="auto" w:fill="auto"/>
          </w:tcPr>
          <w:p w14:paraId="172BAD1D" w14:textId="77777777" w:rsidR="00F668A5" w:rsidRPr="00900E2B" w:rsidRDefault="00F668A5" w:rsidP="00F668A5">
            <w:pPr>
              <w:spacing w:before="40" w:after="120"/>
              <w:ind w:right="113"/>
            </w:pPr>
          </w:p>
        </w:tc>
        <w:tc>
          <w:tcPr>
            <w:tcW w:w="503" w:type="dxa"/>
            <w:shd w:val="clear" w:color="auto" w:fill="auto"/>
          </w:tcPr>
          <w:p w14:paraId="019CEDEE" w14:textId="77777777" w:rsidR="00F668A5" w:rsidRPr="00900E2B" w:rsidRDefault="00F668A5" w:rsidP="00F668A5">
            <w:pPr>
              <w:spacing w:before="40" w:after="120"/>
              <w:ind w:right="113"/>
            </w:pPr>
          </w:p>
        </w:tc>
        <w:tc>
          <w:tcPr>
            <w:tcW w:w="551" w:type="dxa"/>
            <w:shd w:val="clear" w:color="auto" w:fill="auto"/>
          </w:tcPr>
          <w:p w14:paraId="7C60865E" w14:textId="77777777" w:rsidR="00F668A5" w:rsidRPr="00900E2B" w:rsidRDefault="00F668A5" w:rsidP="00F668A5">
            <w:pPr>
              <w:spacing w:before="40" w:after="120"/>
              <w:ind w:right="113"/>
            </w:pPr>
          </w:p>
        </w:tc>
        <w:tc>
          <w:tcPr>
            <w:tcW w:w="569" w:type="dxa"/>
            <w:shd w:val="clear" w:color="auto" w:fill="auto"/>
          </w:tcPr>
          <w:p w14:paraId="1E0FCC39" w14:textId="77777777" w:rsidR="00F668A5" w:rsidRPr="00900E2B" w:rsidRDefault="00F668A5" w:rsidP="00F668A5">
            <w:pPr>
              <w:spacing w:before="40" w:after="120"/>
              <w:ind w:right="113"/>
            </w:pPr>
          </w:p>
        </w:tc>
        <w:tc>
          <w:tcPr>
            <w:tcW w:w="504" w:type="dxa"/>
            <w:shd w:val="clear" w:color="auto" w:fill="auto"/>
          </w:tcPr>
          <w:p w14:paraId="5F1A6053" w14:textId="77777777" w:rsidR="00F668A5" w:rsidRPr="00900E2B" w:rsidRDefault="00F668A5" w:rsidP="00F668A5">
            <w:pPr>
              <w:spacing w:before="40" w:after="120"/>
              <w:ind w:right="113"/>
            </w:pPr>
          </w:p>
        </w:tc>
        <w:tc>
          <w:tcPr>
            <w:tcW w:w="533" w:type="dxa"/>
            <w:shd w:val="clear" w:color="auto" w:fill="auto"/>
          </w:tcPr>
          <w:p w14:paraId="11EE4425" w14:textId="77777777" w:rsidR="00F668A5" w:rsidRPr="00900E2B" w:rsidRDefault="00F668A5" w:rsidP="00F668A5">
            <w:pPr>
              <w:spacing w:before="40" w:after="120"/>
              <w:ind w:right="113"/>
            </w:pPr>
            <w:r w:rsidRPr="00900E2B">
              <w:t>X</w:t>
            </w:r>
          </w:p>
        </w:tc>
        <w:tc>
          <w:tcPr>
            <w:tcW w:w="616" w:type="dxa"/>
            <w:shd w:val="clear" w:color="auto" w:fill="auto"/>
          </w:tcPr>
          <w:p w14:paraId="7CB8F9CF" w14:textId="374420E3" w:rsidR="00F668A5" w:rsidRPr="00900E2B" w:rsidRDefault="00F668A5" w:rsidP="00F668A5">
            <w:pPr>
              <w:spacing w:before="40" w:after="120"/>
              <w:ind w:right="113"/>
            </w:pPr>
            <w:r w:rsidRPr="00EF16DE">
              <w:t>X</w:t>
            </w:r>
          </w:p>
        </w:tc>
        <w:tc>
          <w:tcPr>
            <w:tcW w:w="573" w:type="dxa"/>
            <w:shd w:val="clear" w:color="auto" w:fill="auto"/>
          </w:tcPr>
          <w:p w14:paraId="5F546725" w14:textId="77777777" w:rsidR="00F668A5" w:rsidRPr="00900E2B" w:rsidRDefault="00F668A5" w:rsidP="00F668A5">
            <w:pPr>
              <w:spacing w:before="40" w:after="120"/>
              <w:ind w:right="113"/>
            </w:pPr>
            <w:r w:rsidRPr="00900E2B">
              <w:t>X</w:t>
            </w:r>
          </w:p>
        </w:tc>
        <w:tc>
          <w:tcPr>
            <w:tcW w:w="538" w:type="dxa"/>
            <w:shd w:val="clear" w:color="auto" w:fill="auto"/>
          </w:tcPr>
          <w:p w14:paraId="4405D47A" w14:textId="77777777" w:rsidR="00F668A5" w:rsidRPr="00900E2B" w:rsidRDefault="00F668A5" w:rsidP="00F668A5">
            <w:pPr>
              <w:spacing w:before="40" w:after="120"/>
              <w:ind w:right="113"/>
            </w:pPr>
          </w:p>
        </w:tc>
      </w:tr>
      <w:tr w:rsidR="00F668A5" w:rsidRPr="00900E2B" w14:paraId="6A809389" w14:textId="77777777" w:rsidTr="00900E2B">
        <w:tc>
          <w:tcPr>
            <w:tcW w:w="4746" w:type="dxa"/>
            <w:shd w:val="clear" w:color="auto" w:fill="auto"/>
          </w:tcPr>
          <w:p w14:paraId="76496747" w14:textId="77777777" w:rsidR="00F668A5" w:rsidRPr="00900E2B" w:rsidRDefault="00F668A5" w:rsidP="00F668A5">
            <w:pPr>
              <w:spacing w:before="40" w:after="120"/>
              <w:ind w:right="113"/>
            </w:pPr>
            <w:r w:rsidRPr="00900E2B">
              <w:rPr>
                <w:lang w:val="fr-FR"/>
              </w:rPr>
              <w:t>Sélection d’exemples et d’idées à exploiter</w:t>
            </w:r>
          </w:p>
        </w:tc>
        <w:tc>
          <w:tcPr>
            <w:tcW w:w="504" w:type="dxa"/>
            <w:shd w:val="clear" w:color="auto" w:fill="auto"/>
          </w:tcPr>
          <w:p w14:paraId="790C185C" w14:textId="77777777" w:rsidR="00F668A5" w:rsidRPr="00900E2B" w:rsidRDefault="00F668A5" w:rsidP="00F668A5">
            <w:pPr>
              <w:spacing w:before="40" w:after="120"/>
              <w:ind w:right="113"/>
            </w:pPr>
          </w:p>
        </w:tc>
        <w:tc>
          <w:tcPr>
            <w:tcW w:w="503" w:type="dxa"/>
            <w:shd w:val="clear" w:color="auto" w:fill="auto"/>
          </w:tcPr>
          <w:p w14:paraId="600F6E24" w14:textId="77777777" w:rsidR="00F668A5" w:rsidRPr="00900E2B" w:rsidRDefault="00F668A5" w:rsidP="00F668A5">
            <w:pPr>
              <w:spacing w:before="40" w:after="120"/>
              <w:ind w:right="113"/>
            </w:pPr>
          </w:p>
        </w:tc>
        <w:tc>
          <w:tcPr>
            <w:tcW w:w="551" w:type="dxa"/>
            <w:shd w:val="clear" w:color="auto" w:fill="auto"/>
          </w:tcPr>
          <w:p w14:paraId="4B014A7F" w14:textId="77777777" w:rsidR="00F668A5" w:rsidRPr="00900E2B" w:rsidRDefault="00F668A5" w:rsidP="00F668A5">
            <w:pPr>
              <w:spacing w:before="40" w:after="120"/>
              <w:ind w:right="113"/>
            </w:pPr>
          </w:p>
        </w:tc>
        <w:tc>
          <w:tcPr>
            <w:tcW w:w="569" w:type="dxa"/>
            <w:shd w:val="clear" w:color="auto" w:fill="auto"/>
          </w:tcPr>
          <w:p w14:paraId="0B93C7CD" w14:textId="77777777" w:rsidR="00F668A5" w:rsidRPr="00900E2B" w:rsidRDefault="00F668A5" w:rsidP="00F668A5">
            <w:pPr>
              <w:spacing w:before="40" w:after="120"/>
              <w:ind w:right="113"/>
            </w:pPr>
          </w:p>
        </w:tc>
        <w:tc>
          <w:tcPr>
            <w:tcW w:w="504" w:type="dxa"/>
            <w:shd w:val="clear" w:color="auto" w:fill="auto"/>
          </w:tcPr>
          <w:p w14:paraId="3F64B8E6" w14:textId="77777777" w:rsidR="00F668A5" w:rsidRPr="00900E2B" w:rsidRDefault="00F668A5" w:rsidP="00F668A5">
            <w:pPr>
              <w:spacing w:before="40" w:after="120"/>
              <w:ind w:right="113"/>
            </w:pPr>
          </w:p>
        </w:tc>
        <w:tc>
          <w:tcPr>
            <w:tcW w:w="533" w:type="dxa"/>
            <w:shd w:val="clear" w:color="auto" w:fill="auto"/>
          </w:tcPr>
          <w:p w14:paraId="16161697" w14:textId="77777777" w:rsidR="00F668A5" w:rsidRPr="00900E2B" w:rsidRDefault="00F668A5" w:rsidP="00F668A5">
            <w:pPr>
              <w:spacing w:before="40" w:after="120"/>
              <w:ind w:right="113"/>
            </w:pPr>
          </w:p>
        </w:tc>
        <w:tc>
          <w:tcPr>
            <w:tcW w:w="616" w:type="dxa"/>
            <w:shd w:val="clear" w:color="auto" w:fill="auto"/>
          </w:tcPr>
          <w:p w14:paraId="686D59D2" w14:textId="0194B7FA" w:rsidR="00F668A5" w:rsidRPr="00900E2B" w:rsidRDefault="00F668A5" w:rsidP="00F668A5">
            <w:pPr>
              <w:spacing w:before="40" w:after="120"/>
              <w:ind w:right="113"/>
            </w:pPr>
            <w:r w:rsidRPr="00EF16DE">
              <w:t>X</w:t>
            </w:r>
          </w:p>
        </w:tc>
        <w:tc>
          <w:tcPr>
            <w:tcW w:w="573" w:type="dxa"/>
            <w:shd w:val="clear" w:color="auto" w:fill="auto"/>
          </w:tcPr>
          <w:p w14:paraId="461BCB9E" w14:textId="497183AA" w:rsidR="00F668A5" w:rsidRPr="00900E2B" w:rsidRDefault="00F668A5" w:rsidP="00F668A5">
            <w:pPr>
              <w:spacing w:before="40" w:after="120"/>
              <w:ind w:right="113"/>
            </w:pPr>
            <w:r w:rsidRPr="00EB2324">
              <w:t>X</w:t>
            </w:r>
          </w:p>
        </w:tc>
        <w:tc>
          <w:tcPr>
            <w:tcW w:w="538" w:type="dxa"/>
            <w:shd w:val="clear" w:color="auto" w:fill="auto"/>
          </w:tcPr>
          <w:p w14:paraId="335F4FAE" w14:textId="77777777" w:rsidR="00F668A5" w:rsidRPr="00900E2B" w:rsidRDefault="00F668A5" w:rsidP="00F668A5">
            <w:pPr>
              <w:spacing w:before="40" w:after="120"/>
              <w:ind w:right="113"/>
            </w:pPr>
          </w:p>
        </w:tc>
      </w:tr>
      <w:tr w:rsidR="00F668A5" w:rsidRPr="00900E2B" w14:paraId="48725065" w14:textId="77777777" w:rsidTr="00900E2B">
        <w:tc>
          <w:tcPr>
            <w:tcW w:w="4746" w:type="dxa"/>
            <w:shd w:val="clear" w:color="auto" w:fill="auto"/>
          </w:tcPr>
          <w:p w14:paraId="61A8D9FD" w14:textId="77777777" w:rsidR="00F668A5" w:rsidRPr="00900E2B" w:rsidRDefault="00F668A5" w:rsidP="00F668A5">
            <w:pPr>
              <w:spacing w:before="40" w:after="120"/>
              <w:ind w:right="113"/>
            </w:pPr>
            <w:r w:rsidRPr="00900E2B">
              <w:rPr>
                <w:lang w:val="fr-FR"/>
              </w:rPr>
              <w:t>Version provisoire</w:t>
            </w:r>
          </w:p>
        </w:tc>
        <w:tc>
          <w:tcPr>
            <w:tcW w:w="504" w:type="dxa"/>
            <w:shd w:val="clear" w:color="auto" w:fill="auto"/>
          </w:tcPr>
          <w:p w14:paraId="25BFBC58" w14:textId="77777777" w:rsidR="00F668A5" w:rsidRPr="00900E2B" w:rsidRDefault="00F668A5" w:rsidP="00F668A5">
            <w:pPr>
              <w:spacing w:before="40" w:after="120"/>
              <w:ind w:right="113"/>
            </w:pPr>
          </w:p>
        </w:tc>
        <w:tc>
          <w:tcPr>
            <w:tcW w:w="503" w:type="dxa"/>
            <w:shd w:val="clear" w:color="auto" w:fill="auto"/>
          </w:tcPr>
          <w:p w14:paraId="47A931FE" w14:textId="77777777" w:rsidR="00F668A5" w:rsidRPr="00900E2B" w:rsidRDefault="00F668A5" w:rsidP="00F668A5">
            <w:pPr>
              <w:spacing w:before="40" w:after="120"/>
              <w:ind w:right="113"/>
            </w:pPr>
          </w:p>
        </w:tc>
        <w:tc>
          <w:tcPr>
            <w:tcW w:w="551" w:type="dxa"/>
            <w:shd w:val="clear" w:color="auto" w:fill="auto"/>
          </w:tcPr>
          <w:p w14:paraId="40EFB5B0" w14:textId="77777777" w:rsidR="00F668A5" w:rsidRPr="00900E2B" w:rsidRDefault="00F668A5" w:rsidP="00F668A5">
            <w:pPr>
              <w:spacing w:before="40" w:after="120"/>
              <w:ind w:right="113"/>
            </w:pPr>
          </w:p>
        </w:tc>
        <w:tc>
          <w:tcPr>
            <w:tcW w:w="569" w:type="dxa"/>
            <w:shd w:val="clear" w:color="auto" w:fill="auto"/>
          </w:tcPr>
          <w:p w14:paraId="471A07AA" w14:textId="77777777" w:rsidR="00F668A5" w:rsidRPr="00900E2B" w:rsidRDefault="00F668A5" w:rsidP="00F668A5">
            <w:pPr>
              <w:spacing w:before="40" w:after="120"/>
              <w:ind w:right="113"/>
            </w:pPr>
          </w:p>
        </w:tc>
        <w:tc>
          <w:tcPr>
            <w:tcW w:w="504" w:type="dxa"/>
            <w:shd w:val="clear" w:color="auto" w:fill="auto"/>
          </w:tcPr>
          <w:p w14:paraId="4CA4DFB8" w14:textId="77777777" w:rsidR="00F668A5" w:rsidRPr="00900E2B" w:rsidRDefault="00F668A5" w:rsidP="00F668A5">
            <w:pPr>
              <w:spacing w:before="40" w:after="120"/>
              <w:ind w:right="113"/>
            </w:pPr>
          </w:p>
        </w:tc>
        <w:tc>
          <w:tcPr>
            <w:tcW w:w="533" w:type="dxa"/>
            <w:shd w:val="clear" w:color="auto" w:fill="auto"/>
          </w:tcPr>
          <w:p w14:paraId="6C278350" w14:textId="77777777" w:rsidR="00F668A5" w:rsidRPr="00900E2B" w:rsidRDefault="00F668A5" w:rsidP="00F668A5">
            <w:pPr>
              <w:spacing w:before="40" w:after="120"/>
              <w:ind w:right="113"/>
            </w:pPr>
          </w:p>
        </w:tc>
        <w:tc>
          <w:tcPr>
            <w:tcW w:w="616" w:type="dxa"/>
            <w:shd w:val="clear" w:color="auto" w:fill="auto"/>
          </w:tcPr>
          <w:p w14:paraId="42E57C5D" w14:textId="77777777" w:rsidR="00F668A5" w:rsidRPr="00900E2B" w:rsidRDefault="00F668A5" w:rsidP="00F668A5">
            <w:pPr>
              <w:spacing w:before="40" w:after="120"/>
              <w:ind w:right="113"/>
            </w:pPr>
          </w:p>
        </w:tc>
        <w:tc>
          <w:tcPr>
            <w:tcW w:w="573" w:type="dxa"/>
            <w:shd w:val="clear" w:color="auto" w:fill="auto"/>
          </w:tcPr>
          <w:p w14:paraId="78E0CFA0" w14:textId="5EF92D14" w:rsidR="00F668A5" w:rsidRPr="00900E2B" w:rsidRDefault="00F668A5" w:rsidP="00F668A5">
            <w:pPr>
              <w:spacing w:before="40" w:after="120"/>
              <w:ind w:right="113"/>
            </w:pPr>
            <w:r w:rsidRPr="00EB2324">
              <w:t>X</w:t>
            </w:r>
          </w:p>
        </w:tc>
        <w:tc>
          <w:tcPr>
            <w:tcW w:w="538" w:type="dxa"/>
            <w:shd w:val="clear" w:color="auto" w:fill="auto"/>
          </w:tcPr>
          <w:p w14:paraId="638A3724" w14:textId="77777777" w:rsidR="00F668A5" w:rsidRPr="00900E2B" w:rsidRDefault="00F668A5" w:rsidP="00F668A5">
            <w:pPr>
              <w:spacing w:before="40" w:after="120"/>
              <w:ind w:right="113"/>
            </w:pPr>
          </w:p>
        </w:tc>
      </w:tr>
      <w:tr w:rsidR="00F668A5" w:rsidRPr="00900E2B" w14:paraId="09B75581" w14:textId="77777777" w:rsidTr="00900E2B">
        <w:tc>
          <w:tcPr>
            <w:tcW w:w="4746" w:type="dxa"/>
            <w:shd w:val="clear" w:color="auto" w:fill="auto"/>
          </w:tcPr>
          <w:p w14:paraId="6483173E" w14:textId="1B076ADD" w:rsidR="00F668A5" w:rsidRPr="00900E2B" w:rsidRDefault="00F668A5" w:rsidP="00F668A5">
            <w:pPr>
              <w:spacing w:before="40" w:after="120"/>
              <w:ind w:right="113"/>
            </w:pPr>
            <w:r w:rsidRPr="00900E2B">
              <w:rPr>
                <w:lang w:val="fr-FR"/>
              </w:rPr>
              <w:t>Conférence régionale sur le thème « Comment utiliser la</w:t>
            </w:r>
            <w:r w:rsidR="001431B2">
              <w:rPr>
                <w:lang w:val="fr-FR"/>
              </w:rPr>
              <w:t> </w:t>
            </w:r>
            <w:r w:rsidRPr="00900E2B">
              <w:rPr>
                <w:lang w:val="fr-FR"/>
              </w:rPr>
              <w:t xml:space="preserve">boîte à outils pour l’approche </w:t>
            </w:r>
            <w:proofErr w:type="spellStart"/>
            <w:r w:rsidRPr="00900E2B">
              <w:rPr>
                <w:lang w:val="fr-FR"/>
              </w:rPr>
              <w:t>paninstitutionnelle</w:t>
            </w:r>
            <w:proofErr w:type="spellEnd"/>
            <w:r w:rsidRPr="00900E2B">
              <w:rPr>
                <w:lang w:val="fr-FR"/>
              </w:rPr>
              <w:t xml:space="preserve"> et</w:t>
            </w:r>
            <w:r w:rsidR="001431B2">
              <w:rPr>
                <w:lang w:val="fr-FR"/>
              </w:rPr>
              <w:t> </w:t>
            </w:r>
            <w:r w:rsidRPr="00900E2B">
              <w:rPr>
                <w:lang w:val="fr-FR"/>
              </w:rPr>
              <w:t>l’éducation en vue du développement durable », organisée par un État membre</w:t>
            </w:r>
          </w:p>
        </w:tc>
        <w:tc>
          <w:tcPr>
            <w:tcW w:w="504" w:type="dxa"/>
            <w:shd w:val="clear" w:color="auto" w:fill="auto"/>
          </w:tcPr>
          <w:p w14:paraId="141F9C96" w14:textId="77777777" w:rsidR="00F668A5" w:rsidRPr="00900E2B" w:rsidRDefault="00F668A5" w:rsidP="00F668A5">
            <w:pPr>
              <w:spacing w:before="40" w:after="120"/>
              <w:ind w:right="113"/>
            </w:pPr>
          </w:p>
        </w:tc>
        <w:tc>
          <w:tcPr>
            <w:tcW w:w="503" w:type="dxa"/>
            <w:shd w:val="clear" w:color="auto" w:fill="auto"/>
          </w:tcPr>
          <w:p w14:paraId="1BC6F206" w14:textId="77777777" w:rsidR="00F668A5" w:rsidRPr="00900E2B" w:rsidRDefault="00F668A5" w:rsidP="00F668A5">
            <w:pPr>
              <w:spacing w:before="40" w:after="120"/>
              <w:ind w:right="113"/>
            </w:pPr>
          </w:p>
        </w:tc>
        <w:tc>
          <w:tcPr>
            <w:tcW w:w="551" w:type="dxa"/>
            <w:shd w:val="clear" w:color="auto" w:fill="auto"/>
          </w:tcPr>
          <w:p w14:paraId="3A3F8741" w14:textId="77777777" w:rsidR="00F668A5" w:rsidRPr="00900E2B" w:rsidRDefault="00F668A5" w:rsidP="00F668A5">
            <w:pPr>
              <w:spacing w:before="40" w:after="120"/>
              <w:ind w:right="113"/>
            </w:pPr>
          </w:p>
        </w:tc>
        <w:tc>
          <w:tcPr>
            <w:tcW w:w="569" w:type="dxa"/>
            <w:shd w:val="clear" w:color="auto" w:fill="auto"/>
          </w:tcPr>
          <w:p w14:paraId="32348F7F" w14:textId="77777777" w:rsidR="00F668A5" w:rsidRPr="00900E2B" w:rsidRDefault="00F668A5" w:rsidP="00F668A5">
            <w:pPr>
              <w:spacing w:before="40" w:after="120"/>
              <w:ind w:right="113"/>
            </w:pPr>
          </w:p>
        </w:tc>
        <w:tc>
          <w:tcPr>
            <w:tcW w:w="504" w:type="dxa"/>
            <w:shd w:val="clear" w:color="auto" w:fill="auto"/>
          </w:tcPr>
          <w:p w14:paraId="2571CE89" w14:textId="77777777" w:rsidR="00F668A5" w:rsidRPr="00900E2B" w:rsidRDefault="00F668A5" w:rsidP="00F668A5">
            <w:pPr>
              <w:spacing w:before="40" w:after="120"/>
              <w:ind w:right="113"/>
            </w:pPr>
          </w:p>
        </w:tc>
        <w:tc>
          <w:tcPr>
            <w:tcW w:w="533" w:type="dxa"/>
            <w:shd w:val="clear" w:color="auto" w:fill="auto"/>
          </w:tcPr>
          <w:p w14:paraId="1A0D179E" w14:textId="77777777" w:rsidR="00F668A5" w:rsidRPr="00900E2B" w:rsidRDefault="00F668A5" w:rsidP="00F668A5">
            <w:pPr>
              <w:spacing w:before="40" w:after="120"/>
              <w:ind w:right="113"/>
            </w:pPr>
          </w:p>
        </w:tc>
        <w:tc>
          <w:tcPr>
            <w:tcW w:w="616" w:type="dxa"/>
            <w:shd w:val="clear" w:color="auto" w:fill="auto"/>
          </w:tcPr>
          <w:p w14:paraId="034FC492" w14:textId="77777777" w:rsidR="00F668A5" w:rsidRPr="00900E2B" w:rsidRDefault="00F668A5" w:rsidP="00F668A5">
            <w:pPr>
              <w:spacing w:before="40" w:after="120"/>
              <w:ind w:right="113"/>
            </w:pPr>
          </w:p>
        </w:tc>
        <w:tc>
          <w:tcPr>
            <w:tcW w:w="573" w:type="dxa"/>
            <w:shd w:val="clear" w:color="auto" w:fill="auto"/>
          </w:tcPr>
          <w:p w14:paraId="2634C30C" w14:textId="66393838" w:rsidR="00F668A5" w:rsidRPr="00900E2B" w:rsidRDefault="00F668A5" w:rsidP="00F668A5">
            <w:pPr>
              <w:spacing w:before="40" w:after="120"/>
              <w:ind w:right="113"/>
            </w:pPr>
            <w:r w:rsidRPr="00EB2324">
              <w:t>X</w:t>
            </w:r>
          </w:p>
        </w:tc>
        <w:tc>
          <w:tcPr>
            <w:tcW w:w="538" w:type="dxa"/>
            <w:shd w:val="clear" w:color="auto" w:fill="auto"/>
          </w:tcPr>
          <w:p w14:paraId="512B6B11" w14:textId="77777777" w:rsidR="00F668A5" w:rsidRPr="00900E2B" w:rsidRDefault="00F668A5" w:rsidP="00F668A5">
            <w:pPr>
              <w:spacing w:before="40" w:after="120"/>
              <w:ind w:right="113"/>
            </w:pPr>
          </w:p>
        </w:tc>
      </w:tr>
      <w:tr w:rsidR="00F668A5" w:rsidRPr="00900E2B" w14:paraId="27C2B5C5" w14:textId="77777777" w:rsidTr="00900E2B">
        <w:tc>
          <w:tcPr>
            <w:tcW w:w="4746" w:type="dxa"/>
            <w:shd w:val="clear" w:color="auto" w:fill="auto"/>
          </w:tcPr>
          <w:p w14:paraId="5957DFAC" w14:textId="77777777" w:rsidR="00F668A5" w:rsidRPr="00900E2B" w:rsidRDefault="00F668A5" w:rsidP="00F668A5">
            <w:pPr>
              <w:spacing w:before="40" w:after="120"/>
              <w:ind w:right="113"/>
            </w:pPr>
            <w:r w:rsidRPr="00900E2B">
              <w:rPr>
                <w:lang w:val="fr-FR"/>
              </w:rPr>
              <w:t>Version définitive</w:t>
            </w:r>
          </w:p>
        </w:tc>
        <w:tc>
          <w:tcPr>
            <w:tcW w:w="504" w:type="dxa"/>
            <w:shd w:val="clear" w:color="auto" w:fill="auto"/>
          </w:tcPr>
          <w:p w14:paraId="1B2CB0F7" w14:textId="77777777" w:rsidR="00F668A5" w:rsidRPr="00900E2B" w:rsidRDefault="00F668A5" w:rsidP="00F668A5">
            <w:pPr>
              <w:spacing w:before="40" w:after="120"/>
              <w:ind w:right="113"/>
            </w:pPr>
          </w:p>
        </w:tc>
        <w:tc>
          <w:tcPr>
            <w:tcW w:w="503" w:type="dxa"/>
            <w:shd w:val="clear" w:color="auto" w:fill="auto"/>
          </w:tcPr>
          <w:p w14:paraId="1C8DA14A" w14:textId="77777777" w:rsidR="00F668A5" w:rsidRPr="00900E2B" w:rsidRDefault="00F668A5" w:rsidP="00F668A5">
            <w:pPr>
              <w:spacing w:before="40" w:after="120"/>
              <w:ind w:right="113"/>
            </w:pPr>
          </w:p>
        </w:tc>
        <w:tc>
          <w:tcPr>
            <w:tcW w:w="551" w:type="dxa"/>
            <w:shd w:val="clear" w:color="auto" w:fill="auto"/>
          </w:tcPr>
          <w:p w14:paraId="00715826" w14:textId="77777777" w:rsidR="00F668A5" w:rsidRPr="00900E2B" w:rsidRDefault="00F668A5" w:rsidP="00F668A5">
            <w:pPr>
              <w:spacing w:before="40" w:after="120"/>
              <w:ind w:right="113"/>
            </w:pPr>
          </w:p>
        </w:tc>
        <w:tc>
          <w:tcPr>
            <w:tcW w:w="569" w:type="dxa"/>
            <w:shd w:val="clear" w:color="auto" w:fill="auto"/>
          </w:tcPr>
          <w:p w14:paraId="174F4921" w14:textId="77777777" w:rsidR="00F668A5" w:rsidRPr="00900E2B" w:rsidRDefault="00F668A5" w:rsidP="00F668A5">
            <w:pPr>
              <w:spacing w:before="40" w:after="120"/>
              <w:ind w:right="113"/>
            </w:pPr>
          </w:p>
        </w:tc>
        <w:tc>
          <w:tcPr>
            <w:tcW w:w="504" w:type="dxa"/>
            <w:shd w:val="clear" w:color="auto" w:fill="auto"/>
          </w:tcPr>
          <w:p w14:paraId="57B5279E" w14:textId="77777777" w:rsidR="00F668A5" w:rsidRPr="00900E2B" w:rsidRDefault="00F668A5" w:rsidP="00F668A5">
            <w:pPr>
              <w:spacing w:before="40" w:after="120"/>
              <w:ind w:right="113"/>
            </w:pPr>
          </w:p>
        </w:tc>
        <w:tc>
          <w:tcPr>
            <w:tcW w:w="533" w:type="dxa"/>
            <w:shd w:val="clear" w:color="auto" w:fill="auto"/>
          </w:tcPr>
          <w:p w14:paraId="5BBDB951" w14:textId="77777777" w:rsidR="00F668A5" w:rsidRPr="00900E2B" w:rsidRDefault="00F668A5" w:rsidP="00F668A5">
            <w:pPr>
              <w:spacing w:before="40" w:after="120"/>
              <w:ind w:right="113"/>
            </w:pPr>
          </w:p>
        </w:tc>
        <w:tc>
          <w:tcPr>
            <w:tcW w:w="616" w:type="dxa"/>
            <w:shd w:val="clear" w:color="auto" w:fill="auto"/>
          </w:tcPr>
          <w:p w14:paraId="187B4393" w14:textId="77777777" w:rsidR="00F668A5" w:rsidRPr="00900E2B" w:rsidRDefault="00F668A5" w:rsidP="00F668A5">
            <w:pPr>
              <w:spacing w:before="40" w:after="120"/>
              <w:ind w:right="113"/>
            </w:pPr>
          </w:p>
        </w:tc>
        <w:tc>
          <w:tcPr>
            <w:tcW w:w="573" w:type="dxa"/>
            <w:shd w:val="clear" w:color="auto" w:fill="auto"/>
          </w:tcPr>
          <w:p w14:paraId="4BDC2E80" w14:textId="77777777" w:rsidR="00F668A5" w:rsidRPr="00900E2B" w:rsidRDefault="00F668A5" w:rsidP="00F668A5">
            <w:pPr>
              <w:spacing w:before="40" w:after="120"/>
              <w:ind w:right="113"/>
            </w:pPr>
          </w:p>
        </w:tc>
        <w:tc>
          <w:tcPr>
            <w:tcW w:w="538" w:type="dxa"/>
            <w:shd w:val="clear" w:color="auto" w:fill="auto"/>
          </w:tcPr>
          <w:p w14:paraId="58F0C502" w14:textId="0197D408" w:rsidR="00F668A5" w:rsidRPr="00900E2B" w:rsidRDefault="00F668A5" w:rsidP="00F668A5">
            <w:pPr>
              <w:spacing w:before="40" w:after="120"/>
              <w:ind w:right="113"/>
            </w:pPr>
            <w:r w:rsidRPr="00176545">
              <w:t>X</w:t>
            </w:r>
          </w:p>
        </w:tc>
      </w:tr>
      <w:tr w:rsidR="00F668A5" w:rsidRPr="00900E2B" w14:paraId="532F547E" w14:textId="77777777" w:rsidTr="00900E2B">
        <w:tc>
          <w:tcPr>
            <w:tcW w:w="4746" w:type="dxa"/>
            <w:shd w:val="clear" w:color="auto" w:fill="auto"/>
          </w:tcPr>
          <w:p w14:paraId="73C40A73" w14:textId="77777777" w:rsidR="00F668A5" w:rsidRPr="00900E2B" w:rsidRDefault="00F668A5" w:rsidP="00F668A5">
            <w:pPr>
              <w:spacing w:before="40" w:after="120"/>
              <w:ind w:right="113"/>
            </w:pPr>
            <w:r w:rsidRPr="00900E2B">
              <w:rPr>
                <w:lang w:val="fr-FR"/>
              </w:rPr>
              <w:t>Publication par la CEE</w:t>
            </w:r>
          </w:p>
        </w:tc>
        <w:tc>
          <w:tcPr>
            <w:tcW w:w="504" w:type="dxa"/>
            <w:shd w:val="clear" w:color="auto" w:fill="auto"/>
          </w:tcPr>
          <w:p w14:paraId="42D1CD59" w14:textId="77777777" w:rsidR="00F668A5" w:rsidRPr="00900E2B" w:rsidRDefault="00F668A5" w:rsidP="00F668A5">
            <w:pPr>
              <w:spacing w:before="40" w:after="120"/>
              <w:ind w:right="113"/>
            </w:pPr>
          </w:p>
        </w:tc>
        <w:tc>
          <w:tcPr>
            <w:tcW w:w="503" w:type="dxa"/>
            <w:shd w:val="clear" w:color="auto" w:fill="auto"/>
          </w:tcPr>
          <w:p w14:paraId="05BF94A5" w14:textId="77777777" w:rsidR="00F668A5" w:rsidRPr="00900E2B" w:rsidRDefault="00F668A5" w:rsidP="00F668A5">
            <w:pPr>
              <w:spacing w:before="40" w:after="120"/>
              <w:ind w:right="113"/>
            </w:pPr>
          </w:p>
        </w:tc>
        <w:tc>
          <w:tcPr>
            <w:tcW w:w="551" w:type="dxa"/>
            <w:shd w:val="clear" w:color="auto" w:fill="auto"/>
          </w:tcPr>
          <w:p w14:paraId="21B63218" w14:textId="77777777" w:rsidR="00F668A5" w:rsidRPr="00900E2B" w:rsidRDefault="00F668A5" w:rsidP="00F668A5">
            <w:pPr>
              <w:spacing w:before="40" w:after="120"/>
              <w:ind w:right="113"/>
            </w:pPr>
          </w:p>
        </w:tc>
        <w:tc>
          <w:tcPr>
            <w:tcW w:w="569" w:type="dxa"/>
            <w:shd w:val="clear" w:color="auto" w:fill="auto"/>
          </w:tcPr>
          <w:p w14:paraId="65AC8661" w14:textId="77777777" w:rsidR="00F668A5" w:rsidRPr="00900E2B" w:rsidRDefault="00F668A5" w:rsidP="00F668A5">
            <w:pPr>
              <w:spacing w:before="40" w:after="120"/>
              <w:ind w:right="113"/>
            </w:pPr>
          </w:p>
        </w:tc>
        <w:tc>
          <w:tcPr>
            <w:tcW w:w="504" w:type="dxa"/>
            <w:shd w:val="clear" w:color="auto" w:fill="auto"/>
          </w:tcPr>
          <w:p w14:paraId="26AC11E7" w14:textId="77777777" w:rsidR="00F668A5" w:rsidRPr="00900E2B" w:rsidRDefault="00F668A5" w:rsidP="00F668A5">
            <w:pPr>
              <w:spacing w:before="40" w:after="120"/>
              <w:ind w:right="113"/>
            </w:pPr>
          </w:p>
        </w:tc>
        <w:tc>
          <w:tcPr>
            <w:tcW w:w="533" w:type="dxa"/>
            <w:shd w:val="clear" w:color="auto" w:fill="auto"/>
          </w:tcPr>
          <w:p w14:paraId="32379C84" w14:textId="77777777" w:rsidR="00F668A5" w:rsidRPr="00900E2B" w:rsidRDefault="00F668A5" w:rsidP="00F668A5">
            <w:pPr>
              <w:spacing w:before="40" w:after="120"/>
              <w:ind w:right="113"/>
            </w:pPr>
          </w:p>
        </w:tc>
        <w:tc>
          <w:tcPr>
            <w:tcW w:w="616" w:type="dxa"/>
            <w:shd w:val="clear" w:color="auto" w:fill="auto"/>
          </w:tcPr>
          <w:p w14:paraId="1A7C4660" w14:textId="77777777" w:rsidR="00F668A5" w:rsidRPr="00900E2B" w:rsidRDefault="00F668A5" w:rsidP="00F668A5">
            <w:pPr>
              <w:spacing w:before="40" w:after="120"/>
              <w:ind w:right="113"/>
            </w:pPr>
          </w:p>
        </w:tc>
        <w:tc>
          <w:tcPr>
            <w:tcW w:w="573" w:type="dxa"/>
            <w:shd w:val="clear" w:color="auto" w:fill="auto"/>
          </w:tcPr>
          <w:p w14:paraId="2CA4A339" w14:textId="77777777" w:rsidR="00F668A5" w:rsidRPr="00900E2B" w:rsidRDefault="00F668A5" w:rsidP="00F668A5">
            <w:pPr>
              <w:spacing w:before="40" w:after="120"/>
              <w:ind w:right="113"/>
            </w:pPr>
          </w:p>
        </w:tc>
        <w:tc>
          <w:tcPr>
            <w:tcW w:w="538" w:type="dxa"/>
            <w:shd w:val="clear" w:color="auto" w:fill="auto"/>
          </w:tcPr>
          <w:p w14:paraId="43168D16" w14:textId="0319B0BF" w:rsidR="00F668A5" w:rsidRPr="00900E2B" w:rsidRDefault="00F668A5" w:rsidP="00F668A5">
            <w:pPr>
              <w:spacing w:before="40" w:after="120"/>
              <w:ind w:right="113"/>
            </w:pPr>
            <w:r w:rsidRPr="00176545">
              <w:t>X</w:t>
            </w:r>
          </w:p>
        </w:tc>
      </w:tr>
      <w:tr w:rsidR="00F668A5" w:rsidRPr="00900E2B" w14:paraId="58B251C2" w14:textId="77777777" w:rsidTr="00900E2B">
        <w:tc>
          <w:tcPr>
            <w:tcW w:w="4746" w:type="dxa"/>
            <w:shd w:val="clear" w:color="auto" w:fill="auto"/>
          </w:tcPr>
          <w:p w14:paraId="59C934E5" w14:textId="77777777" w:rsidR="00F668A5" w:rsidRPr="00900E2B" w:rsidRDefault="00F668A5" w:rsidP="00F668A5">
            <w:pPr>
              <w:spacing w:before="40" w:after="120"/>
              <w:ind w:right="113"/>
            </w:pPr>
            <w:r w:rsidRPr="00900E2B">
              <w:rPr>
                <w:lang w:val="fr-FR"/>
              </w:rPr>
              <w:t>Gestion et contrôle du projet</w:t>
            </w:r>
          </w:p>
        </w:tc>
        <w:tc>
          <w:tcPr>
            <w:tcW w:w="504" w:type="dxa"/>
            <w:shd w:val="clear" w:color="auto" w:fill="auto"/>
          </w:tcPr>
          <w:p w14:paraId="16FF2E34" w14:textId="5E4505DA" w:rsidR="00F668A5" w:rsidRPr="00900E2B" w:rsidRDefault="00F668A5" w:rsidP="00F668A5">
            <w:pPr>
              <w:spacing w:before="40" w:after="120"/>
              <w:ind w:right="113"/>
            </w:pPr>
            <w:r w:rsidRPr="00D96AAF">
              <w:t>X</w:t>
            </w:r>
          </w:p>
        </w:tc>
        <w:tc>
          <w:tcPr>
            <w:tcW w:w="503" w:type="dxa"/>
            <w:shd w:val="clear" w:color="auto" w:fill="auto"/>
          </w:tcPr>
          <w:p w14:paraId="569C41C7" w14:textId="74143C73" w:rsidR="00F668A5" w:rsidRPr="00900E2B" w:rsidRDefault="00F668A5" w:rsidP="00F668A5">
            <w:pPr>
              <w:spacing w:before="40" w:after="120"/>
              <w:ind w:right="113"/>
            </w:pPr>
            <w:r w:rsidRPr="00D96AAF">
              <w:t>X</w:t>
            </w:r>
          </w:p>
        </w:tc>
        <w:tc>
          <w:tcPr>
            <w:tcW w:w="551" w:type="dxa"/>
            <w:shd w:val="clear" w:color="auto" w:fill="auto"/>
          </w:tcPr>
          <w:p w14:paraId="439454AC" w14:textId="4A52B79A" w:rsidR="00F668A5" w:rsidRPr="00900E2B" w:rsidRDefault="00F668A5" w:rsidP="00F668A5">
            <w:pPr>
              <w:spacing w:before="40" w:after="120"/>
              <w:ind w:right="113"/>
            </w:pPr>
            <w:r w:rsidRPr="00D96AAF">
              <w:t>X</w:t>
            </w:r>
          </w:p>
        </w:tc>
        <w:tc>
          <w:tcPr>
            <w:tcW w:w="569" w:type="dxa"/>
            <w:shd w:val="clear" w:color="auto" w:fill="auto"/>
          </w:tcPr>
          <w:p w14:paraId="2C811B1C" w14:textId="42CE890B" w:rsidR="00F668A5" w:rsidRPr="00900E2B" w:rsidRDefault="00F668A5" w:rsidP="00F668A5">
            <w:pPr>
              <w:spacing w:before="40" w:after="120"/>
              <w:ind w:right="113"/>
            </w:pPr>
            <w:r w:rsidRPr="00D96AAF">
              <w:t>X</w:t>
            </w:r>
          </w:p>
        </w:tc>
        <w:tc>
          <w:tcPr>
            <w:tcW w:w="504" w:type="dxa"/>
            <w:shd w:val="clear" w:color="auto" w:fill="auto"/>
          </w:tcPr>
          <w:p w14:paraId="6FF9C5BB" w14:textId="3C8B3810" w:rsidR="00F668A5" w:rsidRPr="00900E2B" w:rsidRDefault="00F668A5" w:rsidP="00F668A5">
            <w:pPr>
              <w:spacing w:before="40" w:after="120"/>
              <w:ind w:right="113"/>
            </w:pPr>
            <w:r w:rsidRPr="00D96AAF">
              <w:t>X</w:t>
            </w:r>
          </w:p>
        </w:tc>
        <w:tc>
          <w:tcPr>
            <w:tcW w:w="533" w:type="dxa"/>
            <w:shd w:val="clear" w:color="auto" w:fill="auto"/>
          </w:tcPr>
          <w:p w14:paraId="5C23787D" w14:textId="49F632C4" w:rsidR="00F668A5" w:rsidRPr="00900E2B" w:rsidRDefault="00F668A5" w:rsidP="00F668A5">
            <w:pPr>
              <w:spacing w:before="40" w:after="120"/>
              <w:ind w:right="113"/>
            </w:pPr>
            <w:r w:rsidRPr="00D96AAF">
              <w:t>X</w:t>
            </w:r>
          </w:p>
        </w:tc>
        <w:tc>
          <w:tcPr>
            <w:tcW w:w="616" w:type="dxa"/>
            <w:shd w:val="clear" w:color="auto" w:fill="auto"/>
          </w:tcPr>
          <w:p w14:paraId="57D2406E" w14:textId="61998897" w:rsidR="00F668A5" w:rsidRPr="00900E2B" w:rsidRDefault="00F668A5" w:rsidP="00F668A5">
            <w:pPr>
              <w:spacing w:before="40" w:after="120"/>
              <w:ind w:right="113"/>
            </w:pPr>
            <w:r w:rsidRPr="00D96AAF">
              <w:t>X</w:t>
            </w:r>
          </w:p>
        </w:tc>
        <w:tc>
          <w:tcPr>
            <w:tcW w:w="573" w:type="dxa"/>
            <w:shd w:val="clear" w:color="auto" w:fill="auto"/>
          </w:tcPr>
          <w:p w14:paraId="37FEA0D1" w14:textId="2DC17C59" w:rsidR="00F668A5" w:rsidRPr="00900E2B" w:rsidRDefault="00F668A5" w:rsidP="00F668A5">
            <w:pPr>
              <w:spacing w:before="40" w:after="120"/>
              <w:ind w:right="113"/>
            </w:pPr>
            <w:r w:rsidRPr="00D96AAF">
              <w:t>X</w:t>
            </w:r>
          </w:p>
        </w:tc>
        <w:tc>
          <w:tcPr>
            <w:tcW w:w="538" w:type="dxa"/>
            <w:shd w:val="clear" w:color="auto" w:fill="auto"/>
          </w:tcPr>
          <w:p w14:paraId="3E6C3822" w14:textId="1C4202CB" w:rsidR="00F668A5" w:rsidRPr="00900E2B" w:rsidRDefault="00F668A5" w:rsidP="00F668A5">
            <w:pPr>
              <w:spacing w:before="40" w:after="120"/>
              <w:ind w:right="113"/>
            </w:pPr>
            <w:r w:rsidRPr="00D96AAF">
              <w:t>X</w:t>
            </w:r>
          </w:p>
        </w:tc>
      </w:tr>
      <w:tr w:rsidR="00F668A5" w:rsidRPr="00900E2B" w14:paraId="72AA3864" w14:textId="77777777" w:rsidTr="00900E2B">
        <w:tc>
          <w:tcPr>
            <w:tcW w:w="4746" w:type="dxa"/>
            <w:tcBorders>
              <w:bottom w:val="single" w:sz="12" w:space="0" w:color="auto"/>
            </w:tcBorders>
            <w:shd w:val="clear" w:color="auto" w:fill="auto"/>
          </w:tcPr>
          <w:p w14:paraId="4BF75E69" w14:textId="77777777" w:rsidR="00F668A5" w:rsidRPr="00900E2B" w:rsidRDefault="00F668A5" w:rsidP="00F668A5">
            <w:pPr>
              <w:spacing w:before="40" w:after="120"/>
              <w:ind w:right="113"/>
            </w:pPr>
            <w:r w:rsidRPr="00900E2B">
              <w:rPr>
                <w:lang w:val="fr-FR"/>
              </w:rPr>
              <w:t>Activités de renforcement des capacités et de diffusion</w:t>
            </w:r>
          </w:p>
        </w:tc>
        <w:tc>
          <w:tcPr>
            <w:tcW w:w="504" w:type="dxa"/>
            <w:tcBorders>
              <w:bottom w:val="single" w:sz="12" w:space="0" w:color="auto"/>
            </w:tcBorders>
            <w:shd w:val="clear" w:color="auto" w:fill="auto"/>
          </w:tcPr>
          <w:p w14:paraId="6BEDC14D" w14:textId="77777777" w:rsidR="00F668A5" w:rsidRPr="00900E2B" w:rsidRDefault="00F668A5" w:rsidP="00F668A5">
            <w:pPr>
              <w:spacing w:before="40" w:after="120"/>
              <w:ind w:right="113"/>
            </w:pPr>
          </w:p>
        </w:tc>
        <w:tc>
          <w:tcPr>
            <w:tcW w:w="503" w:type="dxa"/>
            <w:tcBorders>
              <w:bottom w:val="single" w:sz="12" w:space="0" w:color="auto"/>
            </w:tcBorders>
            <w:shd w:val="clear" w:color="auto" w:fill="auto"/>
          </w:tcPr>
          <w:p w14:paraId="1B1D9B0A" w14:textId="77777777" w:rsidR="00F668A5" w:rsidRPr="00900E2B" w:rsidRDefault="00F668A5" w:rsidP="00F668A5">
            <w:pPr>
              <w:spacing w:before="40" w:after="120"/>
              <w:ind w:right="113"/>
            </w:pPr>
          </w:p>
        </w:tc>
        <w:tc>
          <w:tcPr>
            <w:tcW w:w="551" w:type="dxa"/>
            <w:tcBorders>
              <w:bottom w:val="single" w:sz="12" w:space="0" w:color="auto"/>
            </w:tcBorders>
            <w:shd w:val="clear" w:color="auto" w:fill="auto"/>
          </w:tcPr>
          <w:p w14:paraId="59D1900B" w14:textId="59F19A53" w:rsidR="00F668A5" w:rsidRPr="00900E2B" w:rsidRDefault="00F668A5" w:rsidP="00F668A5">
            <w:pPr>
              <w:spacing w:before="40" w:after="120"/>
              <w:ind w:right="113"/>
            </w:pPr>
            <w:r w:rsidRPr="006B60DA">
              <w:t>X</w:t>
            </w:r>
          </w:p>
        </w:tc>
        <w:tc>
          <w:tcPr>
            <w:tcW w:w="569" w:type="dxa"/>
            <w:tcBorders>
              <w:bottom w:val="single" w:sz="12" w:space="0" w:color="auto"/>
            </w:tcBorders>
            <w:shd w:val="clear" w:color="auto" w:fill="auto"/>
          </w:tcPr>
          <w:p w14:paraId="578FE5CA" w14:textId="18B04488" w:rsidR="00F668A5" w:rsidRPr="00900E2B" w:rsidRDefault="00F668A5" w:rsidP="00F668A5">
            <w:pPr>
              <w:spacing w:before="40" w:after="120"/>
              <w:ind w:right="113"/>
            </w:pPr>
            <w:r w:rsidRPr="006B60DA">
              <w:t>X</w:t>
            </w:r>
          </w:p>
        </w:tc>
        <w:tc>
          <w:tcPr>
            <w:tcW w:w="504" w:type="dxa"/>
            <w:tcBorders>
              <w:bottom w:val="single" w:sz="12" w:space="0" w:color="auto"/>
            </w:tcBorders>
            <w:shd w:val="clear" w:color="auto" w:fill="auto"/>
          </w:tcPr>
          <w:p w14:paraId="466F5085" w14:textId="23A6EB07" w:rsidR="00F668A5" w:rsidRPr="00900E2B" w:rsidRDefault="00F668A5" w:rsidP="00F668A5">
            <w:pPr>
              <w:spacing w:before="40" w:after="120"/>
              <w:ind w:right="113"/>
            </w:pPr>
            <w:r w:rsidRPr="006B60DA">
              <w:t>X</w:t>
            </w:r>
          </w:p>
        </w:tc>
        <w:tc>
          <w:tcPr>
            <w:tcW w:w="533" w:type="dxa"/>
            <w:tcBorders>
              <w:bottom w:val="single" w:sz="12" w:space="0" w:color="auto"/>
            </w:tcBorders>
            <w:shd w:val="clear" w:color="auto" w:fill="auto"/>
          </w:tcPr>
          <w:p w14:paraId="3770EBDD" w14:textId="0CD11E2D" w:rsidR="00F668A5" w:rsidRPr="00900E2B" w:rsidRDefault="00F668A5" w:rsidP="00F668A5">
            <w:pPr>
              <w:spacing w:before="40" w:after="120"/>
              <w:ind w:right="113"/>
            </w:pPr>
            <w:r w:rsidRPr="006B60DA">
              <w:t>X</w:t>
            </w:r>
          </w:p>
        </w:tc>
        <w:tc>
          <w:tcPr>
            <w:tcW w:w="616" w:type="dxa"/>
            <w:tcBorders>
              <w:bottom w:val="single" w:sz="12" w:space="0" w:color="auto"/>
            </w:tcBorders>
            <w:shd w:val="clear" w:color="auto" w:fill="auto"/>
          </w:tcPr>
          <w:p w14:paraId="02154632" w14:textId="289B53DD" w:rsidR="00F668A5" w:rsidRPr="00900E2B" w:rsidRDefault="00F668A5" w:rsidP="00F668A5">
            <w:pPr>
              <w:spacing w:before="40" w:after="120"/>
              <w:ind w:right="113"/>
            </w:pPr>
            <w:r w:rsidRPr="006B60DA">
              <w:t>X</w:t>
            </w:r>
          </w:p>
        </w:tc>
        <w:tc>
          <w:tcPr>
            <w:tcW w:w="573" w:type="dxa"/>
            <w:tcBorders>
              <w:bottom w:val="single" w:sz="12" w:space="0" w:color="auto"/>
            </w:tcBorders>
            <w:shd w:val="clear" w:color="auto" w:fill="auto"/>
          </w:tcPr>
          <w:p w14:paraId="05329587" w14:textId="43831D57" w:rsidR="00F668A5" w:rsidRPr="00900E2B" w:rsidRDefault="00F668A5" w:rsidP="00F668A5">
            <w:pPr>
              <w:spacing w:before="40" w:after="120"/>
              <w:ind w:right="113"/>
            </w:pPr>
            <w:r w:rsidRPr="006B60DA">
              <w:t>X</w:t>
            </w:r>
          </w:p>
        </w:tc>
        <w:tc>
          <w:tcPr>
            <w:tcW w:w="538" w:type="dxa"/>
            <w:tcBorders>
              <w:bottom w:val="single" w:sz="12" w:space="0" w:color="auto"/>
            </w:tcBorders>
            <w:shd w:val="clear" w:color="auto" w:fill="auto"/>
          </w:tcPr>
          <w:p w14:paraId="009F19B7" w14:textId="3ACBF785" w:rsidR="00F668A5" w:rsidRPr="00900E2B" w:rsidRDefault="00F668A5" w:rsidP="00F668A5">
            <w:pPr>
              <w:spacing w:before="40" w:after="120"/>
              <w:ind w:right="113"/>
            </w:pPr>
            <w:r w:rsidRPr="006B60DA">
              <w:t>X</w:t>
            </w:r>
          </w:p>
        </w:tc>
      </w:tr>
    </w:tbl>
    <w:p w14:paraId="07424ABF" w14:textId="77777777" w:rsidR="009D7A81" w:rsidRPr="00495AE7" w:rsidRDefault="009D7A81" w:rsidP="009D7A81">
      <w:pPr>
        <w:pStyle w:val="HChG"/>
        <w:rPr>
          <w:rFonts w:eastAsia="SimSun"/>
        </w:rPr>
      </w:pPr>
      <w:r w:rsidRPr="00495AE7">
        <w:rPr>
          <w:lang w:val="fr-FR"/>
        </w:rPr>
        <w:tab/>
      </w:r>
      <w:r w:rsidRPr="00495AE7">
        <w:rPr>
          <w:lang w:val="fr-FR"/>
        </w:rPr>
        <w:tab/>
        <w:t>Activités de renforcement des capacités et de diffusion</w:t>
      </w:r>
    </w:p>
    <w:p w14:paraId="153A4799" w14:textId="77777777" w:rsidR="009D7A81" w:rsidRPr="00495AE7" w:rsidRDefault="009D7A81" w:rsidP="009D7A81">
      <w:pPr>
        <w:pStyle w:val="H1G"/>
        <w:rPr>
          <w:rFonts w:eastAsia="SimSun"/>
        </w:rPr>
      </w:pPr>
      <w:r w:rsidRPr="00495AE7">
        <w:rPr>
          <w:lang w:val="fr-FR"/>
        </w:rPr>
        <w:tab/>
      </w:r>
      <w:r w:rsidRPr="00495AE7">
        <w:rPr>
          <w:lang w:val="fr-FR"/>
        </w:rPr>
        <w:tab/>
        <w:t>Activités de renforcement des capacités</w:t>
      </w:r>
    </w:p>
    <w:p w14:paraId="77D9739F" w14:textId="62BBEC05" w:rsidR="009D7A81" w:rsidRPr="00495AE7" w:rsidRDefault="009D7A81" w:rsidP="00301BEC">
      <w:pPr>
        <w:pStyle w:val="SingleTxtG"/>
        <w:keepNext/>
        <w:rPr>
          <w:rFonts w:eastAsia="SimSun"/>
        </w:rPr>
      </w:pPr>
      <w:r w:rsidRPr="00495AE7">
        <w:rPr>
          <w:lang w:val="fr-FR"/>
        </w:rPr>
        <w:t>14.</w:t>
      </w:r>
      <w:r w:rsidRPr="00495AE7">
        <w:rPr>
          <w:lang w:val="fr-FR"/>
        </w:rPr>
        <w:tab/>
        <w:t>On trouvera ci-après une liste des activités de renforcement des capacités</w:t>
      </w:r>
      <w:r>
        <w:rPr>
          <w:lang w:val="fr-FR"/>
        </w:rPr>
        <w:t> :</w:t>
      </w:r>
    </w:p>
    <w:p w14:paraId="6C35A00F" w14:textId="32CF354D" w:rsidR="009D7A81" w:rsidRPr="009D7A81" w:rsidRDefault="009D7A81" w:rsidP="009D7A81">
      <w:pPr>
        <w:pStyle w:val="SingleTxtG"/>
        <w:ind w:firstLine="567"/>
        <w:rPr>
          <w:lang w:val="fr-FR"/>
        </w:rPr>
      </w:pPr>
      <w:r w:rsidRPr="009D7A81">
        <w:rPr>
          <w:lang w:val="fr-FR"/>
        </w:rPr>
        <w:t>a)</w:t>
      </w:r>
      <w:r w:rsidRPr="009D7A81">
        <w:rPr>
          <w:lang w:val="fr-FR"/>
        </w:rPr>
        <w:tab/>
        <w:t>Des ateliers en ligne ou une activité régionale de renforcement des capacités à Genève, organisés parallèlement à la réunion du Comité ;</w:t>
      </w:r>
    </w:p>
    <w:p w14:paraId="604A3EAE" w14:textId="7BA29032" w:rsidR="009D7A81" w:rsidRPr="009D7A81" w:rsidRDefault="009D7A81" w:rsidP="009D7A81">
      <w:pPr>
        <w:pStyle w:val="SingleTxtG"/>
        <w:ind w:firstLine="567"/>
        <w:rPr>
          <w:lang w:val="fr-FR"/>
        </w:rPr>
      </w:pPr>
      <w:r w:rsidRPr="009D7A81">
        <w:rPr>
          <w:lang w:val="fr-FR"/>
        </w:rPr>
        <w:t>b)</w:t>
      </w:r>
      <w:r w:rsidRPr="009D7A81">
        <w:rPr>
          <w:lang w:val="fr-FR"/>
        </w:rPr>
        <w:tab/>
        <w:t xml:space="preserve">Une conférence internationale organisée dans un pays qui se proposera pour l’accueillir ; </w:t>
      </w:r>
    </w:p>
    <w:p w14:paraId="1B539452" w14:textId="03F1755D" w:rsidR="009D7A81" w:rsidRPr="009D7A81" w:rsidRDefault="009D7A81" w:rsidP="009D7A81">
      <w:pPr>
        <w:pStyle w:val="SingleTxtG"/>
        <w:ind w:firstLine="567"/>
        <w:rPr>
          <w:lang w:val="fr-FR"/>
        </w:rPr>
      </w:pPr>
      <w:r w:rsidRPr="009D7A81">
        <w:rPr>
          <w:lang w:val="fr-FR"/>
        </w:rPr>
        <w:t>c)</w:t>
      </w:r>
      <w:r w:rsidRPr="009D7A81">
        <w:rPr>
          <w:lang w:val="fr-FR"/>
        </w:rPr>
        <w:tab/>
        <w:t>Un ou plusieurs ateliers organisés par un ou plusieurs pays qui se proposeront pour les accueillir ;</w:t>
      </w:r>
    </w:p>
    <w:p w14:paraId="706DD1F9" w14:textId="13A66673" w:rsidR="009D7A81" w:rsidRPr="009D7A81" w:rsidRDefault="009D7A81" w:rsidP="009D7A81">
      <w:pPr>
        <w:pStyle w:val="SingleTxtG"/>
        <w:ind w:firstLine="567"/>
        <w:rPr>
          <w:lang w:val="fr-FR"/>
        </w:rPr>
      </w:pPr>
      <w:r w:rsidRPr="009D7A81">
        <w:rPr>
          <w:lang w:val="fr-FR"/>
        </w:rPr>
        <w:t>d)</w:t>
      </w:r>
      <w:r w:rsidRPr="009D7A81">
        <w:rPr>
          <w:lang w:val="fr-FR"/>
        </w:rPr>
        <w:tab/>
        <w:t>Des manifestations organisées conjointement avec d’autres mécanismes régionaux tels que l’Organisation des Nations</w:t>
      </w:r>
      <w:r w:rsidR="001431B2">
        <w:rPr>
          <w:lang w:val="fr-FR"/>
        </w:rPr>
        <w:t> </w:t>
      </w:r>
      <w:r w:rsidRPr="009D7A81">
        <w:rPr>
          <w:lang w:val="fr-FR"/>
        </w:rPr>
        <w:t xml:space="preserve">Unies pour l’éducation, la science et la culture (UNESCO) ou le Réseau Global </w:t>
      </w:r>
      <w:proofErr w:type="spellStart"/>
      <w:r w:rsidRPr="009D7A81">
        <w:rPr>
          <w:lang w:val="fr-FR"/>
        </w:rPr>
        <w:t>Education</w:t>
      </w:r>
      <w:proofErr w:type="spellEnd"/>
      <w:r w:rsidRPr="009D7A81">
        <w:rPr>
          <w:lang w:val="fr-FR"/>
        </w:rPr>
        <w:t xml:space="preserve"> Network Europe ;</w:t>
      </w:r>
    </w:p>
    <w:p w14:paraId="401D2289" w14:textId="66E42138" w:rsidR="009D7A81" w:rsidRPr="009D7A81" w:rsidRDefault="009D7A81" w:rsidP="009D7A81">
      <w:pPr>
        <w:pStyle w:val="SingleTxtG"/>
        <w:ind w:firstLine="567"/>
        <w:rPr>
          <w:lang w:val="fr-FR"/>
        </w:rPr>
      </w:pPr>
      <w:r w:rsidRPr="009D7A81">
        <w:rPr>
          <w:lang w:val="fr-FR"/>
        </w:rPr>
        <w:t>e)</w:t>
      </w:r>
      <w:r w:rsidRPr="009D7A81">
        <w:rPr>
          <w:lang w:val="fr-FR"/>
        </w:rPr>
        <w:tab/>
        <w:t>Des formations au niveau régional et national (en personne et en ligne) pourraient être organisées sur demande. Les membres de l’équipe responsable de la mise au point de la boîte à outils seraient disponibles pour intervenir en tant qu’expert/formateur/coach afin d’appuyer ces processus ;</w:t>
      </w:r>
    </w:p>
    <w:p w14:paraId="38C2BCF5" w14:textId="72797231" w:rsidR="009D7A81" w:rsidRPr="009D7A81" w:rsidRDefault="009D7A81" w:rsidP="009D7A81">
      <w:pPr>
        <w:pStyle w:val="SingleTxtG"/>
        <w:ind w:firstLine="567"/>
        <w:rPr>
          <w:lang w:val="fr-FR"/>
        </w:rPr>
      </w:pPr>
      <w:r w:rsidRPr="009D7A81">
        <w:rPr>
          <w:lang w:val="fr-FR"/>
        </w:rPr>
        <w:t>f)</w:t>
      </w:r>
      <w:r w:rsidRPr="009D7A81">
        <w:rPr>
          <w:lang w:val="fr-FR"/>
        </w:rPr>
        <w:tab/>
        <w:t xml:space="preserve">Une réunion régionale dans la région de la CEE afin de présenter aux différentes parties prenantes des États membres des expériences pratiques de l’utilisation de la boîte à outils ; </w:t>
      </w:r>
    </w:p>
    <w:p w14:paraId="21D7DF05" w14:textId="31A48E4D" w:rsidR="009D7A81" w:rsidRPr="00495AE7" w:rsidRDefault="009D7A81" w:rsidP="009D7A81">
      <w:pPr>
        <w:pStyle w:val="SingleTxtG"/>
        <w:ind w:firstLine="567"/>
        <w:rPr>
          <w:rFonts w:eastAsia="SimSun"/>
        </w:rPr>
      </w:pPr>
      <w:r w:rsidRPr="00495AE7">
        <w:rPr>
          <w:lang w:val="fr-FR"/>
        </w:rPr>
        <w:t>g)</w:t>
      </w:r>
      <w:r w:rsidRPr="00495AE7">
        <w:rPr>
          <w:lang w:val="fr-FR"/>
        </w:rPr>
        <w:tab/>
        <w:t>Des webinaires visant à informer les États membres, les organisations et d</w:t>
      </w:r>
      <w:r>
        <w:rPr>
          <w:lang w:val="fr-FR"/>
        </w:rPr>
        <w:t>’</w:t>
      </w:r>
      <w:r w:rsidRPr="00495AE7">
        <w:rPr>
          <w:lang w:val="fr-FR"/>
        </w:rPr>
        <w:t>autres parties prenantes et à les familiariser avec la boîte à outils.</w:t>
      </w:r>
    </w:p>
    <w:p w14:paraId="71937863" w14:textId="77777777" w:rsidR="009D7A81" w:rsidRPr="00495AE7" w:rsidRDefault="009D7A81" w:rsidP="00667509">
      <w:pPr>
        <w:pStyle w:val="HChG"/>
        <w:rPr>
          <w:rFonts w:eastAsia="SimSun"/>
        </w:rPr>
      </w:pPr>
      <w:r w:rsidRPr="00495AE7">
        <w:rPr>
          <w:lang w:val="fr-FR"/>
        </w:rPr>
        <w:lastRenderedPageBreak/>
        <w:tab/>
      </w:r>
      <w:r w:rsidRPr="00495AE7">
        <w:rPr>
          <w:lang w:val="fr-FR"/>
        </w:rPr>
        <w:tab/>
        <w:t xml:space="preserve">Activités de diffusion </w:t>
      </w:r>
    </w:p>
    <w:p w14:paraId="417E694C" w14:textId="2B3D9C40" w:rsidR="009D7A81" w:rsidRPr="00495AE7" w:rsidRDefault="009D7A81" w:rsidP="009D7A81">
      <w:pPr>
        <w:pStyle w:val="SingleTxtG"/>
        <w:rPr>
          <w:rFonts w:eastAsia="SimSun"/>
          <w:b/>
          <w:bCs/>
        </w:rPr>
      </w:pPr>
      <w:r w:rsidRPr="00495AE7">
        <w:rPr>
          <w:lang w:val="fr-FR"/>
        </w:rPr>
        <w:t>15.</w:t>
      </w:r>
      <w:r w:rsidRPr="00495AE7">
        <w:rPr>
          <w:lang w:val="fr-FR"/>
        </w:rPr>
        <w:tab/>
        <w:t>Tout au long des années</w:t>
      </w:r>
      <w:r w:rsidR="001431B2">
        <w:rPr>
          <w:lang w:val="fr-FR"/>
        </w:rPr>
        <w:t xml:space="preserve"> </w:t>
      </w:r>
      <w:r w:rsidRPr="00495AE7">
        <w:rPr>
          <w:lang w:val="fr-FR"/>
        </w:rPr>
        <w:t xml:space="preserve">2024, 2025 et 2026, </w:t>
      </w:r>
      <w:r>
        <w:rPr>
          <w:lang w:val="fr-FR"/>
        </w:rPr>
        <w:t xml:space="preserve">des informations sur l’état d’avancement de </w:t>
      </w:r>
      <w:r w:rsidRPr="00495AE7">
        <w:rPr>
          <w:lang w:val="fr-FR"/>
        </w:rPr>
        <w:t>l</w:t>
      </w:r>
      <w:r>
        <w:rPr>
          <w:lang w:val="fr-FR"/>
        </w:rPr>
        <w:t>’</w:t>
      </w:r>
      <w:r w:rsidRPr="00495AE7">
        <w:rPr>
          <w:lang w:val="fr-FR"/>
        </w:rPr>
        <w:t xml:space="preserve">élaboration du </w:t>
      </w:r>
      <w:r w:rsidR="001431B2">
        <w:rPr>
          <w:lang w:val="fr-FR"/>
        </w:rPr>
        <w:t>C</w:t>
      </w:r>
      <w:r w:rsidRPr="00495AE7">
        <w:rPr>
          <w:lang w:val="fr-FR"/>
        </w:rPr>
        <w:t xml:space="preserve">adre stratégique </w:t>
      </w:r>
      <w:r>
        <w:rPr>
          <w:lang w:val="fr-FR"/>
        </w:rPr>
        <w:t>relatif à</w:t>
      </w:r>
      <w:r w:rsidRPr="00495AE7">
        <w:rPr>
          <w:lang w:val="fr-FR"/>
        </w:rPr>
        <w:t xml:space="preserve"> l</w:t>
      </w:r>
      <w:r>
        <w:rPr>
          <w:lang w:val="fr-FR"/>
        </w:rPr>
        <w:t>’</w:t>
      </w:r>
      <w:r w:rsidRPr="00495AE7">
        <w:rPr>
          <w:lang w:val="fr-FR"/>
        </w:rPr>
        <w:t xml:space="preserve">approche </w:t>
      </w:r>
      <w:proofErr w:type="spellStart"/>
      <w:r w:rsidRPr="00495AE7">
        <w:rPr>
          <w:lang w:val="fr-FR"/>
        </w:rPr>
        <w:t>paninstitutionnelle</w:t>
      </w:r>
      <w:proofErr w:type="spellEnd"/>
      <w:r w:rsidRPr="00495AE7">
        <w:rPr>
          <w:lang w:val="fr-FR"/>
        </w:rPr>
        <w:t xml:space="preserve"> et </w:t>
      </w:r>
      <w:r>
        <w:rPr>
          <w:lang w:val="fr-FR"/>
        </w:rPr>
        <w:t xml:space="preserve">à </w:t>
      </w:r>
      <w:r w:rsidRPr="00495AE7">
        <w:rPr>
          <w:lang w:val="fr-FR"/>
        </w:rPr>
        <w:t>l</w:t>
      </w:r>
      <w:r>
        <w:rPr>
          <w:lang w:val="fr-FR"/>
        </w:rPr>
        <w:t>’</w:t>
      </w:r>
      <w:r w:rsidRPr="00495AE7">
        <w:rPr>
          <w:lang w:val="fr-FR"/>
        </w:rPr>
        <w:t xml:space="preserve">éducation </w:t>
      </w:r>
      <w:r>
        <w:rPr>
          <w:lang w:val="fr-FR"/>
        </w:rPr>
        <w:t>en vue</w:t>
      </w:r>
      <w:r w:rsidRPr="00495AE7">
        <w:rPr>
          <w:lang w:val="fr-FR"/>
        </w:rPr>
        <w:t xml:space="preserve"> du développement durable et de ses produits seront communiqué</w:t>
      </w:r>
      <w:r>
        <w:rPr>
          <w:lang w:val="fr-FR"/>
        </w:rPr>
        <w:t>e</w:t>
      </w:r>
      <w:r w:rsidRPr="00495AE7">
        <w:rPr>
          <w:lang w:val="fr-FR"/>
        </w:rPr>
        <w:t>s par l</w:t>
      </w:r>
      <w:r>
        <w:rPr>
          <w:lang w:val="fr-FR"/>
        </w:rPr>
        <w:t>’</w:t>
      </w:r>
      <w:r w:rsidRPr="00495AE7">
        <w:rPr>
          <w:lang w:val="fr-FR"/>
        </w:rPr>
        <w:t xml:space="preserve">intermédiaire des </w:t>
      </w:r>
      <w:proofErr w:type="spellStart"/>
      <w:r w:rsidRPr="00495AE7">
        <w:rPr>
          <w:lang w:val="fr-FR"/>
        </w:rPr>
        <w:t>médias</w:t>
      </w:r>
      <w:proofErr w:type="spellEnd"/>
      <w:r w:rsidRPr="00495AE7">
        <w:rPr>
          <w:lang w:val="fr-FR"/>
        </w:rPr>
        <w:t xml:space="preserve"> sociaux et des principaux sites </w:t>
      </w:r>
      <w:r>
        <w:rPr>
          <w:lang w:val="fr-FR"/>
        </w:rPr>
        <w:t>W</w:t>
      </w:r>
      <w:r w:rsidRPr="00495AE7">
        <w:rPr>
          <w:lang w:val="fr-FR"/>
        </w:rPr>
        <w:t xml:space="preserve">eb, </w:t>
      </w:r>
      <w:r>
        <w:rPr>
          <w:lang w:val="fr-FR"/>
        </w:rPr>
        <w:t xml:space="preserve">et lors </w:t>
      </w:r>
      <w:r w:rsidRPr="00495AE7">
        <w:rPr>
          <w:lang w:val="fr-FR"/>
        </w:rPr>
        <w:t xml:space="preserve">des manifestations régionales et des conférences. </w:t>
      </w:r>
    </w:p>
    <w:p w14:paraId="299A61DA" w14:textId="77777777" w:rsidR="009D7A81" w:rsidRPr="00495AE7" w:rsidRDefault="009D7A81" w:rsidP="00301BEC">
      <w:pPr>
        <w:pStyle w:val="HChG"/>
        <w:rPr>
          <w:rFonts w:eastAsia="SimSun"/>
        </w:rPr>
      </w:pPr>
      <w:r w:rsidRPr="00495AE7">
        <w:rPr>
          <w:lang w:val="fr-FR"/>
        </w:rPr>
        <w:tab/>
      </w:r>
      <w:r w:rsidRPr="00495AE7">
        <w:rPr>
          <w:lang w:val="fr-FR"/>
        </w:rPr>
        <w:tab/>
        <w:t>Pays soutenant l</w:t>
      </w:r>
      <w:r>
        <w:rPr>
          <w:lang w:val="fr-FR"/>
        </w:rPr>
        <w:t>’</w:t>
      </w:r>
      <w:r w:rsidRPr="00495AE7">
        <w:rPr>
          <w:lang w:val="fr-FR"/>
        </w:rPr>
        <w:t xml:space="preserve">initiative </w:t>
      </w:r>
    </w:p>
    <w:p w14:paraId="01B1F141" w14:textId="16B77900" w:rsidR="00446FE5" w:rsidRDefault="009D7A81" w:rsidP="009D7A81">
      <w:pPr>
        <w:pStyle w:val="SingleTxtG"/>
        <w:rPr>
          <w:lang w:val="fr-FR"/>
        </w:rPr>
      </w:pPr>
      <w:r w:rsidRPr="00495AE7">
        <w:rPr>
          <w:lang w:val="fr-FR"/>
        </w:rPr>
        <w:t>16.</w:t>
      </w:r>
      <w:r w:rsidRPr="00495AE7">
        <w:rPr>
          <w:lang w:val="fr-FR"/>
        </w:rPr>
        <w:tab/>
        <w:t>Chypre et le</w:t>
      </w:r>
      <w:r>
        <w:rPr>
          <w:lang w:val="fr-FR"/>
        </w:rPr>
        <w:t xml:space="preserve"> Royaume de</w:t>
      </w:r>
      <w:r w:rsidRPr="00495AE7">
        <w:rPr>
          <w:lang w:val="fr-FR"/>
        </w:rPr>
        <w:t>s Pays</w:t>
      </w:r>
      <w:r w:rsidR="001431B2">
        <w:rPr>
          <w:lang w:val="fr-FR"/>
        </w:rPr>
        <w:noBreakHyphen/>
      </w:r>
      <w:r w:rsidRPr="00495AE7">
        <w:rPr>
          <w:lang w:val="fr-FR"/>
        </w:rPr>
        <w:t>Bas sont les pays chefs de file de ce projet. Ces deux États membres soutiennent actuellement la mise au point de la boîte à outils par des contributions financières et en nature.</w:t>
      </w:r>
    </w:p>
    <w:p w14:paraId="3EC3B299" w14:textId="74A763B5" w:rsidR="009D7A81" w:rsidRPr="009D7A81" w:rsidRDefault="009D7A81" w:rsidP="009D7A81">
      <w:pPr>
        <w:pStyle w:val="SingleTxtG"/>
        <w:spacing w:before="240" w:after="0"/>
        <w:jc w:val="center"/>
        <w:rPr>
          <w:u w:val="single"/>
        </w:rPr>
      </w:pPr>
      <w:r>
        <w:rPr>
          <w:u w:val="single"/>
        </w:rPr>
        <w:tab/>
      </w:r>
      <w:r>
        <w:rPr>
          <w:u w:val="single"/>
        </w:rPr>
        <w:tab/>
      </w:r>
      <w:r>
        <w:rPr>
          <w:u w:val="single"/>
        </w:rPr>
        <w:tab/>
      </w:r>
    </w:p>
    <w:sectPr w:rsidR="009D7A81" w:rsidRPr="009D7A81" w:rsidSect="009D7A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81267" w14:textId="77777777" w:rsidR="0051727B" w:rsidRDefault="0051727B" w:rsidP="00F95C08">
      <w:pPr>
        <w:spacing w:line="240" w:lineRule="auto"/>
      </w:pPr>
    </w:p>
  </w:endnote>
  <w:endnote w:type="continuationSeparator" w:id="0">
    <w:p w14:paraId="0AF1C84F" w14:textId="77777777" w:rsidR="0051727B" w:rsidRPr="00AC3823" w:rsidRDefault="0051727B" w:rsidP="00AC3823">
      <w:pPr>
        <w:pStyle w:val="Pieddepage"/>
      </w:pPr>
    </w:p>
  </w:endnote>
  <w:endnote w:type="continuationNotice" w:id="1">
    <w:p w14:paraId="66FDA545" w14:textId="77777777" w:rsidR="0051727B" w:rsidRDefault="005172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162A6" w14:textId="6B89ADDF" w:rsidR="009D7A81" w:rsidRPr="009D7A81" w:rsidRDefault="009D7A81" w:rsidP="009D7A81">
    <w:pPr>
      <w:pStyle w:val="Pieddepage"/>
      <w:tabs>
        <w:tab w:val="right" w:pos="9638"/>
      </w:tabs>
    </w:pPr>
    <w:r w:rsidRPr="009D7A81">
      <w:rPr>
        <w:b/>
        <w:sz w:val="18"/>
      </w:rPr>
      <w:fldChar w:fldCharType="begin"/>
    </w:r>
    <w:r w:rsidRPr="009D7A81">
      <w:rPr>
        <w:b/>
        <w:sz w:val="18"/>
      </w:rPr>
      <w:instrText xml:space="preserve"> PAGE  \* MERGEFORMAT </w:instrText>
    </w:r>
    <w:r w:rsidRPr="009D7A81">
      <w:rPr>
        <w:b/>
        <w:sz w:val="18"/>
      </w:rPr>
      <w:fldChar w:fldCharType="separate"/>
    </w:r>
    <w:r w:rsidRPr="009D7A81">
      <w:rPr>
        <w:b/>
        <w:noProof/>
        <w:sz w:val="18"/>
      </w:rPr>
      <w:t>2</w:t>
    </w:r>
    <w:r w:rsidRPr="009D7A81">
      <w:rPr>
        <w:b/>
        <w:sz w:val="18"/>
      </w:rPr>
      <w:fldChar w:fldCharType="end"/>
    </w:r>
    <w:r>
      <w:rPr>
        <w:b/>
        <w:sz w:val="18"/>
      </w:rPr>
      <w:tab/>
    </w:r>
    <w:r>
      <w:t>GE.24-05349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9FAD" w14:textId="4C2D8488" w:rsidR="009D7A81" w:rsidRPr="009D7A81" w:rsidRDefault="009D7A81" w:rsidP="009D7A81">
    <w:pPr>
      <w:pStyle w:val="Pieddepage"/>
      <w:tabs>
        <w:tab w:val="right" w:pos="9638"/>
      </w:tabs>
      <w:rPr>
        <w:b/>
        <w:sz w:val="18"/>
      </w:rPr>
    </w:pPr>
    <w:r>
      <w:t>GE.24-05349</w:t>
    </w:r>
    <w:r>
      <w:tab/>
    </w:r>
    <w:r w:rsidRPr="009D7A81">
      <w:rPr>
        <w:b/>
        <w:sz w:val="18"/>
      </w:rPr>
      <w:fldChar w:fldCharType="begin"/>
    </w:r>
    <w:r w:rsidRPr="009D7A81">
      <w:rPr>
        <w:b/>
        <w:sz w:val="18"/>
      </w:rPr>
      <w:instrText xml:space="preserve"> PAGE  \* MERGEFORMAT </w:instrText>
    </w:r>
    <w:r w:rsidRPr="009D7A81">
      <w:rPr>
        <w:b/>
        <w:sz w:val="18"/>
      </w:rPr>
      <w:fldChar w:fldCharType="separate"/>
    </w:r>
    <w:r w:rsidRPr="009D7A81">
      <w:rPr>
        <w:b/>
        <w:noProof/>
        <w:sz w:val="18"/>
      </w:rPr>
      <w:t>3</w:t>
    </w:r>
    <w:r w:rsidRPr="009D7A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1FCB6" w14:textId="5818B7E5" w:rsidR="000D3EE9" w:rsidRPr="009D7A81" w:rsidRDefault="009D7A81" w:rsidP="009D7A81">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1BFF0893" wp14:editId="3A323099">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24-05349  (F)</w:t>
    </w:r>
    <w:r>
      <w:rPr>
        <w:noProof/>
        <w:sz w:val="20"/>
      </w:rPr>
      <w:drawing>
        <wp:anchor distT="0" distB="0" distL="114300" distR="114300" simplePos="0" relativeHeight="251660288" behindDoc="0" locked="0" layoutInCell="1" allowOverlap="1" wp14:anchorId="4651D811" wp14:editId="5F404F63">
          <wp:simplePos x="0" y="0"/>
          <wp:positionH relativeFrom="margin">
            <wp:posOffset>5489575</wp:posOffset>
          </wp:positionH>
          <wp:positionV relativeFrom="margin">
            <wp:posOffset>8891905</wp:posOffset>
          </wp:positionV>
          <wp:extent cx="628650" cy="628650"/>
          <wp:effectExtent l="0" t="0" r="0" b="0"/>
          <wp:wrapNone/>
          <wp:docPr id="9977876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CF8">
      <w:rPr>
        <w:sz w:val="20"/>
      </w:rPr>
      <w:t xml:space="preserve">    030424    040424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88FB3" w14:textId="77777777" w:rsidR="0051727B" w:rsidRPr="00AC3823" w:rsidRDefault="0051727B" w:rsidP="00AC3823">
      <w:pPr>
        <w:pStyle w:val="Pieddepage"/>
        <w:tabs>
          <w:tab w:val="right" w:pos="2155"/>
        </w:tabs>
        <w:spacing w:after="80" w:line="240" w:lineRule="atLeast"/>
        <w:ind w:left="680"/>
        <w:rPr>
          <w:u w:val="single"/>
        </w:rPr>
      </w:pPr>
      <w:r>
        <w:rPr>
          <w:u w:val="single"/>
        </w:rPr>
        <w:tab/>
      </w:r>
    </w:p>
  </w:footnote>
  <w:footnote w:type="continuationSeparator" w:id="0">
    <w:p w14:paraId="04D5D207" w14:textId="77777777" w:rsidR="0051727B" w:rsidRPr="00AC3823" w:rsidRDefault="0051727B" w:rsidP="00AC3823">
      <w:pPr>
        <w:pStyle w:val="Pieddepage"/>
        <w:tabs>
          <w:tab w:val="right" w:pos="2155"/>
        </w:tabs>
        <w:spacing w:after="80" w:line="240" w:lineRule="atLeast"/>
        <w:ind w:left="680"/>
        <w:rPr>
          <w:u w:val="single"/>
        </w:rPr>
      </w:pPr>
      <w:r>
        <w:rPr>
          <w:u w:val="single"/>
        </w:rPr>
        <w:tab/>
      </w:r>
    </w:p>
  </w:footnote>
  <w:footnote w:type="continuationNotice" w:id="1">
    <w:p w14:paraId="4CA0F435" w14:textId="77777777" w:rsidR="0051727B" w:rsidRPr="00AC3823" w:rsidRDefault="0051727B">
      <w:pPr>
        <w:spacing w:line="240" w:lineRule="auto"/>
        <w:rPr>
          <w:sz w:val="2"/>
          <w:szCs w:val="2"/>
        </w:rPr>
      </w:pPr>
    </w:p>
  </w:footnote>
  <w:footnote w:id="2">
    <w:p w14:paraId="3B54710B" w14:textId="56C4482D" w:rsidR="009D7A81" w:rsidRPr="00736E69" w:rsidRDefault="009D7A81" w:rsidP="009D7A81">
      <w:pPr>
        <w:pStyle w:val="Notedebasdepage"/>
      </w:pPr>
      <w:r>
        <w:rPr>
          <w:lang w:val="fr-FR"/>
        </w:rPr>
        <w:tab/>
      </w:r>
      <w:r w:rsidRPr="00415C9C">
        <w:rPr>
          <w:rStyle w:val="Appelnotedebasdep"/>
        </w:rPr>
        <w:footnoteRef/>
      </w:r>
      <w:r>
        <w:rPr>
          <w:lang w:val="fr-FR"/>
        </w:rPr>
        <w:tab/>
        <w:t>CEP/AC.13/2005/3/Rev.1, par.</w:t>
      </w:r>
      <w:r w:rsidR="00E7512C">
        <w:rPr>
          <w:lang w:val="fr-FR"/>
        </w:rPr>
        <w:t> </w:t>
      </w:r>
      <w:r>
        <w:rPr>
          <w:lang w:val="fr-FR"/>
        </w:rPr>
        <w:t>7</w:t>
      </w:r>
      <w:r w:rsidR="00E7512C">
        <w:rPr>
          <w:lang w:val="fr-FR"/>
        </w:rPr>
        <w:t> </w:t>
      </w:r>
      <w:r>
        <w:rPr>
          <w:lang w:val="fr-FR"/>
        </w:rPr>
        <w:t xml:space="preserve">d). </w:t>
      </w:r>
    </w:p>
  </w:footnote>
  <w:footnote w:id="3">
    <w:p w14:paraId="31817E3A" w14:textId="06EE3F7D" w:rsidR="009D7A81" w:rsidRPr="00736E69" w:rsidRDefault="009D7A81" w:rsidP="009D7A81">
      <w:pPr>
        <w:pStyle w:val="Notedebasdepage"/>
      </w:pPr>
      <w:r>
        <w:rPr>
          <w:lang w:val="fr-FR"/>
        </w:rPr>
        <w:tab/>
      </w:r>
      <w:r w:rsidRPr="00415C9C">
        <w:rPr>
          <w:rStyle w:val="Appelnotedebasdep"/>
        </w:rPr>
        <w:footnoteRef/>
      </w:r>
      <w:r w:rsidRPr="00E7512C">
        <w:rPr>
          <w:spacing w:val="-2"/>
          <w:lang w:val="fr-FR"/>
        </w:rPr>
        <w:tab/>
      </w:r>
      <w:r w:rsidRPr="00E7512C">
        <w:rPr>
          <w:i/>
          <w:iCs/>
          <w:spacing w:val="-2"/>
          <w:lang w:val="fr-FR"/>
        </w:rPr>
        <w:t xml:space="preserve">Learning </w:t>
      </w:r>
      <w:proofErr w:type="spellStart"/>
      <w:r w:rsidRPr="00E7512C">
        <w:rPr>
          <w:i/>
          <w:iCs/>
          <w:spacing w:val="-2"/>
          <w:lang w:val="fr-FR"/>
        </w:rPr>
        <w:t>from</w:t>
      </w:r>
      <w:proofErr w:type="spellEnd"/>
      <w:r w:rsidRPr="00E7512C">
        <w:rPr>
          <w:i/>
          <w:iCs/>
          <w:spacing w:val="-2"/>
          <w:lang w:val="fr-FR"/>
        </w:rPr>
        <w:t xml:space="preserve"> </w:t>
      </w:r>
      <w:proofErr w:type="spellStart"/>
      <w:r w:rsidRPr="00E7512C">
        <w:rPr>
          <w:i/>
          <w:iCs/>
          <w:spacing w:val="-2"/>
          <w:lang w:val="fr-FR"/>
        </w:rPr>
        <w:t>Each</w:t>
      </w:r>
      <w:proofErr w:type="spellEnd"/>
      <w:r w:rsidRPr="00E7512C">
        <w:rPr>
          <w:i/>
          <w:iCs/>
          <w:spacing w:val="-2"/>
          <w:lang w:val="fr-FR"/>
        </w:rPr>
        <w:t xml:space="preserve"> </w:t>
      </w:r>
      <w:proofErr w:type="spellStart"/>
      <w:r w:rsidRPr="00E7512C">
        <w:rPr>
          <w:i/>
          <w:iCs/>
          <w:spacing w:val="-2"/>
          <w:lang w:val="fr-FR"/>
        </w:rPr>
        <w:t>Other</w:t>
      </w:r>
      <w:proofErr w:type="spellEnd"/>
      <w:r w:rsidRPr="00E7512C">
        <w:rPr>
          <w:i/>
          <w:iCs/>
          <w:spacing w:val="-2"/>
          <w:lang w:val="fr-FR"/>
        </w:rPr>
        <w:t xml:space="preserve">: The United Nations </w:t>
      </w:r>
      <w:proofErr w:type="spellStart"/>
      <w:r w:rsidRPr="00E7512C">
        <w:rPr>
          <w:i/>
          <w:iCs/>
          <w:spacing w:val="-2"/>
          <w:lang w:val="fr-FR"/>
        </w:rPr>
        <w:t>Economic</w:t>
      </w:r>
      <w:proofErr w:type="spellEnd"/>
      <w:r w:rsidRPr="00E7512C">
        <w:rPr>
          <w:i/>
          <w:iCs/>
          <w:spacing w:val="-2"/>
          <w:lang w:val="fr-FR"/>
        </w:rPr>
        <w:t xml:space="preserve"> Commission for Europe </w:t>
      </w:r>
      <w:proofErr w:type="spellStart"/>
      <w:r w:rsidRPr="00E7512C">
        <w:rPr>
          <w:i/>
          <w:iCs/>
          <w:spacing w:val="-2"/>
          <w:lang w:val="fr-FR"/>
        </w:rPr>
        <w:t>Strategy</w:t>
      </w:r>
      <w:proofErr w:type="spellEnd"/>
      <w:r w:rsidRPr="00E7512C">
        <w:rPr>
          <w:i/>
          <w:iCs/>
          <w:spacing w:val="-2"/>
          <w:lang w:val="fr-FR"/>
        </w:rPr>
        <w:t xml:space="preserve"> for </w:t>
      </w:r>
      <w:proofErr w:type="spellStart"/>
      <w:r w:rsidRPr="00E7512C">
        <w:rPr>
          <w:i/>
          <w:iCs/>
          <w:spacing w:val="-2"/>
          <w:lang w:val="fr-FR"/>
        </w:rPr>
        <w:t>Education</w:t>
      </w:r>
      <w:proofErr w:type="spellEnd"/>
      <w:r w:rsidRPr="00E7512C">
        <w:rPr>
          <w:i/>
          <w:iCs/>
          <w:spacing w:val="-2"/>
          <w:lang w:val="fr-FR"/>
        </w:rPr>
        <w:t xml:space="preserve"> for </w:t>
      </w:r>
      <w:proofErr w:type="spellStart"/>
      <w:r w:rsidRPr="00E7512C">
        <w:rPr>
          <w:i/>
          <w:iCs/>
          <w:spacing w:val="-2"/>
          <w:lang w:val="fr-FR"/>
        </w:rPr>
        <w:t>Sustainable</w:t>
      </w:r>
      <w:proofErr w:type="spellEnd"/>
      <w:r w:rsidRPr="00E7512C">
        <w:rPr>
          <w:i/>
          <w:iCs/>
          <w:spacing w:val="-2"/>
          <w:lang w:val="fr-FR"/>
        </w:rPr>
        <w:t xml:space="preserve"> </w:t>
      </w:r>
      <w:proofErr w:type="spellStart"/>
      <w:r w:rsidRPr="00E7512C">
        <w:rPr>
          <w:i/>
          <w:iCs/>
          <w:spacing w:val="-2"/>
          <w:lang w:val="fr-FR"/>
        </w:rPr>
        <w:t>Development</w:t>
      </w:r>
      <w:proofErr w:type="spellEnd"/>
      <w:r w:rsidRPr="00E7512C">
        <w:rPr>
          <w:spacing w:val="-2"/>
          <w:lang w:val="fr-FR"/>
        </w:rPr>
        <w:t xml:space="preserve"> (Apprendre les uns des autres</w:t>
      </w:r>
      <w:r w:rsidR="00E7512C" w:rsidRPr="00E7512C">
        <w:rPr>
          <w:spacing w:val="-2"/>
          <w:lang w:val="fr-FR"/>
        </w:rPr>
        <w:t> </w:t>
      </w:r>
      <w:r w:rsidRPr="00E7512C">
        <w:rPr>
          <w:spacing w:val="-2"/>
          <w:lang w:val="fr-FR"/>
        </w:rPr>
        <w:t>: la Stratégie pour l</w:t>
      </w:r>
      <w:r w:rsidR="00BD6EEA">
        <w:rPr>
          <w:spacing w:val="-2"/>
          <w:lang w:val="fr-FR"/>
        </w:rPr>
        <w:t>’</w:t>
      </w:r>
      <w:r w:rsidRPr="00E7512C">
        <w:rPr>
          <w:spacing w:val="-2"/>
          <w:lang w:val="fr-FR"/>
        </w:rPr>
        <w:t>éducation en vue du développement durable de la Commission économique pour l</w:t>
      </w:r>
      <w:r w:rsidR="00BD6EEA">
        <w:rPr>
          <w:spacing w:val="-2"/>
          <w:lang w:val="fr-FR"/>
        </w:rPr>
        <w:t>’</w:t>
      </w:r>
      <w:r w:rsidRPr="00E7512C">
        <w:rPr>
          <w:spacing w:val="-2"/>
          <w:lang w:val="fr-FR"/>
        </w:rPr>
        <w:t>Europe) (ECE/CEP/159), par.</w:t>
      </w:r>
      <w:r w:rsidR="00E7512C" w:rsidRPr="00E7512C">
        <w:rPr>
          <w:spacing w:val="-2"/>
          <w:lang w:val="fr-FR"/>
        </w:rPr>
        <w:t> </w:t>
      </w:r>
      <w:r w:rsidRPr="00E7512C">
        <w:rPr>
          <w:spacing w:val="-2"/>
          <w:lang w:val="fr-FR"/>
        </w:rPr>
        <w:t>56.</w:t>
      </w:r>
    </w:p>
  </w:footnote>
  <w:footnote w:id="4">
    <w:p w14:paraId="4FD438A2" w14:textId="2394C629" w:rsidR="009D7A81" w:rsidRPr="00736E69" w:rsidRDefault="009D7A81" w:rsidP="009D7A81">
      <w:pPr>
        <w:pStyle w:val="Notedebasdepage"/>
      </w:pPr>
      <w:r>
        <w:rPr>
          <w:lang w:val="fr-FR"/>
        </w:rPr>
        <w:tab/>
      </w:r>
      <w:r w:rsidRPr="00415C9C">
        <w:rPr>
          <w:rStyle w:val="Appelnotedebasdep"/>
        </w:rPr>
        <w:footnoteRef/>
      </w:r>
      <w:bookmarkStart w:id="1" w:name="_Hlk161659387"/>
      <w:r>
        <w:rPr>
          <w:lang w:val="fr-FR"/>
        </w:rPr>
        <w:tab/>
        <w:t>ECE/CEP/AC.13/2022/3, par.</w:t>
      </w:r>
      <w:r w:rsidR="00E7512C">
        <w:rPr>
          <w:lang w:val="fr-FR"/>
        </w:rPr>
        <w:t> </w:t>
      </w:r>
      <w:r>
        <w:rPr>
          <w:lang w:val="fr-FR"/>
        </w:rPr>
        <w:t xml:space="preserve">56. </w:t>
      </w:r>
      <w:bookmarkEnd w:id="1"/>
    </w:p>
  </w:footnote>
  <w:footnote w:id="5">
    <w:p w14:paraId="1B8D7638" w14:textId="67057241" w:rsidR="009D7A81" w:rsidRPr="00736E69" w:rsidRDefault="009D7A81" w:rsidP="009D7A81">
      <w:pPr>
        <w:pStyle w:val="Notedebasdepage"/>
      </w:pPr>
      <w:r>
        <w:rPr>
          <w:lang w:val="fr-FR"/>
        </w:rPr>
        <w:tab/>
      </w:r>
      <w:r w:rsidRPr="00415C9C">
        <w:rPr>
          <w:rStyle w:val="Appelnotedebasdep"/>
        </w:rPr>
        <w:footnoteRef/>
      </w:r>
      <w:r>
        <w:rPr>
          <w:lang w:val="fr-FR"/>
        </w:rPr>
        <w:tab/>
        <w:t>Ibid., par.</w:t>
      </w:r>
      <w:r w:rsidR="00BD6EEA">
        <w:rPr>
          <w:lang w:val="fr-FR"/>
        </w:rPr>
        <w:t> </w:t>
      </w:r>
      <w:r>
        <w:rPr>
          <w:lang w:val="fr-FR"/>
        </w:rPr>
        <w:t>55 à 56.</w:t>
      </w:r>
    </w:p>
  </w:footnote>
  <w:footnote w:id="6">
    <w:p w14:paraId="1CFD143E" w14:textId="5119F474" w:rsidR="009D7A81" w:rsidRPr="00415C9C" w:rsidRDefault="009D7A81" w:rsidP="009D7A81">
      <w:pPr>
        <w:pStyle w:val="Notedebasdepage"/>
        <w:rPr>
          <w:lang w:val="en-US"/>
        </w:rPr>
      </w:pPr>
      <w:r>
        <w:rPr>
          <w:lang w:val="fr-FR"/>
        </w:rPr>
        <w:tab/>
      </w:r>
      <w:r w:rsidRPr="00415C9C">
        <w:rPr>
          <w:rStyle w:val="Appelnotedebasdep"/>
        </w:rPr>
        <w:footnoteRef/>
      </w:r>
      <w:r w:rsidRPr="00736E69">
        <w:rPr>
          <w:lang w:val="en-US"/>
        </w:rPr>
        <w:tab/>
      </w:r>
      <w:r w:rsidRPr="00736E69">
        <w:rPr>
          <w:i/>
          <w:iCs/>
          <w:lang w:val="en-US"/>
        </w:rPr>
        <w:t xml:space="preserve">Learning for the Future: Competences in Education for Sustainable Development </w:t>
      </w:r>
      <w:r w:rsidRPr="00736E69">
        <w:rPr>
          <w:lang w:val="en-US"/>
        </w:rPr>
        <w:t xml:space="preserve">Commission </w:t>
      </w:r>
      <w:proofErr w:type="spellStart"/>
      <w:r w:rsidRPr="00736E69">
        <w:rPr>
          <w:lang w:val="en-US"/>
        </w:rPr>
        <w:t>économique</w:t>
      </w:r>
      <w:proofErr w:type="spellEnd"/>
      <w:r w:rsidRPr="00736E69">
        <w:rPr>
          <w:lang w:val="en-US"/>
        </w:rPr>
        <w:t xml:space="preserve"> pour </w:t>
      </w:r>
      <w:proofErr w:type="spellStart"/>
      <w:r w:rsidRPr="00736E69">
        <w:rPr>
          <w:lang w:val="en-US"/>
        </w:rPr>
        <w:t>l</w:t>
      </w:r>
      <w:r w:rsidR="00BD6EEA">
        <w:rPr>
          <w:lang w:val="en-US"/>
        </w:rPr>
        <w:t>’</w:t>
      </w:r>
      <w:r w:rsidRPr="00736E69">
        <w:rPr>
          <w:lang w:val="en-US"/>
        </w:rPr>
        <w:t>Europe</w:t>
      </w:r>
      <w:proofErr w:type="spellEnd"/>
      <w:r w:rsidRPr="00736E69">
        <w:rPr>
          <w:lang w:val="en-US"/>
        </w:rPr>
        <w:t xml:space="preserve"> (CEE) (Utrecht, </w:t>
      </w:r>
      <w:proofErr w:type="spellStart"/>
      <w:r w:rsidRPr="00736E69">
        <w:rPr>
          <w:lang w:val="en-US"/>
        </w:rPr>
        <w:t>Programma</w:t>
      </w:r>
      <w:proofErr w:type="spellEnd"/>
      <w:r w:rsidRPr="00736E69">
        <w:rPr>
          <w:lang w:val="en-US"/>
        </w:rPr>
        <w:t xml:space="preserve"> Leren </w:t>
      </w:r>
      <w:proofErr w:type="spellStart"/>
      <w:r w:rsidRPr="00736E69">
        <w:rPr>
          <w:lang w:val="en-US"/>
        </w:rPr>
        <w:t>voor</w:t>
      </w:r>
      <w:proofErr w:type="spellEnd"/>
      <w:r w:rsidRPr="00736E69">
        <w:rPr>
          <w:lang w:val="en-US"/>
        </w:rPr>
        <w:t xml:space="preserve"> </w:t>
      </w:r>
      <w:proofErr w:type="spellStart"/>
      <w:r w:rsidRPr="00736E69">
        <w:rPr>
          <w:lang w:val="en-US"/>
        </w:rPr>
        <w:t>Duurzame</w:t>
      </w:r>
      <w:proofErr w:type="spellEnd"/>
      <w:r w:rsidRPr="00736E69">
        <w:rPr>
          <w:lang w:val="en-US"/>
        </w:rPr>
        <w:t xml:space="preserve"> </w:t>
      </w:r>
      <w:proofErr w:type="spellStart"/>
      <w:r w:rsidRPr="00736E69">
        <w:rPr>
          <w:lang w:val="en-US"/>
        </w:rPr>
        <w:t>Ontwikkeling</w:t>
      </w:r>
      <w:proofErr w:type="spellEnd"/>
      <w:r w:rsidRPr="00736E69">
        <w:rPr>
          <w:lang w:val="en-US"/>
        </w:rPr>
        <w:t>, 2012), p.</w:t>
      </w:r>
      <w:r>
        <w:rPr>
          <w:lang w:val="en-US"/>
        </w:rPr>
        <w:t> </w:t>
      </w:r>
      <w:r w:rsidRPr="00736E69">
        <w:rPr>
          <w:lang w:val="en-US"/>
        </w:rPr>
        <w:t>13</w:t>
      </w:r>
      <w:r w:rsidR="00BD6EEA">
        <w:rPr>
          <w:lang w:val="en-US"/>
        </w:rPr>
        <w:t xml:space="preserve"> à </w:t>
      </w:r>
      <w:r w:rsidRPr="00736E69">
        <w:rPr>
          <w:lang w:val="en-US"/>
        </w:rPr>
        <w:t>17.</w:t>
      </w:r>
    </w:p>
  </w:footnote>
  <w:footnote w:id="7">
    <w:p w14:paraId="33FE5675" w14:textId="1F7F4FC9" w:rsidR="009D7A81" w:rsidRPr="00736E69" w:rsidRDefault="009D7A81" w:rsidP="009D7A81">
      <w:pPr>
        <w:pStyle w:val="Notedebasdepage"/>
      </w:pPr>
      <w:r w:rsidRPr="00736E69">
        <w:rPr>
          <w:lang w:val="en-US"/>
        </w:rPr>
        <w:tab/>
      </w:r>
      <w:r w:rsidRPr="00415C9C">
        <w:rPr>
          <w:rStyle w:val="Appelnotedebasdep"/>
        </w:rPr>
        <w:footnoteRef/>
      </w:r>
      <w:r>
        <w:rPr>
          <w:lang w:val="fr-FR"/>
        </w:rPr>
        <w:tab/>
        <w:t xml:space="preserve">Voir </w:t>
      </w:r>
      <w:hyperlink r:id="rId1" w:history="1">
        <w:r w:rsidR="00BD6EEA" w:rsidRPr="00F13350">
          <w:rPr>
            <w:rStyle w:val="Lienhypertexte"/>
            <w:lang w:val="fr-FR"/>
          </w:rPr>
          <w:t>https://aroundersenseofpurpose.eu/</w:t>
        </w:r>
      </w:hyperlink>
      <w:r>
        <w:rPr>
          <w:lang w:val="fr-FR"/>
        </w:rPr>
        <w:t>.</w:t>
      </w:r>
    </w:p>
  </w:footnote>
  <w:footnote w:id="8">
    <w:p w14:paraId="3F47885E" w14:textId="72248E1C" w:rsidR="009D7A81" w:rsidRPr="00736E69" w:rsidRDefault="009D7A81" w:rsidP="009D7A81">
      <w:pPr>
        <w:pStyle w:val="Notedebasdepage"/>
      </w:pPr>
      <w:r>
        <w:rPr>
          <w:lang w:val="fr-FR"/>
        </w:rPr>
        <w:tab/>
      </w:r>
      <w:r w:rsidRPr="00415C9C">
        <w:rPr>
          <w:rStyle w:val="Appelnotedebasdep"/>
        </w:rPr>
        <w:footnoteRef/>
      </w:r>
      <w:r>
        <w:rPr>
          <w:lang w:val="fr-FR"/>
        </w:rPr>
        <w:tab/>
        <w:t xml:space="preserve">G. Bianchi, U. </w:t>
      </w:r>
      <w:proofErr w:type="spellStart"/>
      <w:r>
        <w:rPr>
          <w:lang w:val="fr-FR"/>
        </w:rPr>
        <w:t>Pisiotis</w:t>
      </w:r>
      <w:proofErr w:type="spellEnd"/>
      <w:r>
        <w:rPr>
          <w:lang w:val="fr-FR"/>
        </w:rPr>
        <w:t xml:space="preserve"> et M. Cabrera </w:t>
      </w:r>
      <w:proofErr w:type="spellStart"/>
      <w:r>
        <w:rPr>
          <w:lang w:val="fr-FR"/>
        </w:rPr>
        <w:t>Giraldez</w:t>
      </w:r>
      <w:proofErr w:type="spellEnd"/>
      <w:r>
        <w:rPr>
          <w:lang w:val="fr-FR"/>
        </w:rPr>
        <w:t xml:space="preserve">, </w:t>
      </w:r>
      <w:proofErr w:type="spellStart"/>
      <w:r w:rsidRPr="00BD6EEA">
        <w:rPr>
          <w:i/>
          <w:iCs/>
          <w:lang w:val="fr-FR"/>
        </w:rPr>
        <w:t>GreenComp</w:t>
      </w:r>
      <w:proofErr w:type="spellEnd"/>
      <w:r w:rsidRPr="00BD6EEA">
        <w:rPr>
          <w:i/>
          <w:iCs/>
          <w:lang w:val="fr-FR"/>
        </w:rPr>
        <w:t xml:space="preserve">: The </w:t>
      </w:r>
      <w:proofErr w:type="spellStart"/>
      <w:r w:rsidRPr="00BD6EEA">
        <w:rPr>
          <w:i/>
          <w:iCs/>
          <w:lang w:val="fr-FR"/>
        </w:rPr>
        <w:t>European</w:t>
      </w:r>
      <w:proofErr w:type="spellEnd"/>
      <w:r w:rsidRPr="00BD6EEA">
        <w:rPr>
          <w:i/>
          <w:iCs/>
          <w:lang w:val="fr-FR"/>
        </w:rPr>
        <w:t xml:space="preserve"> </w:t>
      </w:r>
      <w:proofErr w:type="spellStart"/>
      <w:r w:rsidRPr="00BD6EEA">
        <w:rPr>
          <w:i/>
          <w:iCs/>
          <w:lang w:val="fr-FR"/>
        </w:rPr>
        <w:t>Sustainability</w:t>
      </w:r>
      <w:proofErr w:type="spellEnd"/>
      <w:r w:rsidRPr="00BD6EEA">
        <w:rPr>
          <w:i/>
          <w:iCs/>
          <w:lang w:val="fr-FR"/>
        </w:rPr>
        <w:t xml:space="preserve"> </w:t>
      </w:r>
      <w:proofErr w:type="spellStart"/>
      <w:r w:rsidRPr="00BD6EEA">
        <w:rPr>
          <w:i/>
          <w:iCs/>
          <w:lang w:val="fr-FR"/>
        </w:rPr>
        <w:t>Competence</w:t>
      </w:r>
      <w:proofErr w:type="spellEnd"/>
      <w:r w:rsidRPr="00BD6EEA">
        <w:rPr>
          <w:i/>
          <w:iCs/>
          <w:lang w:val="fr-FR"/>
        </w:rPr>
        <w:t xml:space="preserve"> Framework</w:t>
      </w:r>
      <w:r>
        <w:rPr>
          <w:lang w:val="fr-FR"/>
        </w:rPr>
        <w:t xml:space="preserve"> (Luxembourg, Office des publications de l</w:t>
      </w:r>
      <w:r w:rsidR="00BD6EEA">
        <w:rPr>
          <w:lang w:val="fr-FR"/>
        </w:rPr>
        <w:t>’</w:t>
      </w:r>
      <w:r>
        <w:rPr>
          <w:lang w:val="fr-FR"/>
        </w:rPr>
        <w:t xml:space="preserve">Union européenne, 2022). </w:t>
      </w:r>
    </w:p>
  </w:footnote>
  <w:footnote w:id="9">
    <w:p w14:paraId="36474B07" w14:textId="149555FD" w:rsidR="009D7A81" w:rsidRPr="00736E69" w:rsidRDefault="009D7A81" w:rsidP="009D7A81">
      <w:pPr>
        <w:pStyle w:val="Notedebasdepage"/>
      </w:pPr>
      <w:r w:rsidRPr="00FB135F">
        <w:rPr>
          <w:lang w:val="fr-FR"/>
        </w:rPr>
        <w:tab/>
      </w:r>
      <w:r w:rsidRPr="00415C9C">
        <w:rPr>
          <w:rStyle w:val="Appelnotedebasdep"/>
        </w:rPr>
        <w:footnoteRef/>
      </w:r>
      <w:r>
        <w:rPr>
          <w:lang w:val="fr-FR"/>
        </w:rPr>
        <w:tab/>
        <w:t>ECE/CEP/AC.13/2022/3, par.</w:t>
      </w:r>
      <w:r w:rsidR="00BD6EEA">
        <w:rPr>
          <w:lang w:val="fr-FR"/>
        </w:rPr>
        <w:t> </w:t>
      </w:r>
      <w:r>
        <w:rPr>
          <w:lang w:val="fr-FR"/>
        </w:rPr>
        <w:t>78</w:t>
      </w:r>
      <w:r w:rsidR="00BD6EEA">
        <w:rPr>
          <w:lang w:val="fr-FR"/>
        </w:rPr>
        <w:t> </w:t>
      </w:r>
      <w:r>
        <w:rPr>
          <w:lang w:val="fr-FR"/>
        </w:rPr>
        <w:t>a)</w:t>
      </w:r>
      <w:r w:rsidR="00BD6EE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FDF5F" w14:textId="4DB6AD61" w:rsidR="009D7A81" w:rsidRPr="009D7A81" w:rsidRDefault="00AF557A">
    <w:pPr>
      <w:pStyle w:val="En-tte"/>
    </w:pPr>
    <w:fldSimple w:instr=" TITLE  \* MERGEFORMAT ">
      <w:r w:rsidR="00C964E3">
        <w:t>ECE/CEP/AC.13/2024/5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6AB31" w14:textId="78602E01" w:rsidR="009D7A81" w:rsidRPr="009D7A81" w:rsidRDefault="00AF557A" w:rsidP="009D7A81">
    <w:pPr>
      <w:pStyle w:val="En-tte"/>
      <w:jc w:val="right"/>
    </w:pPr>
    <w:fldSimple w:instr=" TITLE  \* MERGEFORMAT ">
      <w:r w:rsidR="00C964E3">
        <w:t>ECE/CEP/AC.13/2024/5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9A28D5"/>
    <w:multiLevelType w:val="hybridMultilevel"/>
    <w:tmpl w:val="3A1E0CC0"/>
    <w:lvl w:ilvl="0" w:tplc="92A8C0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3455A9"/>
    <w:multiLevelType w:val="hybridMultilevel"/>
    <w:tmpl w:val="5514546A"/>
    <w:lvl w:ilvl="0" w:tplc="BE58DF12">
      <w:start w:val="1"/>
      <w:numFmt w:val="lowerLetter"/>
      <w:lvlText w:val="(%1)"/>
      <w:lvlJc w:val="left"/>
      <w:pPr>
        <w:ind w:left="360" w:hanging="360"/>
      </w:pPr>
      <w:rPr>
        <w:rFonts w:ascii="Times New Roman" w:eastAsia="SimSun" w:hAnsi="Times New Roman"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B354FE"/>
    <w:multiLevelType w:val="hybridMultilevel"/>
    <w:tmpl w:val="06A42496"/>
    <w:lvl w:ilvl="0" w:tplc="5A1EA5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B503F"/>
    <w:multiLevelType w:val="hybridMultilevel"/>
    <w:tmpl w:val="C92E88A6"/>
    <w:lvl w:ilvl="0" w:tplc="EE000034">
      <w:start w:val="1"/>
      <w:numFmt w:val="lowerLetter"/>
      <w:lvlText w:val="(%1)"/>
      <w:lvlJc w:val="left"/>
      <w:pPr>
        <w:ind w:left="360" w:hanging="360"/>
      </w:pPr>
      <w:rPr>
        <w:rFonts w:ascii="Times New Roman" w:eastAsia="SimSun"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5106196"/>
    <w:multiLevelType w:val="hybridMultilevel"/>
    <w:tmpl w:val="8E560C58"/>
    <w:lvl w:ilvl="0" w:tplc="782240BA">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C315E7A"/>
    <w:multiLevelType w:val="hybridMultilevel"/>
    <w:tmpl w:val="5E322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9955953">
    <w:abstractNumId w:val="24"/>
  </w:num>
  <w:num w:numId="2" w16cid:durableId="2076926317">
    <w:abstractNumId w:val="19"/>
  </w:num>
  <w:num w:numId="3" w16cid:durableId="2108966667">
    <w:abstractNumId w:val="12"/>
  </w:num>
  <w:num w:numId="4" w16cid:durableId="2056419681">
    <w:abstractNumId w:val="8"/>
  </w:num>
  <w:num w:numId="5" w16cid:durableId="1665350210">
    <w:abstractNumId w:val="3"/>
  </w:num>
  <w:num w:numId="6" w16cid:durableId="665941585">
    <w:abstractNumId w:val="2"/>
  </w:num>
  <w:num w:numId="7" w16cid:durableId="1427379477">
    <w:abstractNumId w:val="1"/>
  </w:num>
  <w:num w:numId="8" w16cid:durableId="42752231">
    <w:abstractNumId w:val="0"/>
  </w:num>
  <w:num w:numId="9" w16cid:durableId="284242621">
    <w:abstractNumId w:val="9"/>
  </w:num>
  <w:num w:numId="10" w16cid:durableId="2146459792">
    <w:abstractNumId w:val="7"/>
  </w:num>
  <w:num w:numId="11" w16cid:durableId="1431853293">
    <w:abstractNumId w:val="6"/>
  </w:num>
  <w:num w:numId="12" w16cid:durableId="1612666400">
    <w:abstractNumId w:val="5"/>
  </w:num>
  <w:num w:numId="13" w16cid:durableId="2014994801">
    <w:abstractNumId w:val="4"/>
  </w:num>
  <w:num w:numId="14" w16cid:durableId="357123715">
    <w:abstractNumId w:val="24"/>
  </w:num>
  <w:num w:numId="15" w16cid:durableId="1565019709">
    <w:abstractNumId w:val="19"/>
  </w:num>
  <w:num w:numId="16" w16cid:durableId="995688926">
    <w:abstractNumId w:val="12"/>
  </w:num>
  <w:num w:numId="17" w16cid:durableId="1613244376">
    <w:abstractNumId w:val="17"/>
  </w:num>
  <w:num w:numId="18" w16cid:durableId="843283382">
    <w:abstractNumId w:val="16"/>
  </w:num>
  <w:num w:numId="19" w16cid:durableId="418598163">
    <w:abstractNumId w:val="10"/>
  </w:num>
  <w:num w:numId="20" w16cid:durableId="2140491201">
    <w:abstractNumId w:val="14"/>
  </w:num>
  <w:num w:numId="21" w16cid:durableId="799223162">
    <w:abstractNumId w:val="18"/>
  </w:num>
  <w:num w:numId="22" w16cid:durableId="703873874">
    <w:abstractNumId w:val="15"/>
  </w:num>
  <w:num w:numId="23" w16cid:durableId="1844078425">
    <w:abstractNumId w:val="23"/>
  </w:num>
  <w:num w:numId="24" w16cid:durableId="1627158628">
    <w:abstractNumId w:val="26"/>
  </w:num>
  <w:num w:numId="25" w16cid:durableId="1205412482">
    <w:abstractNumId w:val="25"/>
  </w:num>
  <w:num w:numId="26" w16cid:durableId="512962960">
    <w:abstractNumId w:val="21"/>
  </w:num>
  <w:num w:numId="27" w16cid:durableId="1905486982">
    <w:abstractNumId w:val="20"/>
  </w:num>
  <w:num w:numId="28" w16cid:durableId="746027436">
    <w:abstractNumId w:val="11"/>
  </w:num>
  <w:num w:numId="29" w16cid:durableId="1145002794">
    <w:abstractNumId w:val="22"/>
  </w:num>
  <w:num w:numId="30" w16cid:durableId="233975897">
    <w:abstractNumId w:val="13"/>
  </w:num>
  <w:num w:numId="31" w16cid:durableId="1522433029">
    <w:abstractNumId w:val="24"/>
  </w:num>
  <w:num w:numId="32" w16cid:durableId="1254047050">
    <w:abstractNumId w:val="24"/>
  </w:num>
  <w:num w:numId="33" w16cid:durableId="748817932">
    <w:abstractNumId w:val="24"/>
  </w:num>
  <w:num w:numId="34" w16cid:durableId="246886363">
    <w:abstractNumId w:val="24"/>
  </w:num>
  <w:num w:numId="35" w16cid:durableId="1957742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7B"/>
    <w:rsid w:val="00017F94"/>
    <w:rsid w:val="00023842"/>
    <w:rsid w:val="000334F9"/>
    <w:rsid w:val="0007796D"/>
    <w:rsid w:val="000938E9"/>
    <w:rsid w:val="000B7790"/>
    <w:rsid w:val="000D3EE9"/>
    <w:rsid w:val="00111F2F"/>
    <w:rsid w:val="001431B2"/>
    <w:rsid w:val="001433FD"/>
    <w:rsid w:val="0014365E"/>
    <w:rsid w:val="001541D3"/>
    <w:rsid w:val="00176178"/>
    <w:rsid w:val="001936FC"/>
    <w:rsid w:val="001F525A"/>
    <w:rsid w:val="00223272"/>
    <w:rsid w:val="0024779E"/>
    <w:rsid w:val="002832AC"/>
    <w:rsid w:val="00295CCA"/>
    <w:rsid w:val="002D7C93"/>
    <w:rsid w:val="00301BEC"/>
    <w:rsid w:val="00392828"/>
    <w:rsid w:val="00441C3B"/>
    <w:rsid w:val="00446B0A"/>
    <w:rsid w:val="00446FE5"/>
    <w:rsid w:val="00452396"/>
    <w:rsid w:val="00472072"/>
    <w:rsid w:val="004C4EA0"/>
    <w:rsid w:val="004E468C"/>
    <w:rsid w:val="00506BE1"/>
    <w:rsid w:val="0051727B"/>
    <w:rsid w:val="005316B0"/>
    <w:rsid w:val="005505B7"/>
    <w:rsid w:val="00573BE5"/>
    <w:rsid w:val="00586ED3"/>
    <w:rsid w:val="00596AA9"/>
    <w:rsid w:val="005C46BD"/>
    <w:rsid w:val="005F2353"/>
    <w:rsid w:val="00667509"/>
    <w:rsid w:val="00706363"/>
    <w:rsid w:val="0071601D"/>
    <w:rsid w:val="0074674C"/>
    <w:rsid w:val="007A62E6"/>
    <w:rsid w:val="0080684C"/>
    <w:rsid w:val="00871C75"/>
    <w:rsid w:val="008776DC"/>
    <w:rsid w:val="00900E2B"/>
    <w:rsid w:val="009705C8"/>
    <w:rsid w:val="009C0203"/>
    <w:rsid w:val="009C1CF4"/>
    <w:rsid w:val="009D7A81"/>
    <w:rsid w:val="00A30353"/>
    <w:rsid w:val="00AA113A"/>
    <w:rsid w:val="00AC3823"/>
    <w:rsid w:val="00AE323C"/>
    <w:rsid w:val="00AF557A"/>
    <w:rsid w:val="00B00181"/>
    <w:rsid w:val="00B00B0D"/>
    <w:rsid w:val="00B608EB"/>
    <w:rsid w:val="00B765F7"/>
    <w:rsid w:val="00BA0CA9"/>
    <w:rsid w:val="00BD6EEA"/>
    <w:rsid w:val="00C02897"/>
    <w:rsid w:val="00C964E3"/>
    <w:rsid w:val="00D3439C"/>
    <w:rsid w:val="00D439CD"/>
    <w:rsid w:val="00DB1831"/>
    <w:rsid w:val="00DD3BFD"/>
    <w:rsid w:val="00DF6678"/>
    <w:rsid w:val="00E7512C"/>
    <w:rsid w:val="00EF2E22"/>
    <w:rsid w:val="00F55CF8"/>
    <w:rsid w:val="00F660DF"/>
    <w:rsid w:val="00F668A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C3A6E"/>
  <w15:docId w15:val="{52F2454B-4657-4198-A3AC-F7340BE9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E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arquedecommentaire">
    <w:name w:val="annotation reference"/>
    <w:basedOn w:val="Policepardfaut"/>
    <w:semiHidden/>
    <w:unhideWhenUsed/>
    <w:rsid w:val="009D7A81"/>
    <w:rPr>
      <w:sz w:val="16"/>
      <w:szCs w:val="16"/>
    </w:rPr>
  </w:style>
  <w:style w:type="paragraph" w:styleId="Rvision">
    <w:name w:val="Revision"/>
    <w:hidden/>
    <w:uiPriority w:val="99"/>
    <w:semiHidden/>
    <w:rsid w:val="009D7A81"/>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9D7A81"/>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BD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roundersenseofpurpos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ADB12-6BA0-40A1-B3B3-4BDBBB5A6EEF}"/>
</file>

<file path=customXml/itemProps2.xml><?xml version="1.0" encoding="utf-8"?>
<ds:datastoreItem xmlns:ds="http://schemas.openxmlformats.org/officeDocument/2006/customXml" ds:itemID="{E84D8C45-3038-48C1-85F0-778E667F984A}"/>
</file>

<file path=docProps/app.xml><?xml version="1.0" encoding="utf-8"?>
<Properties xmlns="http://schemas.openxmlformats.org/officeDocument/2006/extended-properties" xmlns:vt="http://schemas.openxmlformats.org/officeDocument/2006/docPropsVTypes">
  <Template>ECE.dotm</Template>
  <TotalTime>1</TotalTime>
  <Pages>8</Pages>
  <Words>3330</Words>
  <Characters>18499</Characters>
  <Application>Microsoft Office Word</Application>
  <DocSecurity>0</DocSecurity>
  <Lines>493</Lines>
  <Paragraphs>175</Paragraphs>
  <ScaleCrop>false</ScaleCrop>
  <HeadingPairs>
    <vt:vector size="2" baseType="variant">
      <vt:variant>
        <vt:lpstr>Titre</vt:lpstr>
      </vt:variant>
      <vt:variant>
        <vt:i4>1</vt:i4>
      </vt:variant>
    </vt:vector>
  </HeadingPairs>
  <TitlesOfParts>
    <vt:vector size="1" baseType="lpstr">
      <vt:lpstr>ECE/CEP/AC.13/2024/5</vt:lpstr>
    </vt:vector>
  </TitlesOfParts>
  <Company>DCM</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ECE/CEP/AC.13/2024/5</dc:title>
  <dc:subject/>
  <dc:creator>Estelle-Delphine DITTA</dc:creator>
  <cp:keywords/>
  <cp:lastModifiedBy>Christine CHAUTAGNAT</cp:lastModifiedBy>
  <cp:revision>3</cp:revision>
  <cp:lastPrinted>2024-04-04T09:55:00Z</cp:lastPrinted>
  <dcterms:created xsi:type="dcterms:W3CDTF">2024-04-04T09:55:00Z</dcterms:created>
  <dcterms:modified xsi:type="dcterms:W3CDTF">2024-04-04T09:56:00Z</dcterms:modified>
</cp:coreProperties>
</file>