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5FEDAA6" w14:textId="77777777" w:rsidTr="006476E1">
        <w:trPr>
          <w:trHeight w:val="851"/>
        </w:trPr>
        <w:tc>
          <w:tcPr>
            <w:tcW w:w="1259" w:type="dxa"/>
            <w:tcBorders>
              <w:top w:val="nil"/>
              <w:left w:val="nil"/>
              <w:bottom w:val="single" w:sz="4" w:space="0" w:color="auto"/>
              <w:right w:val="nil"/>
            </w:tcBorders>
          </w:tcPr>
          <w:p w14:paraId="4C62A5A0" w14:textId="77777777" w:rsidR="00E52109" w:rsidRPr="002A32CB" w:rsidRDefault="00E52109" w:rsidP="004858F5"/>
        </w:tc>
        <w:tc>
          <w:tcPr>
            <w:tcW w:w="2236" w:type="dxa"/>
            <w:tcBorders>
              <w:top w:val="nil"/>
              <w:left w:val="nil"/>
              <w:bottom w:val="single" w:sz="4" w:space="0" w:color="auto"/>
              <w:right w:val="nil"/>
            </w:tcBorders>
            <w:vAlign w:val="bottom"/>
          </w:tcPr>
          <w:p w14:paraId="7F78B96C"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556E5D51" w14:textId="14DAB8D6" w:rsidR="00E52109" w:rsidRDefault="00036D3B" w:rsidP="00036D3B">
            <w:pPr>
              <w:jc w:val="right"/>
            </w:pPr>
            <w:r w:rsidRPr="00036D3B">
              <w:rPr>
                <w:sz w:val="40"/>
              </w:rPr>
              <w:t>ST</w:t>
            </w:r>
            <w:r>
              <w:t>/SG/AC.10/C.4/2024/9</w:t>
            </w:r>
          </w:p>
        </w:tc>
      </w:tr>
      <w:tr w:rsidR="00E52109" w14:paraId="5C7E5C94" w14:textId="77777777" w:rsidTr="006476E1">
        <w:trPr>
          <w:trHeight w:val="2835"/>
        </w:trPr>
        <w:tc>
          <w:tcPr>
            <w:tcW w:w="1259" w:type="dxa"/>
            <w:tcBorders>
              <w:top w:val="single" w:sz="4" w:space="0" w:color="auto"/>
              <w:left w:val="nil"/>
              <w:bottom w:val="single" w:sz="12" w:space="0" w:color="auto"/>
              <w:right w:val="nil"/>
            </w:tcBorders>
          </w:tcPr>
          <w:p w14:paraId="1D16CD33" w14:textId="77777777" w:rsidR="00E52109" w:rsidRDefault="00E52109" w:rsidP="006476E1">
            <w:pPr>
              <w:spacing w:before="120"/>
              <w:jc w:val="center"/>
            </w:pPr>
            <w:r>
              <w:rPr>
                <w:noProof/>
                <w:lang w:val="fr-CH" w:eastAsia="fr-CH"/>
              </w:rPr>
              <w:drawing>
                <wp:inline distT="0" distB="0" distL="0" distR="0" wp14:anchorId="3A2BCEE6" wp14:editId="3DAD282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ECAEE87"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644D4B42" w14:textId="77777777" w:rsidR="00D94B05" w:rsidRDefault="00036D3B" w:rsidP="00036D3B">
            <w:pPr>
              <w:spacing w:before="240" w:line="240" w:lineRule="exact"/>
            </w:pPr>
            <w:r>
              <w:t>Distr.: General</w:t>
            </w:r>
          </w:p>
          <w:p w14:paraId="3947E0DD" w14:textId="25319850" w:rsidR="00036D3B" w:rsidRDefault="00EA3D80" w:rsidP="00036D3B">
            <w:pPr>
              <w:spacing w:line="240" w:lineRule="exact"/>
            </w:pPr>
            <w:r w:rsidRPr="00EA3D80">
              <w:t xml:space="preserve">16 </w:t>
            </w:r>
            <w:r w:rsidR="00036D3B" w:rsidRPr="00EA3D80">
              <w:t>April 2024</w:t>
            </w:r>
          </w:p>
          <w:p w14:paraId="73C31F11" w14:textId="77777777" w:rsidR="00036D3B" w:rsidRDefault="00036D3B" w:rsidP="00036D3B">
            <w:pPr>
              <w:spacing w:line="240" w:lineRule="exact"/>
            </w:pPr>
          </w:p>
          <w:p w14:paraId="1A2D7215" w14:textId="1F8BC351" w:rsidR="00036D3B" w:rsidRDefault="00036D3B" w:rsidP="00036D3B">
            <w:pPr>
              <w:spacing w:line="240" w:lineRule="exact"/>
            </w:pPr>
            <w:r>
              <w:t>Original: English</w:t>
            </w:r>
          </w:p>
        </w:tc>
      </w:tr>
    </w:tbl>
    <w:p w14:paraId="73012AAE" w14:textId="77777777" w:rsidR="00036D3B" w:rsidRPr="006500BA" w:rsidRDefault="00036D3B"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0ECF4D06" w14:textId="77777777" w:rsidR="00036D3B" w:rsidRPr="006500BA" w:rsidRDefault="00036D3B" w:rsidP="004858F5">
      <w:pPr>
        <w:spacing w:before="120"/>
        <w:rPr>
          <w:rFonts w:ascii="Helv" w:hAnsi="Helv" w:cs="Helv"/>
          <w:b/>
          <w:color w:val="000000"/>
        </w:rPr>
      </w:pPr>
      <w:r w:rsidRPr="006500BA">
        <w:rPr>
          <w:b/>
        </w:rPr>
        <w:t xml:space="preserve">Sub-Committee of Experts on the </w:t>
      </w:r>
      <w:r>
        <w:rPr>
          <w:b/>
        </w:rPr>
        <w:t>Transport of Dangerous Goods</w:t>
      </w:r>
    </w:p>
    <w:p w14:paraId="4D5CC839" w14:textId="77777777" w:rsidR="000A6FCA" w:rsidRPr="00A53FAB" w:rsidRDefault="000A6FCA" w:rsidP="000A6FCA">
      <w:pPr>
        <w:spacing w:before="120"/>
        <w:rPr>
          <w:b/>
        </w:rPr>
      </w:pPr>
      <w:r w:rsidRPr="00A53FAB">
        <w:rPr>
          <w:b/>
        </w:rPr>
        <w:t>Forty-sixth session</w:t>
      </w:r>
    </w:p>
    <w:p w14:paraId="7B7A202D" w14:textId="77777777" w:rsidR="000A6FCA" w:rsidRPr="00A53FAB" w:rsidRDefault="000A6FCA" w:rsidP="000A6FCA">
      <w:r w:rsidRPr="00A53FAB">
        <w:t xml:space="preserve">Geneva, 3-5 July 2024 </w:t>
      </w:r>
    </w:p>
    <w:p w14:paraId="173146A7" w14:textId="77777777" w:rsidR="000A6FCA" w:rsidRPr="00A53FAB" w:rsidRDefault="000A6FCA" w:rsidP="000A6FCA">
      <w:r w:rsidRPr="00A53FAB">
        <w:t>Item 2 (e) of the provisional agenda</w:t>
      </w:r>
    </w:p>
    <w:p w14:paraId="58702226" w14:textId="77777777" w:rsidR="000A6FCA" w:rsidRPr="00A53FAB" w:rsidRDefault="000A6FCA" w:rsidP="000A6FCA">
      <w:pPr>
        <w:rPr>
          <w:b/>
          <w:bCs/>
        </w:rPr>
      </w:pPr>
      <w:r w:rsidRPr="00A53FAB">
        <w:rPr>
          <w:b/>
          <w:bCs/>
        </w:rPr>
        <w:t>Work on the Globally Harmonized System of Classification</w:t>
      </w:r>
    </w:p>
    <w:p w14:paraId="1D9EE0AE" w14:textId="77777777" w:rsidR="006D4BE9" w:rsidRDefault="000A6FCA" w:rsidP="004B3A89">
      <w:pPr>
        <w:rPr>
          <w:b/>
          <w:bCs/>
        </w:rPr>
      </w:pPr>
      <w:r w:rsidRPr="00A53FAB">
        <w:rPr>
          <w:b/>
          <w:bCs/>
        </w:rPr>
        <w:t>and Labelling of Chemicals:</w:t>
      </w:r>
    </w:p>
    <w:p w14:paraId="5D0EBA1E" w14:textId="68069B51" w:rsidR="00036D3B" w:rsidRPr="006D4BE9" w:rsidRDefault="000A6FCA" w:rsidP="006D4BE9">
      <w:pPr>
        <w:rPr>
          <w:b/>
          <w:bCs/>
        </w:rPr>
      </w:pPr>
      <w:r w:rsidRPr="00A53FAB">
        <w:rPr>
          <w:b/>
          <w:bCs/>
        </w:rPr>
        <w:t>Potential hazard issues and their presentation</w:t>
      </w:r>
      <w:r w:rsidR="006D4BE9">
        <w:rPr>
          <w:b/>
          <w:bCs/>
        </w:rPr>
        <w:br/>
      </w:r>
      <w:r w:rsidRPr="00A53FAB">
        <w:rPr>
          <w:b/>
          <w:bCs/>
        </w:rPr>
        <w:t>in the Globally Harmonized System</w:t>
      </w:r>
    </w:p>
    <w:p w14:paraId="313D3E94" w14:textId="73C5427C" w:rsidR="00282713" w:rsidRPr="00A53FAB" w:rsidRDefault="00282713" w:rsidP="00262DDD">
      <w:pPr>
        <w:pStyle w:val="HChG"/>
      </w:pPr>
      <w:r>
        <w:rPr>
          <w:lang w:val="en-US"/>
        </w:rPr>
        <w:tab/>
      </w:r>
      <w:r>
        <w:rPr>
          <w:lang w:val="en-US"/>
        </w:rPr>
        <w:tab/>
      </w:r>
      <w:r w:rsidRPr="00A53FAB">
        <w:rPr>
          <w:lang w:val="en-US"/>
        </w:rPr>
        <w:t xml:space="preserve">Potential hazard issues and their presentation in the Globally Harmonized System: </w:t>
      </w:r>
      <w:bookmarkStart w:id="0" w:name="_Hlk163642101"/>
      <w:r w:rsidRPr="00A53FAB">
        <w:rPr>
          <w:lang w:val="en-US"/>
        </w:rPr>
        <w:t xml:space="preserve">Mandate to the </w:t>
      </w:r>
      <w:proofErr w:type="spellStart"/>
      <w:r w:rsidRPr="00A53FAB">
        <w:rPr>
          <w:lang w:val="en-US"/>
        </w:rPr>
        <w:t>Organisation</w:t>
      </w:r>
      <w:proofErr w:type="spellEnd"/>
      <w:r w:rsidRPr="00A53FAB">
        <w:rPr>
          <w:lang w:val="en-US"/>
        </w:rPr>
        <w:t xml:space="preserve"> for Economic Co-</w:t>
      </w:r>
      <w:r w:rsidRPr="00262DDD">
        <w:t>operation</w:t>
      </w:r>
      <w:r w:rsidRPr="00A53FAB">
        <w:rPr>
          <w:lang w:val="en-US"/>
        </w:rPr>
        <w:t xml:space="preserve"> and Development (OECD) on persistence and mobility</w:t>
      </w:r>
      <w:bookmarkEnd w:id="0"/>
    </w:p>
    <w:p w14:paraId="15968152" w14:textId="0CE253C1" w:rsidR="00282713" w:rsidRPr="00A53FAB" w:rsidRDefault="00282713" w:rsidP="00262DDD">
      <w:pPr>
        <w:pStyle w:val="H1G"/>
      </w:pPr>
      <w:r w:rsidRPr="00A53FAB">
        <w:tab/>
      </w:r>
      <w:r w:rsidRPr="00A53FAB">
        <w:tab/>
        <w:t xml:space="preserve">Transmitted by </w:t>
      </w:r>
      <w:r>
        <w:t xml:space="preserve">the </w:t>
      </w:r>
      <w:r w:rsidRPr="00A53FAB">
        <w:t>European Union</w:t>
      </w:r>
      <w:r>
        <w:t xml:space="preserve"> </w:t>
      </w:r>
      <w:r w:rsidRPr="00A53FAB">
        <w:t xml:space="preserve">on behalf of the informal working group on potential hazard </w:t>
      </w:r>
      <w:r w:rsidRPr="00262DDD">
        <w:t>issues</w:t>
      </w:r>
      <w:r w:rsidRPr="00A53FAB">
        <w:t xml:space="preserve"> and their presentation in the Globally Harmonized System</w:t>
      </w:r>
      <w:r w:rsidR="000A6FCA" w:rsidRPr="000A6FCA">
        <w:rPr>
          <w:rStyle w:val="FootnoteReference"/>
          <w:sz w:val="20"/>
          <w:vertAlign w:val="baseline"/>
        </w:rPr>
        <w:footnoteReference w:customMarkFollows="1" w:id="2"/>
        <w:t>*</w:t>
      </w:r>
    </w:p>
    <w:p w14:paraId="49EBDA31" w14:textId="7CAFC16A" w:rsidR="00282713" w:rsidRPr="00A53FAB" w:rsidRDefault="00282713" w:rsidP="00282713">
      <w:pPr>
        <w:pStyle w:val="HChG"/>
      </w:pPr>
      <w:r w:rsidRPr="00A53FAB">
        <w:tab/>
      </w:r>
      <w:r w:rsidR="00EF353B">
        <w:t>I.</w:t>
      </w:r>
      <w:r w:rsidR="00EF353B">
        <w:tab/>
      </w:r>
      <w:r w:rsidRPr="00A53FAB">
        <w:t>Background</w:t>
      </w:r>
    </w:p>
    <w:p w14:paraId="781E5480" w14:textId="31FB1ABD" w:rsidR="00282713" w:rsidRPr="008338C7" w:rsidRDefault="008C5893" w:rsidP="008338C7">
      <w:pPr>
        <w:pStyle w:val="SingleTxtG"/>
      </w:pPr>
      <w:r w:rsidRPr="008338C7">
        <w:t>1.</w:t>
      </w:r>
      <w:r w:rsidRPr="008338C7">
        <w:tab/>
      </w:r>
      <w:r w:rsidR="00282713" w:rsidRPr="008338C7">
        <w:t>At its forty-third session</w:t>
      </w:r>
      <w:r w:rsidR="00282713" w:rsidRPr="008338C7">
        <w:footnoteReference w:id="3"/>
      </w:r>
      <w:r w:rsidR="00282713" w:rsidRPr="008338C7">
        <w:t xml:space="preserve"> the Sub-Committee included an item on “potential hazard issues and their presentation in the GHS” on its 2023-2024 programme of work and welcomed the proposal from the European Union to lead an informal working group on this topic. The Sub-Committee noted that the informal working group on potential hazard issues (hereafter referred to as PHI-IWG), will work in a stepwise fashion according to the agreed terms of reference (</w:t>
      </w:r>
      <w:proofErr w:type="spellStart"/>
      <w:r w:rsidR="00282713" w:rsidRPr="008338C7">
        <w:t>ToR</w:t>
      </w:r>
      <w:proofErr w:type="spellEnd"/>
      <w:r w:rsidR="00282713" w:rsidRPr="008338C7">
        <w:t>)</w:t>
      </w:r>
      <w:r w:rsidR="00282713" w:rsidRPr="008338C7">
        <w:rPr>
          <w:vertAlign w:val="superscript"/>
        </w:rPr>
        <w:footnoteReference w:id="4"/>
      </w:r>
      <w:r w:rsidR="00282713" w:rsidRPr="008338C7">
        <w:t>. At its forty-fourth session</w:t>
      </w:r>
      <w:r w:rsidR="00282713" w:rsidRPr="007A7658">
        <w:rPr>
          <w:vertAlign w:val="superscript"/>
        </w:rPr>
        <w:footnoteReference w:id="5"/>
      </w:r>
      <w:r w:rsidR="00282713" w:rsidRPr="008338C7">
        <w:t xml:space="preserve"> the Sub-Committee agreed to the 2023-2024 workplan proposed by the PHI-IWG.</w:t>
      </w:r>
    </w:p>
    <w:p w14:paraId="3E9CB660" w14:textId="460B1395" w:rsidR="00282713" w:rsidRPr="008338C7" w:rsidRDefault="008C5893" w:rsidP="008338C7">
      <w:pPr>
        <w:pStyle w:val="SingleTxtG"/>
      </w:pPr>
      <w:r w:rsidRPr="008338C7">
        <w:t>2.</w:t>
      </w:r>
      <w:r w:rsidRPr="008338C7">
        <w:tab/>
      </w:r>
      <w:r w:rsidR="00282713" w:rsidRPr="008338C7">
        <w:t xml:space="preserve">During the discussions on “persistence” and “mobility” (workstream co-led by the European Union and Germany) the PHI-IWG worked to clarify the scope of work, the definitions to refer to in the GHS context and other issues. Such discussion and comments on documents circulated within the PHI-IWG highlighted the need to consult OECD as the focal point for environmental and human health hazards. </w:t>
      </w:r>
    </w:p>
    <w:p w14:paraId="1D0D4EBA" w14:textId="039D5679" w:rsidR="00282713" w:rsidRDefault="008C5893" w:rsidP="008338C7">
      <w:pPr>
        <w:pStyle w:val="SingleTxtG"/>
      </w:pPr>
      <w:r w:rsidRPr="008338C7">
        <w:lastRenderedPageBreak/>
        <w:t>3.</w:t>
      </w:r>
      <w:r w:rsidRPr="008338C7">
        <w:tab/>
      </w:r>
      <w:r w:rsidR="00282713" w:rsidRPr="008338C7">
        <w:t>Following the outcome of this work, the PHI-IWG developed the proposal for a mandate to the OECD on the state of science of “persistence” and “mobility”</w:t>
      </w:r>
      <w:r w:rsidR="00282713">
        <w:t xml:space="preserve"> contained in this document</w:t>
      </w:r>
      <w:r w:rsidR="00282713" w:rsidRPr="00A53FAB">
        <w:t xml:space="preserve"> for </w:t>
      </w:r>
      <w:r w:rsidR="00282713">
        <w:t xml:space="preserve">consideration and </w:t>
      </w:r>
      <w:r w:rsidR="00282713" w:rsidRPr="00A53FAB">
        <w:t>approval by the Sub-Committee</w:t>
      </w:r>
      <w:r w:rsidR="00282713">
        <w:t xml:space="preserve"> at its forty-sixth session</w:t>
      </w:r>
      <w:r w:rsidR="00282713" w:rsidRPr="00A53FAB">
        <w:t>.</w:t>
      </w:r>
      <w:r w:rsidR="00282713">
        <w:t xml:space="preserve"> </w:t>
      </w:r>
    </w:p>
    <w:p w14:paraId="229204D9" w14:textId="569616E8" w:rsidR="00282713" w:rsidRDefault="00D95482" w:rsidP="00D95482">
      <w:pPr>
        <w:pStyle w:val="HChG"/>
      </w:pPr>
      <w:r>
        <w:tab/>
        <w:t>II.</w:t>
      </w:r>
      <w:r>
        <w:tab/>
      </w:r>
      <w:r w:rsidR="00282713">
        <w:t xml:space="preserve">Proposed </w:t>
      </w:r>
      <w:r w:rsidR="00282713" w:rsidRPr="00D95482">
        <w:t>mandate</w:t>
      </w:r>
      <w:r w:rsidR="00282713">
        <w:t xml:space="preserve"> to the OECD</w:t>
      </w:r>
    </w:p>
    <w:p w14:paraId="56D0B30D" w14:textId="498EBAB4" w:rsidR="00282713" w:rsidRPr="00AA0707" w:rsidRDefault="008C5893" w:rsidP="00AA0707">
      <w:pPr>
        <w:pStyle w:val="SingleTxtG"/>
      </w:pPr>
      <w:r w:rsidRPr="00AA0707">
        <w:t>4.</w:t>
      </w:r>
      <w:r w:rsidRPr="00AA0707">
        <w:tab/>
      </w:r>
      <w:r w:rsidR="00282713" w:rsidRPr="00AA0707">
        <w:t>The GHS Sub-Committee mandates the OECD to review the state of the science needed for classification and labelling of substances and mixtures that have “persistence” and “mobility” properties, as follows:</w:t>
      </w:r>
    </w:p>
    <w:p w14:paraId="1F71D8BC" w14:textId="46B7CB88" w:rsidR="00282713" w:rsidRDefault="00D95482" w:rsidP="00D95482">
      <w:pPr>
        <w:pStyle w:val="SingleTxtG"/>
      </w:pPr>
      <w:r>
        <w:tab/>
      </w:r>
      <w:r w:rsidR="00AA0707">
        <w:t>(</w:t>
      </w:r>
      <w:r w:rsidR="008C5893">
        <w:t>a</w:t>
      </w:r>
      <w:r w:rsidR="00AA0707">
        <w:t>)</w:t>
      </w:r>
      <w:r w:rsidR="008C5893">
        <w:tab/>
      </w:r>
      <w:r w:rsidR="00282713" w:rsidRPr="0055592A">
        <w:t xml:space="preserve">To </w:t>
      </w:r>
      <w:r w:rsidR="00282713" w:rsidRPr="00D95482">
        <w:t>review</w:t>
      </w:r>
      <w:r w:rsidR="00282713" w:rsidRPr="0055592A">
        <w:t xml:space="preserve"> the state of the science on “persistence” and “mobility”, including to </w:t>
      </w:r>
      <w:r w:rsidR="00282713" w:rsidRPr="0011144A">
        <w:t xml:space="preserve">assess the potential hazard of the combination of these properties particularly for substances and </w:t>
      </w:r>
      <w:r w:rsidR="00282713" w:rsidRPr="00521639">
        <w:t>mixtures</w:t>
      </w:r>
      <w:r w:rsidR="00282713" w:rsidRPr="0011144A">
        <w:t xml:space="preserve"> that may have a high potential to cause contamination </w:t>
      </w:r>
      <w:r w:rsidR="00282713">
        <w:t>of</w:t>
      </w:r>
      <w:r w:rsidR="00282713" w:rsidRPr="0011144A">
        <w:t xml:space="preserve"> </w:t>
      </w:r>
      <w:r w:rsidR="00282713" w:rsidRPr="00CB2605">
        <w:t>water bodies (including drinking water resources</w:t>
      </w:r>
      <w:r w:rsidR="00282713" w:rsidRPr="0055592A">
        <w:t>, e.g. surfa</w:t>
      </w:r>
      <w:r w:rsidR="00282713" w:rsidRPr="00CB2605">
        <w:t>ce water, groundwater) t</w:t>
      </w:r>
      <w:r w:rsidR="00282713" w:rsidRPr="0011144A">
        <w:t>o protect human health and the environment</w:t>
      </w:r>
      <w:r w:rsidR="00282713">
        <w:t xml:space="preserve">. </w:t>
      </w:r>
      <w:r w:rsidR="00282713" w:rsidRPr="0011144A">
        <w:t>The state of the science review should:</w:t>
      </w:r>
    </w:p>
    <w:p w14:paraId="6D94640F" w14:textId="63711F70" w:rsidR="00282713" w:rsidRDefault="00AA0707" w:rsidP="00A0307A">
      <w:pPr>
        <w:pStyle w:val="SingleTxtG"/>
        <w:ind w:left="1701"/>
      </w:pPr>
      <w:r>
        <w:t>(</w:t>
      </w:r>
      <w:proofErr w:type="spellStart"/>
      <w:r w:rsidR="008C5893">
        <w:t>i</w:t>
      </w:r>
      <w:proofErr w:type="spellEnd"/>
      <w:r>
        <w:t>)</w:t>
      </w:r>
      <w:r w:rsidR="008C5893">
        <w:tab/>
      </w:r>
      <w:r w:rsidR="00282713" w:rsidRPr="0011144A">
        <w:t>Identify any gaps regarding the possibility to adequately classify and label substances and mixtures that have “persistence” and “mobility” properties</w:t>
      </w:r>
      <w:r w:rsidR="00282713">
        <w:t xml:space="preserve"> under the GHS</w:t>
      </w:r>
      <w:r w:rsidR="00282713" w:rsidRPr="0011144A">
        <w:t>, both individually and in combination, for the protection of human health and the environment;</w:t>
      </w:r>
    </w:p>
    <w:p w14:paraId="70CF8364" w14:textId="78492ECC" w:rsidR="00282713" w:rsidRPr="0055592A" w:rsidRDefault="00AA0707" w:rsidP="00A0307A">
      <w:pPr>
        <w:pStyle w:val="SingleTxtG"/>
        <w:ind w:left="1701"/>
      </w:pPr>
      <w:r>
        <w:t>(</w:t>
      </w:r>
      <w:r w:rsidR="008C5893" w:rsidRPr="0055592A">
        <w:t>ii</w:t>
      </w:r>
      <w:r>
        <w:t>)</w:t>
      </w:r>
      <w:r w:rsidR="008C5893" w:rsidRPr="0055592A">
        <w:tab/>
      </w:r>
      <w:r w:rsidR="00282713" w:rsidRPr="0011144A">
        <w:t>Consider the possible influence of environmental factors, the</w:t>
      </w:r>
      <w:r w:rsidR="00282713" w:rsidRPr="0055592A">
        <w:t xml:space="preserve"> </w:t>
      </w:r>
      <w:r w:rsidR="00282713">
        <w:t>ability to generate</w:t>
      </w:r>
      <w:r w:rsidR="00282713" w:rsidRPr="0011144A">
        <w:t xml:space="preserve"> standardi</w:t>
      </w:r>
      <w:r w:rsidR="00880BFD">
        <w:t>z</w:t>
      </w:r>
      <w:r w:rsidR="00282713" w:rsidRPr="0011144A">
        <w:t>ed results and the available testing methodologies.</w:t>
      </w:r>
    </w:p>
    <w:p w14:paraId="63F07B8D" w14:textId="3C4009A3" w:rsidR="00282713" w:rsidRPr="0055592A" w:rsidRDefault="00D95482" w:rsidP="00D95482">
      <w:pPr>
        <w:pStyle w:val="SingleTxtG"/>
      </w:pPr>
      <w:r>
        <w:tab/>
      </w:r>
      <w:r w:rsidR="00AA0707">
        <w:t>(</w:t>
      </w:r>
      <w:r w:rsidR="008C5893" w:rsidRPr="0055592A">
        <w:t>b</w:t>
      </w:r>
      <w:r w:rsidR="00AA0707">
        <w:t>)</w:t>
      </w:r>
      <w:r w:rsidR="008C5893" w:rsidRPr="0055592A">
        <w:tab/>
      </w:r>
      <w:r w:rsidR="00282713" w:rsidRPr="0055592A">
        <w:t xml:space="preserve">To assess whether the existing definitions for “persistence” and “mobility” in the GHS are fit for purpose in the context of classification and labelling and, if necessary, provide recommendations to the GHS Sub-Committee for adapting or replacing the current definitions to reflect the outcome of the state of the science review - as detailed in </w:t>
      </w:r>
      <w:r w:rsidR="00282713">
        <w:t>sub</w:t>
      </w:r>
      <w:r w:rsidR="00282713" w:rsidRPr="0055592A">
        <w:t>paragraph 4</w:t>
      </w:r>
      <w:r w:rsidR="00282713">
        <w:t xml:space="preserve"> </w:t>
      </w:r>
      <w:r w:rsidR="00282713" w:rsidRPr="0055592A">
        <w:t xml:space="preserve">(a). </w:t>
      </w:r>
      <w:r w:rsidR="00545B59">
        <w:rPr>
          <w:rFonts w:eastAsia="Times New Roman"/>
        </w:rPr>
        <w:t>The annex to this document provides a summary of technical points, based on discussions within the PHI-IWG, that can be considered to this end.</w:t>
      </w:r>
    </w:p>
    <w:p w14:paraId="1BC0C38A" w14:textId="6B6C38AF" w:rsidR="00282713" w:rsidRDefault="00D95482" w:rsidP="00D95482">
      <w:pPr>
        <w:pStyle w:val="SingleTxtG"/>
      </w:pPr>
      <w:bookmarkStart w:id="1" w:name="_Hlk163570631"/>
      <w:r>
        <w:tab/>
      </w:r>
      <w:r w:rsidR="00AA0707">
        <w:t>(c)</w:t>
      </w:r>
      <w:r w:rsidR="008C5893">
        <w:tab/>
      </w:r>
      <w:r w:rsidR="00282713" w:rsidRPr="0055592A">
        <w:t xml:space="preserve">Based on the report from the OECD on </w:t>
      </w:r>
      <w:r w:rsidR="00282713">
        <w:t>sub</w:t>
      </w:r>
      <w:r w:rsidR="00282713" w:rsidRPr="0055592A">
        <w:t>paragraph</w:t>
      </w:r>
      <w:r w:rsidR="00282713">
        <w:t>s</w:t>
      </w:r>
      <w:r w:rsidR="00282713" w:rsidRPr="0055592A">
        <w:t xml:space="preserve"> 4 (a) and 4 (b) above, the PHI-IWG will discuss the next steps as per its terms of reference (see</w:t>
      </w:r>
      <w:r w:rsidR="00004090">
        <w:t> </w:t>
      </w:r>
      <w:r w:rsidR="00282713" w:rsidRPr="003D25F8">
        <w:t>subparagraph 3 (c) in INF.39 (forty-third session)) and propose recommendatio</w:t>
      </w:r>
      <w:r w:rsidR="00282713" w:rsidRPr="0055592A">
        <w:t>ns to the GHS Sub-Committee on how to proceed. The GHS Sub-Committee could then task the OECD with a specific request on how to fill any gaps. For example, consideration of toxicity to humans</w:t>
      </w:r>
      <w:r w:rsidR="00282713">
        <w:t xml:space="preserve"> and</w:t>
      </w:r>
      <w:r w:rsidR="00282713" w:rsidRPr="0055592A">
        <w:t>/</w:t>
      </w:r>
      <w:r w:rsidR="00282713">
        <w:t xml:space="preserve">or </w:t>
      </w:r>
      <w:r w:rsidR="00282713" w:rsidRPr="0055592A">
        <w:t>to the environment as an additional intrinsic property to complement “persistence” and “mobility”.</w:t>
      </w:r>
    </w:p>
    <w:bookmarkEnd w:id="1"/>
    <w:p w14:paraId="4D1A4D83" w14:textId="1030EFA5" w:rsidR="00282713" w:rsidRDefault="00D95482" w:rsidP="00D95482">
      <w:pPr>
        <w:pStyle w:val="SingleTxtG"/>
      </w:pPr>
      <w:r>
        <w:tab/>
      </w:r>
      <w:r w:rsidR="00AA0707">
        <w:t>(</w:t>
      </w:r>
      <w:r w:rsidR="008C5893">
        <w:t>d</w:t>
      </w:r>
      <w:r w:rsidR="00AA0707">
        <w:t xml:space="preserve">) </w:t>
      </w:r>
      <w:r w:rsidR="00AA0707">
        <w:tab/>
      </w:r>
      <w:r w:rsidR="00282713">
        <w:t xml:space="preserve">To report </w:t>
      </w:r>
      <w:r w:rsidR="00282713" w:rsidRPr="00423B13">
        <w:t xml:space="preserve">to the GHS Sub-Committee at each plenary session on the progress made </w:t>
      </w:r>
      <w:r w:rsidR="00282713">
        <w:t>on</w:t>
      </w:r>
      <w:r w:rsidR="00282713" w:rsidRPr="00423B13">
        <w:t xml:space="preserve"> the implementation o</w:t>
      </w:r>
      <w:r w:rsidR="00282713">
        <w:t>f</w:t>
      </w:r>
      <w:r w:rsidR="00282713" w:rsidRPr="00423B13">
        <w:t xml:space="preserve"> the current mandate. The first report should include a provisional timetable.</w:t>
      </w:r>
    </w:p>
    <w:p w14:paraId="051C8644" w14:textId="3B3A81FC" w:rsidR="00282713" w:rsidRPr="0055592A" w:rsidRDefault="00D95482" w:rsidP="00D95482">
      <w:pPr>
        <w:pStyle w:val="SingleTxtG"/>
      </w:pPr>
      <w:r>
        <w:tab/>
      </w:r>
      <w:r w:rsidR="00AA0707">
        <w:t>(e)</w:t>
      </w:r>
      <w:r w:rsidR="008C5893" w:rsidRPr="0055592A">
        <w:tab/>
      </w:r>
      <w:r w:rsidR="00282713">
        <w:t xml:space="preserve">To engage </w:t>
      </w:r>
      <w:r w:rsidR="00282713" w:rsidRPr="008F00C8">
        <w:t xml:space="preserve">with the PHI-IWG </w:t>
      </w:r>
      <w:r w:rsidR="00282713">
        <w:t xml:space="preserve">during the process </w:t>
      </w:r>
      <w:r w:rsidR="00282713" w:rsidRPr="008F00C8">
        <w:t>as questions arise and progress warrants</w:t>
      </w:r>
      <w:r w:rsidR="00282713">
        <w:t>.</w:t>
      </w:r>
    </w:p>
    <w:p w14:paraId="325792DB" w14:textId="2BCDE6A7" w:rsidR="00282713" w:rsidRPr="00A53FAB" w:rsidRDefault="00282713" w:rsidP="0006310E">
      <w:pPr>
        <w:pStyle w:val="HChG"/>
      </w:pPr>
      <w:r w:rsidRPr="00A53FAB">
        <w:tab/>
      </w:r>
      <w:r w:rsidR="0006310E">
        <w:t>III.</w:t>
      </w:r>
      <w:r w:rsidR="0006310E">
        <w:tab/>
      </w:r>
      <w:r>
        <w:t>Action requested from the Sub-Committee</w:t>
      </w:r>
    </w:p>
    <w:p w14:paraId="15306A37" w14:textId="7D678C2E" w:rsidR="0006310E" w:rsidRDefault="008C5893" w:rsidP="008C5893">
      <w:pPr>
        <w:pStyle w:val="ListParagraph"/>
        <w:ind w:left="1711" w:right="1134" w:hanging="576"/>
        <w:jc w:val="both"/>
      </w:pPr>
      <w:r w:rsidRPr="003D25F8">
        <w:t>5.</w:t>
      </w:r>
      <w:r w:rsidRPr="003D25F8">
        <w:tab/>
      </w:r>
      <w:r w:rsidR="00282713" w:rsidRPr="00A53FAB">
        <w:t xml:space="preserve">The Sub-Committee is invited to </w:t>
      </w:r>
      <w:r w:rsidR="00282713">
        <w:t xml:space="preserve">consider and approve the proposed </w:t>
      </w:r>
      <w:r w:rsidR="00282713" w:rsidRPr="00A53FAB">
        <w:t xml:space="preserve">mandate to </w:t>
      </w:r>
      <w:r w:rsidR="00282713">
        <w:t xml:space="preserve">the </w:t>
      </w:r>
      <w:r w:rsidR="00282713" w:rsidRPr="00A53FAB">
        <w:t>OECD</w:t>
      </w:r>
      <w:r w:rsidR="00282713">
        <w:t xml:space="preserve"> </w:t>
      </w:r>
      <w:r w:rsidR="00282713" w:rsidRPr="00A53FAB">
        <w:t xml:space="preserve">on </w:t>
      </w:r>
      <w:r w:rsidR="00282713">
        <w:t>“</w:t>
      </w:r>
      <w:r w:rsidR="00282713" w:rsidRPr="00A53FAB">
        <w:t>persistence</w:t>
      </w:r>
      <w:r w:rsidR="00282713">
        <w:t>”</w:t>
      </w:r>
      <w:r w:rsidR="00282713" w:rsidRPr="00A53FAB">
        <w:t xml:space="preserve"> and </w:t>
      </w:r>
      <w:r w:rsidR="00282713">
        <w:t>“</w:t>
      </w:r>
      <w:r w:rsidR="00282713" w:rsidRPr="00A53FAB">
        <w:t>mobility</w:t>
      </w:r>
      <w:r w:rsidR="00282713">
        <w:t xml:space="preserve">” </w:t>
      </w:r>
      <w:r w:rsidR="00282713" w:rsidRPr="0055592A">
        <w:t>as detailed in paragraph 4</w:t>
      </w:r>
      <w:r w:rsidR="00282713" w:rsidRPr="00A53FAB">
        <w:t>.</w:t>
      </w:r>
    </w:p>
    <w:p w14:paraId="51E84A33" w14:textId="77777777" w:rsidR="000E7DDC" w:rsidRDefault="000E7DDC" w:rsidP="008C5893">
      <w:pPr>
        <w:pStyle w:val="ListParagraph"/>
        <w:ind w:left="1711" w:right="1134" w:hanging="576"/>
        <w:jc w:val="both"/>
      </w:pPr>
    </w:p>
    <w:p w14:paraId="3D18F0C5" w14:textId="5E628405" w:rsidR="00854AA2" w:rsidRDefault="00854AA2">
      <w:r>
        <w:br w:type="page"/>
      </w:r>
    </w:p>
    <w:p w14:paraId="046F935B" w14:textId="77777777" w:rsidR="000E7DDC" w:rsidRDefault="000E7DDC" w:rsidP="008C5893">
      <w:pPr>
        <w:pStyle w:val="ListParagraph"/>
        <w:ind w:left="1711" w:right="1134" w:hanging="576"/>
        <w:jc w:val="both"/>
        <w:sectPr w:rsidR="000E7DDC" w:rsidSect="00036D3B">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pPr>
    </w:p>
    <w:p w14:paraId="4B8D1A7E" w14:textId="0879B680" w:rsidR="003B7468" w:rsidRPr="0006310E" w:rsidRDefault="00282713" w:rsidP="00EB4299">
      <w:pPr>
        <w:pStyle w:val="HChG"/>
        <w:spacing w:after="120"/>
      </w:pPr>
      <w:r>
        <w:lastRenderedPageBreak/>
        <w:t>Annex</w:t>
      </w:r>
    </w:p>
    <w:p w14:paraId="5A4E0201" w14:textId="5FBF782E" w:rsidR="00282713" w:rsidRDefault="00E22C6E" w:rsidP="001214FC">
      <w:pPr>
        <w:pStyle w:val="HChG"/>
        <w:spacing w:after="0"/>
      </w:pPr>
      <w:r>
        <w:tab/>
      </w:r>
      <w:r>
        <w:tab/>
      </w:r>
      <w:r w:rsidR="003B7468">
        <w:t>D</w:t>
      </w:r>
      <w:r w:rsidR="00282713">
        <w:t>efinitions of persistency and mobility</w:t>
      </w:r>
    </w:p>
    <w:p w14:paraId="7DAFD852" w14:textId="19CD8A9C" w:rsidR="00282713" w:rsidRDefault="003B7468" w:rsidP="008C5893">
      <w:pPr>
        <w:pStyle w:val="ListParagraph"/>
        <w:tabs>
          <w:tab w:val="left" w:pos="8505"/>
        </w:tabs>
        <w:suppressAutoHyphens w:val="0"/>
        <w:kinsoku/>
        <w:overflowPunct/>
        <w:autoSpaceDE/>
        <w:autoSpaceDN/>
        <w:adjustRightInd/>
        <w:snapToGrid/>
        <w:spacing w:before="120" w:after="120" w:line="259" w:lineRule="auto"/>
        <w:ind w:left="1711" w:right="1134" w:hanging="576"/>
        <w:contextualSpacing w:val="0"/>
        <w:jc w:val="both"/>
        <w:rPr>
          <w:lang w:val="en-IE"/>
        </w:rPr>
      </w:pPr>
      <w:r>
        <w:rPr>
          <w:lang w:val="en-IE"/>
        </w:rPr>
        <w:t>1.</w:t>
      </w:r>
      <w:r w:rsidR="008C5893">
        <w:rPr>
          <w:lang w:val="en-IE"/>
        </w:rPr>
        <w:tab/>
      </w:r>
      <w:r w:rsidR="00282713">
        <w:rPr>
          <w:lang w:val="en-IE"/>
        </w:rPr>
        <w:t>In the GHS context, it is suggested to refer to the following definition for persistence:</w:t>
      </w:r>
    </w:p>
    <w:p w14:paraId="5E0ABA92" w14:textId="5837DD7D" w:rsidR="00282713" w:rsidRPr="00EA504E" w:rsidRDefault="004A2B68" w:rsidP="004A2B68">
      <w:pPr>
        <w:pStyle w:val="SingleTxtG"/>
        <w:rPr>
          <w:lang w:val="en-IE"/>
        </w:rPr>
      </w:pPr>
      <w:r>
        <w:rPr>
          <w:lang w:val="en-IE"/>
        </w:rPr>
        <w:tab/>
      </w:r>
      <w:r w:rsidR="003B7468">
        <w:rPr>
          <w:lang w:val="en-IE"/>
        </w:rPr>
        <w:t>(</w:t>
      </w:r>
      <w:r w:rsidR="008C5893" w:rsidRPr="00EA504E">
        <w:rPr>
          <w:lang w:val="en-IE"/>
        </w:rPr>
        <w:t>a</w:t>
      </w:r>
      <w:r w:rsidR="003B7468">
        <w:rPr>
          <w:lang w:val="en-IE"/>
        </w:rPr>
        <w:t>)</w:t>
      </w:r>
      <w:r w:rsidR="008C5893" w:rsidRPr="00EA504E">
        <w:rPr>
          <w:lang w:val="en-IE"/>
        </w:rPr>
        <w:tab/>
      </w:r>
      <w:r w:rsidR="00282713" w:rsidRPr="002E6108">
        <w:rPr>
          <w:lang w:val="en-IE"/>
        </w:rPr>
        <w:t xml:space="preserve">Persistence (P) </w:t>
      </w:r>
      <w:r w:rsidR="00282713" w:rsidRPr="0044480B">
        <w:rPr>
          <w:lang w:val="en-IE"/>
        </w:rPr>
        <w:t xml:space="preserve">and degradability </w:t>
      </w:r>
      <w:r w:rsidR="00282713">
        <w:rPr>
          <w:lang w:val="en-IE"/>
        </w:rPr>
        <w:t>are</w:t>
      </w:r>
      <w:r w:rsidR="00282713" w:rsidRPr="002E6108">
        <w:rPr>
          <w:lang w:val="en-IE"/>
        </w:rPr>
        <w:t xml:space="preserve"> according to </w:t>
      </w:r>
      <w:r w:rsidR="005816A6">
        <w:rPr>
          <w:lang w:val="en-IE"/>
        </w:rPr>
        <w:t>s</w:t>
      </w:r>
      <w:r w:rsidR="00282713">
        <w:rPr>
          <w:lang w:val="en-IE"/>
        </w:rPr>
        <w:t>ection</w:t>
      </w:r>
      <w:r w:rsidR="00282713" w:rsidRPr="002E6108">
        <w:rPr>
          <w:lang w:val="en-IE"/>
        </w:rPr>
        <w:t xml:space="preserve"> A4.3.12.6 </w:t>
      </w:r>
      <w:r w:rsidR="005816A6">
        <w:rPr>
          <w:lang w:val="en-IE"/>
        </w:rPr>
        <w:t>“</w:t>
      </w:r>
      <w:r w:rsidR="00282713" w:rsidRPr="00A265C1">
        <w:rPr>
          <w:lang w:val="en-IE"/>
        </w:rPr>
        <w:t>the potential for the substance or the appropriate constituents of a mixture to degrade in the environment, either through biodegradation or other processes, such as oxidation or hydrolysis</w:t>
      </w:r>
      <w:r w:rsidR="005816A6">
        <w:rPr>
          <w:lang w:val="en-IE"/>
        </w:rPr>
        <w:t>”</w:t>
      </w:r>
      <w:r w:rsidR="00282713" w:rsidRPr="002E6108">
        <w:rPr>
          <w:lang w:val="en-IE"/>
        </w:rPr>
        <w:t xml:space="preserve">. Moreover, persistence (and degradability) are listed as </w:t>
      </w:r>
      <w:r w:rsidR="005816A6">
        <w:rPr>
          <w:lang w:val="en-IE"/>
        </w:rPr>
        <w:t>“</w:t>
      </w:r>
      <w:r w:rsidR="00282713" w:rsidRPr="00A265C1">
        <w:rPr>
          <w:lang w:val="en-IE"/>
        </w:rPr>
        <w:t xml:space="preserve">ecotoxicological properties </w:t>
      </w:r>
      <w:r w:rsidR="00282713">
        <w:rPr>
          <w:lang w:val="en-IE"/>
        </w:rPr>
        <w:t>(</w:t>
      </w:r>
      <w:r w:rsidR="00282713" w:rsidRPr="00EA504E">
        <w:rPr>
          <w:lang w:val="en-IE"/>
        </w:rPr>
        <w:t>which</w:t>
      </w:r>
      <w:r w:rsidR="00282713">
        <w:rPr>
          <w:lang w:val="en-IE"/>
        </w:rPr>
        <w:t>)</w:t>
      </w:r>
      <w:r w:rsidR="00282713" w:rsidRPr="00EA504E">
        <w:rPr>
          <w:lang w:val="en-IE"/>
        </w:rPr>
        <w:t xml:space="preserve"> </w:t>
      </w:r>
      <w:r w:rsidR="00282713" w:rsidRPr="00A265C1">
        <w:rPr>
          <w:lang w:val="en-IE"/>
        </w:rPr>
        <w:t>are substance specific</w:t>
      </w:r>
      <w:r w:rsidR="005816A6">
        <w:rPr>
          <w:lang w:val="en-IE"/>
        </w:rPr>
        <w:t>”</w:t>
      </w:r>
      <w:r w:rsidR="00282713" w:rsidRPr="00EA504E">
        <w:rPr>
          <w:lang w:val="en-IE"/>
        </w:rPr>
        <w:t xml:space="preserve"> in </w:t>
      </w:r>
      <w:r w:rsidR="005816A6">
        <w:rPr>
          <w:lang w:val="en-IE"/>
        </w:rPr>
        <w:t>s</w:t>
      </w:r>
      <w:r w:rsidR="00282713" w:rsidRPr="00EA504E">
        <w:rPr>
          <w:lang w:val="en-IE"/>
        </w:rPr>
        <w:t xml:space="preserve">ection A4.3.12.3 and </w:t>
      </w:r>
      <w:r w:rsidR="005816A6">
        <w:rPr>
          <w:lang w:val="en-IE"/>
        </w:rPr>
        <w:t>s</w:t>
      </w:r>
      <w:r w:rsidR="00282713" w:rsidRPr="00EA504E">
        <w:rPr>
          <w:lang w:val="en-IE"/>
        </w:rPr>
        <w:t xml:space="preserve">ection 4.1.2.7 refers to </w:t>
      </w:r>
      <w:r w:rsidR="005816A6">
        <w:rPr>
          <w:lang w:val="en-IE"/>
        </w:rPr>
        <w:t>“</w:t>
      </w:r>
      <w:r w:rsidR="00282713" w:rsidRPr="00A265C1">
        <w:rPr>
          <w:lang w:val="en-IE"/>
        </w:rPr>
        <w:t>the intrinsic properties of a lack of rapid degradability […] may be used to assign a substance to a long-term (chronic) hazard category</w:t>
      </w:r>
      <w:r w:rsidR="005816A6">
        <w:rPr>
          <w:lang w:val="en-IE"/>
        </w:rPr>
        <w:t>”</w:t>
      </w:r>
      <w:r w:rsidR="00282713" w:rsidRPr="00EA504E">
        <w:rPr>
          <w:lang w:val="en-IE"/>
        </w:rPr>
        <w:t xml:space="preserve">. According to </w:t>
      </w:r>
      <w:r w:rsidR="005816A6">
        <w:rPr>
          <w:lang w:val="en-IE"/>
        </w:rPr>
        <w:t>s</w:t>
      </w:r>
      <w:r w:rsidR="00282713" w:rsidRPr="00EA504E">
        <w:rPr>
          <w:lang w:val="en-IE"/>
        </w:rPr>
        <w:t xml:space="preserve">ection 4.1.1.1, degradation means the </w:t>
      </w:r>
      <w:r w:rsidR="005816A6">
        <w:rPr>
          <w:lang w:val="en-IE"/>
        </w:rPr>
        <w:t>“</w:t>
      </w:r>
      <w:r w:rsidR="00282713" w:rsidRPr="00A265C1">
        <w:rPr>
          <w:lang w:val="en-IE"/>
        </w:rPr>
        <w:t>decomposition of organic molecules to smaller molecules and eventually to carbon dioxide, water, and salts</w:t>
      </w:r>
      <w:r w:rsidR="005816A6">
        <w:rPr>
          <w:lang w:val="en-IE"/>
        </w:rPr>
        <w:t>”</w:t>
      </w:r>
      <w:r w:rsidR="00282713" w:rsidRPr="00EA504E">
        <w:rPr>
          <w:lang w:val="en-IE"/>
        </w:rPr>
        <w:t xml:space="preserve">. </w:t>
      </w:r>
    </w:p>
    <w:p w14:paraId="5CA46BBF" w14:textId="08AB42B1" w:rsidR="00282713" w:rsidRPr="0055592A" w:rsidRDefault="004A2B68" w:rsidP="001214FC">
      <w:pPr>
        <w:pStyle w:val="SingleTxtG"/>
        <w:spacing w:after="0"/>
        <w:rPr>
          <w:lang w:val="en-IE"/>
        </w:rPr>
      </w:pPr>
      <w:r>
        <w:rPr>
          <w:lang w:val="en-IE"/>
        </w:rPr>
        <w:tab/>
      </w:r>
      <w:r w:rsidR="003B7468">
        <w:rPr>
          <w:lang w:val="en-IE"/>
        </w:rPr>
        <w:t>(</w:t>
      </w:r>
      <w:r w:rsidR="008C5893" w:rsidRPr="0055592A">
        <w:rPr>
          <w:lang w:val="en-IE"/>
        </w:rPr>
        <w:t>b</w:t>
      </w:r>
      <w:r w:rsidR="003B7468">
        <w:rPr>
          <w:lang w:val="en-IE"/>
        </w:rPr>
        <w:t>)</w:t>
      </w:r>
      <w:r w:rsidR="008C5893" w:rsidRPr="0055592A">
        <w:rPr>
          <w:lang w:val="en-IE"/>
        </w:rPr>
        <w:tab/>
      </w:r>
      <w:r w:rsidR="00282713" w:rsidRPr="00EA504E">
        <w:rPr>
          <w:lang w:val="en-IE"/>
        </w:rPr>
        <w:t>Furthermo</w:t>
      </w:r>
      <w:r w:rsidR="00282713" w:rsidRPr="00387576">
        <w:rPr>
          <w:lang w:val="en-IE"/>
        </w:rPr>
        <w:t xml:space="preserve">re, </w:t>
      </w:r>
      <w:r w:rsidR="005816A6">
        <w:rPr>
          <w:lang w:val="en-IE"/>
        </w:rPr>
        <w:t>s</w:t>
      </w:r>
      <w:r w:rsidR="00282713" w:rsidRPr="00387576">
        <w:rPr>
          <w:lang w:val="en-IE"/>
        </w:rPr>
        <w:t xml:space="preserve">ection 4.1.2.11 on rapid degradability indicates that various environmental degradation processes can be determined. Section 4.1.2.12.1 adds that biodegradability is a concept which has limited or no meaning for inorganic compounds and metals. Finally, Annex 9 states in section A9.4.1.1 that </w:t>
      </w:r>
      <w:r w:rsidR="00EC3308">
        <w:rPr>
          <w:lang w:val="en-IE"/>
        </w:rPr>
        <w:t>“</w:t>
      </w:r>
      <w:r w:rsidR="00282713" w:rsidRPr="00A265C1">
        <w:rPr>
          <w:i/>
          <w:iCs/>
          <w:lang w:val="en-IE"/>
        </w:rPr>
        <w:t>degradability is one of the important intrinsic properties of substances that determine their potential environmental hazard</w:t>
      </w:r>
      <w:r w:rsidR="00282713" w:rsidRPr="00387576">
        <w:rPr>
          <w:lang w:val="en-IE"/>
        </w:rPr>
        <w:t xml:space="preserve"> </w:t>
      </w:r>
      <w:r w:rsidR="00282713">
        <w:rPr>
          <w:lang w:val="en-IE"/>
        </w:rPr>
        <w:t>(</w:t>
      </w:r>
      <w:r w:rsidR="00282713" w:rsidRPr="00387576">
        <w:rPr>
          <w:lang w:val="en-IE"/>
        </w:rPr>
        <w:t>and even if</w:t>
      </w:r>
      <w:r w:rsidR="00282713">
        <w:rPr>
          <w:lang w:val="en-IE"/>
        </w:rPr>
        <w:t>)</w:t>
      </w:r>
      <w:r w:rsidR="00282713" w:rsidRPr="00387576">
        <w:rPr>
          <w:lang w:val="en-IE"/>
        </w:rPr>
        <w:t xml:space="preserve"> </w:t>
      </w:r>
      <w:r w:rsidR="00282713" w:rsidRPr="00A265C1">
        <w:rPr>
          <w:i/>
          <w:iCs/>
          <w:lang w:val="en-IE"/>
        </w:rPr>
        <w:t>classification of substances is primarily based on their intrinsic properties</w:t>
      </w:r>
      <w:r w:rsidR="00282713" w:rsidRPr="00387576">
        <w:rPr>
          <w:lang w:val="en-IE"/>
        </w:rPr>
        <w:t xml:space="preserve"> […] </w:t>
      </w:r>
      <w:r w:rsidR="00282713">
        <w:rPr>
          <w:i/>
          <w:iCs/>
          <w:lang w:val="en-IE"/>
        </w:rPr>
        <w:t>T</w:t>
      </w:r>
      <w:r w:rsidR="00282713" w:rsidRPr="00A265C1">
        <w:rPr>
          <w:i/>
          <w:iCs/>
          <w:lang w:val="en-IE"/>
        </w:rPr>
        <w:t>he degree of degradation depends not only the intrinsic recalcitrance of the molecule, but also on the actual conditions in the receiving environmental compartment.</w:t>
      </w:r>
      <w:r w:rsidR="00EC3308">
        <w:rPr>
          <w:i/>
          <w:iCs/>
          <w:lang w:val="en-IE"/>
        </w:rPr>
        <w:t> </w:t>
      </w:r>
      <w:r w:rsidR="00282713" w:rsidRPr="00387576">
        <w:rPr>
          <w:lang w:val="en-IE"/>
        </w:rPr>
        <w:t>[…]</w:t>
      </w:r>
      <w:r w:rsidR="00EC3308">
        <w:rPr>
          <w:lang w:val="en-IE"/>
        </w:rPr>
        <w:t>”</w:t>
      </w:r>
      <w:r w:rsidR="00282713">
        <w:rPr>
          <w:i/>
          <w:iCs/>
          <w:lang w:val="en-IE"/>
        </w:rPr>
        <w:t xml:space="preserve">. </w:t>
      </w:r>
      <w:r w:rsidR="00282713" w:rsidRPr="00387576">
        <w:rPr>
          <w:lang w:val="en-IE"/>
        </w:rPr>
        <w:t>Specifically, A9.7.1.5 say</w:t>
      </w:r>
      <w:r w:rsidR="00282713">
        <w:rPr>
          <w:lang w:val="en-IE"/>
        </w:rPr>
        <w:t>s</w:t>
      </w:r>
      <w:r w:rsidR="00282713" w:rsidRPr="00387576">
        <w:rPr>
          <w:lang w:val="en-IE"/>
        </w:rPr>
        <w:t xml:space="preserve"> </w:t>
      </w:r>
      <w:r w:rsidR="00EC3308">
        <w:rPr>
          <w:lang w:val="en-IE"/>
        </w:rPr>
        <w:t>“</w:t>
      </w:r>
      <w:r w:rsidR="00282713" w:rsidRPr="00A265C1">
        <w:rPr>
          <w:i/>
          <w:iCs/>
          <w:lang w:val="en-IE"/>
        </w:rPr>
        <w:t>For inorganic compounds and metals, clearly the concept of degradability, as it has been considered and used for organic substances, has limited or no meaning. Rather, the substance may be transformed by normal environmental processes to either increase or decrease the bioavailability of the toxic species</w:t>
      </w:r>
      <w:r w:rsidR="00EC3308">
        <w:rPr>
          <w:i/>
          <w:iCs/>
          <w:lang w:val="en-IE"/>
        </w:rPr>
        <w:t>”</w:t>
      </w:r>
      <w:r w:rsidR="00282713" w:rsidRPr="00387576">
        <w:rPr>
          <w:lang w:val="en-IE"/>
        </w:rPr>
        <w:t>. On the lat</w:t>
      </w:r>
      <w:r w:rsidR="00282713">
        <w:rPr>
          <w:lang w:val="en-IE"/>
        </w:rPr>
        <w:t>t</w:t>
      </w:r>
      <w:r w:rsidR="00282713" w:rsidRPr="00387576">
        <w:rPr>
          <w:lang w:val="en-IE"/>
        </w:rPr>
        <w:t>er, Annex 10 also provides more guidance.</w:t>
      </w:r>
    </w:p>
    <w:p w14:paraId="2AC67021" w14:textId="3B505C8F" w:rsidR="00282713" w:rsidRPr="00387576" w:rsidRDefault="003B7468" w:rsidP="008C5893">
      <w:pPr>
        <w:pStyle w:val="ListParagraph"/>
        <w:tabs>
          <w:tab w:val="left" w:pos="8505"/>
        </w:tabs>
        <w:suppressAutoHyphens w:val="0"/>
        <w:kinsoku/>
        <w:overflowPunct/>
        <w:autoSpaceDE/>
        <w:autoSpaceDN/>
        <w:adjustRightInd/>
        <w:snapToGrid/>
        <w:spacing w:before="120" w:after="120" w:line="259" w:lineRule="auto"/>
        <w:ind w:left="1711" w:right="1134" w:hanging="576"/>
        <w:contextualSpacing w:val="0"/>
        <w:jc w:val="both"/>
        <w:rPr>
          <w:color w:val="000000" w:themeColor="text1"/>
          <w:lang w:val="en-IE"/>
        </w:rPr>
      </w:pPr>
      <w:r>
        <w:rPr>
          <w:color w:val="000000" w:themeColor="text1"/>
          <w:lang w:val="en-IE"/>
        </w:rPr>
        <w:t>2</w:t>
      </w:r>
      <w:r w:rsidR="008C5893" w:rsidRPr="00387576">
        <w:rPr>
          <w:color w:val="000000" w:themeColor="text1"/>
          <w:lang w:val="en-IE"/>
        </w:rPr>
        <w:t>.</w:t>
      </w:r>
      <w:r w:rsidR="008C5893" w:rsidRPr="00387576">
        <w:rPr>
          <w:color w:val="000000" w:themeColor="text1"/>
          <w:lang w:val="en-IE"/>
        </w:rPr>
        <w:tab/>
      </w:r>
      <w:r w:rsidR="00282713" w:rsidRPr="00387576">
        <w:rPr>
          <w:color w:val="000000" w:themeColor="text1"/>
          <w:lang w:val="en-IE"/>
        </w:rPr>
        <w:t>In the GHS context, it is suggested to refer to the following definition for mobility:</w:t>
      </w:r>
    </w:p>
    <w:p w14:paraId="19C8717D" w14:textId="75FE3880" w:rsidR="00282713" w:rsidRPr="0055592A" w:rsidRDefault="004A2B68" w:rsidP="00EC5FE4">
      <w:pPr>
        <w:pStyle w:val="SingleTxtG"/>
        <w:spacing w:after="0"/>
      </w:pPr>
      <w:r>
        <w:tab/>
      </w:r>
      <w:r w:rsidR="003B7468">
        <w:t>(</w:t>
      </w:r>
      <w:r w:rsidR="008C5893" w:rsidRPr="0055592A">
        <w:t>a</w:t>
      </w:r>
      <w:r w:rsidR="003B7468">
        <w:t>)</w:t>
      </w:r>
      <w:r w:rsidR="008C5893" w:rsidRPr="0055592A">
        <w:tab/>
      </w:r>
      <w:r w:rsidR="00282713" w:rsidRPr="0055592A">
        <w:t xml:space="preserve">Currently, Annex 4 </w:t>
      </w:r>
      <w:r w:rsidR="00EC3308">
        <w:t>“</w:t>
      </w:r>
      <w:r w:rsidR="00282713" w:rsidRPr="0055592A">
        <w:t xml:space="preserve">Guidance on the preparation of safety data sheets (SDS)” in A4.3.12 </w:t>
      </w:r>
      <w:r w:rsidR="00EC3308">
        <w:t>s</w:t>
      </w:r>
      <w:r w:rsidR="00282713" w:rsidRPr="0055592A">
        <w:t>ection 12: “Ecological Information” only refers to mobility in soil. Section A4.3.12.8 defines mobility as “</w:t>
      </w:r>
      <w:r w:rsidR="00282713" w:rsidRPr="0055592A">
        <w:rPr>
          <w:i/>
          <w:iCs/>
        </w:rPr>
        <w:t>the potential of a substance […], if released to the environment, to move under natural forces to the groundwater or to a distance from the site of release”</w:t>
      </w:r>
      <w:r w:rsidR="00282713" w:rsidRPr="0055592A">
        <w:t>. Moreover, mobility in soil is listed as one of five “</w:t>
      </w:r>
      <w:r w:rsidR="00282713" w:rsidRPr="0055592A">
        <w:rPr>
          <w:i/>
          <w:iCs/>
        </w:rPr>
        <w:t>basic properties</w:t>
      </w:r>
      <w:r w:rsidR="00282713" w:rsidRPr="0055592A">
        <w:t>” for which data should be provided’ in section A4.3.12.2. Section A4.3.12.8 further adds</w:t>
      </w:r>
      <w:r w:rsidR="00282713" w:rsidRPr="0055592A">
        <w:rPr>
          <w:i/>
          <w:iCs/>
        </w:rPr>
        <w:t xml:space="preserve"> “Information on mobility can be determined from relevant mobility data such as adsorption studies or leaching studies. For example, </w:t>
      </w:r>
      <w:proofErr w:type="spellStart"/>
      <w:r w:rsidR="00282713" w:rsidRPr="0055592A">
        <w:rPr>
          <w:i/>
          <w:iCs/>
        </w:rPr>
        <w:t>K</w:t>
      </w:r>
      <w:r w:rsidR="00282713" w:rsidRPr="0055592A">
        <w:rPr>
          <w:i/>
          <w:iCs/>
          <w:vertAlign w:val="subscript"/>
        </w:rPr>
        <w:t>oc</w:t>
      </w:r>
      <w:proofErr w:type="spellEnd"/>
      <w:r w:rsidR="00282713" w:rsidRPr="0055592A">
        <w:rPr>
          <w:i/>
          <w:iCs/>
        </w:rPr>
        <w:t xml:space="preserve"> values can be predicted from octanol/water partition coefficients (</w:t>
      </w:r>
      <w:proofErr w:type="spellStart"/>
      <w:r w:rsidR="00282713" w:rsidRPr="0055592A">
        <w:rPr>
          <w:i/>
          <w:iCs/>
        </w:rPr>
        <w:t>K</w:t>
      </w:r>
      <w:r w:rsidR="00282713" w:rsidRPr="0055592A">
        <w:rPr>
          <w:i/>
          <w:iCs/>
          <w:vertAlign w:val="subscript"/>
        </w:rPr>
        <w:t>ow</w:t>
      </w:r>
      <w:proofErr w:type="spellEnd"/>
      <w:r w:rsidR="00282713" w:rsidRPr="0055592A">
        <w:rPr>
          <w:i/>
          <w:iCs/>
        </w:rPr>
        <w:t>)</w:t>
      </w:r>
      <w:r w:rsidR="00282713" w:rsidRPr="0055592A">
        <w:t>”.</w:t>
      </w:r>
    </w:p>
    <w:p w14:paraId="39B69789" w14:textId="747BA76E" w:rsidR="00282713" w:rsidRPr="0055592A" w:rsidRDefault="003B7468" w:rsidP="004E5EE6">
      <w:pPr>
        <w:pStyle w:val="SingleTxtG"/>
        <w:spacing w:after="0"/>
      </w:pPr>
      <w:r>
        <w:t>3</w:t>
      </w:r>
      <w:r w:rsidR="008C5893" w:rsidRPr="0055592A">
        <w:t>.</w:t>
      </w:r>
      <w:r w:rsidR="008C5893" w:rsidRPr="0055592A">
        <w:tab/>
      </w:r>
      <w:r w:rsidR="00282713">
        <w:t>As in subparagraph 4 (b),</w:t>
      </w:r>
      <w:r w:rsidR="00282713" w:rsidRPr="00D954C7">
        <w:t xml:space="preserve"> if </w:t>
      </w:r>
      <w:r w:rsidR="00282713">
        <w:t>t</w:t>
      </w:r>
      <w:r w:rsidR="00282713" w:rsidRPr="00D96AE9">
        <w:t>he existing definitions for “persistence” and “mobility” in the GHS are</w:t>
      </w:r>
      <w:r w:rsidR="00282713">
        <w:t xml:space="preserve"> not</w:t>
      </w:r>
      <w:r w:rsidR="00282713" w:rsidRPr="00D96AE9">
        <w:t xml:space="preserve"> fit for purpose in the context of </w:t>
      </w:r>
      <w:r w:rsidR="00282713">
        <w:t xml:space="preserve">classification and labelling, the following technical points, </w:t>
      </w:r>
      <w:r w:rsidR="00282713" w:rsidRPr="00303F7A">
        <w:t>based on discussions within the PHI-IWG</w:t>
      </w:r>
      <w:r w:rsidR="00282713">
        <w:rPr>
          <w:rStyle w:val="FootnoteReference"/>
          <w:lang w:val="en-IE"/>
        </w:rPr>
        <w:footnoteReference w:id="6"/>
      </w:r>
      <w:r w:rsidR="00282713">
        <w:t>, can be considered:</w:t>
      </w:r>
    </w:p>
    <w:p w14:paraId="2CE0356B" w14:textId="6E563ACA" w:rsidR="00282713" w:rsidRPr="0055592A" w:rsidRDefault="00EB4299" w:rsidP="00000954">
      <w:pPr>
        <w:pStyle w:val="SingleTxtG"/>
        <w:spacing w:after="0"/>
      </w:pPr>
      <w:r>
        <w:tab/>
      </w:r>
      <w:r w:rsidR="003B7468">
        <w:t>(</w:t>
      </w:r>
      <w:r w:rsidR="008C5893" w:rsidRPr="0055592A">
        <w:t>a</w:t>
      </w:r>
      <w:r w:rsidR="003B7468">
        <w:t>)</w:t>
      </w:r>
      <w:r w:rsidR="008C5893" w:rsidRPr="0055592A">
        <w:tab/>
      </w:r>
      <w:r w:rsidR="00282713" w:rsidRPr="00387576">
        <w:rPr>
          <w:lang w:val="en-IE"/>
        </w:rPr>
        <w:t xml:space="preserve">The definition of </w:t>
      </w:r>
      <w:r w:rsidR="00282713">
        <w:rPr>
          <w:lang w:val="en-IE"/>
        </w:rPr>
        <w:t>“</w:t>
      </w:r>
      <w:r w:rsidR="00282713" w:rsidRPr="00387576">
        <w:rPr>
          <w:lang w:val="en-IE"/>
        </w:rPr>
        <w:t>persistence</w:t>
      </w:r>
      <w:r w:rsidR="00282713">
        <w:rPr>
          <w:lang w:val="en-IE"/>
        </w:rPr>
        <w:t>”</w:t>
      </w:r>
      <w:r w:rsidR="00282713" w:rsidRPr="00387576">
        <w:rPr>
          <w:lang w:val="en-IE"/>
        </w:rPr>
        <w:t xml:space="preserve"> could be reformulated as follows: persistence</w:t>
      </w:r>
      <w:r w:rsidR="00282713">
        <w:rPr>
          <w:lang w:val="en-IE"/>
        </w:rPr>
        <w:t xml:space="preserve"> (P)</w:t>
      </w:r>
      <w:r w:rsidR="00282713" w:rsidRPr="00387576">
        <w:rPr>
          <w:lang w:val="en-IE"/>
        </w:rPr>
        <w:t xml:space="preserve"> is the intrinsic property of a[n organic] substance to resist degradation/transformation in the environment, either through biodegradation or other processes from one chemical species into other(s) and</w:t>
      </w:r>
      <w:r w:rsidR="00282713">
        <w:rPr>
          <w:lang w:val="en-IE"/>
        </w:rPr>
        <w:t>,</w:t>
      </w:r>
      <w:r w:rsidR="00282713" w:rsidRPr="00387576">
        <w:rPr>
          <w:lang w:val="en-IE"/>
        </w:rPr>
        <w:t xml:space="preserve"> eventually</w:t>
      </w:r>
      <w:r w:rsidR="00282713">
        <w:rPr>
          <w:lang w:val="en-IE"/>
        </w:rPr>
        <w:t>,</w:t>
      </w:r>
      <w:r w:rsidR="00282713" w:rsidRPr="00387576">
        <w:rPr>
          <w:lang w:val="en-IE"/>
        </w:rPr>
        <w:t xml:space="preserve"> to carbon dioxide, water and salts. Degradation refers to either primary degradation or mineralization to carbon dioxide, water and salts.</w:t>
      </w:r>
    </w:p>
    <w:p w14:paraId="306E0AC3" w14:textId="558AC7D1" w:rsidR="00282713" w:rsidRDefault="00EB4299" w:rsidP="00EB4299">
      <w:pPr>
        <w:pStyle w:val="SingleTxtG"/>
      </w:pPr>
      <w:r>
        <w:tab/>
      </w:r>
      <w:r w:rsidR="003B7468">
        <w:t>(</w:t>
      </w:r>
      <w:r w:rsidR="008C5893">
        <w:t>b</w:t>
      </w:r>
      <w:r w:rsidR="003B7468">
        <w:t>)</w:t>
      </w:r>
      <w:r w:rsidR="008C5893">
        <w:tab/>
      </w:r>
      <w:r w:rsidR="00282713">
        <w:t>T</w:t>
      </w:r>
      <w:r w:rsidR="00282713" w:rsidRPr="00D954C7">
        <w:t xml:space="preserve">o be more broadly applicable to chemical releases to the environment, the definition of </w:t>
      </w:r>
      <w:r w:rsidR="00282713">
        <w:t>“</w:t>
      </w:r>
      <w:r w:rsidR="00282713" w:rsidRPr="00D954C7">
        <w:t>mobility</w:t>
      </w:r>
      <w:r w:rsidR="00282713">
        <w:t>”</w:t>
      </w:r>
      <w:r w:rsidR="00282713" w:rsidRPr="00D954C7">
        <w:t xml:space="preserve"> could be reformulated as: mobility (M) is the [intrinsic property] pot</w:t>
      </w:r>
      <w:r w:rsidR="00282713" w:rsidRPr="00834A80">
        <w:t>ential of a substance, if released to the environment, to move under natural forces to reach water bodies (including drinking water resources, e.g., surface water, groundwater), or to a distance from the site of release, as a consequence of [its low adsorption potential/environmental partitioning potential to the water phase].</w:t>
      </w:r>
    </w:p>
    <w:p w14:paraId="1AA8F52D" w14:textId="5ED2840E" w:rsidR="008C5893" w:rsidRPr="008C5893" w:rsidRDefault="008C5893" w:rsidP="008C5893">
      <w:pPr>
        <w:spacing w:before="240"/>
        <w:jc w:val="center"/>
        <w:rPr>
          <w:u w:val="single"/>
        </w:rPr>
      </w:pPr>
      <w:r>
        <w:rPr>
          <w:u w:val="single"/>
        </w:rPr>
        <w:tab/>
      </w:r>
      <w:r>
        <w:rPr>
          <w:u w:val="single"/>
        </w:rPr>
        <w:tab/>
      </w:r>
      <w:r>
        <w:rPr>
          <w:u w:val="single"/>
        </w:rPr>
        <w:tab/>
      </w:r>
    </w:p>
    <w:sectPr w:rsidR="008C5893" w:rsidRPr="008C5893" w:rsidSect="00036D3B">
      <w:footnotePr>
        <w:numRestart w:val="eachSect"/>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7CEB" w14:textId="77777777" w:rsidR="001E6563" w:rsidRPr="00C47B2E" w:rsidRDefault="001E6563" w:rsidP="00C47B2E">
      <w:pPr>
        <w:pStyle w:val="Footer"/>
      </w:pPr>
    </w:p>
  </w:endnote>
  <w:endnote w:type="continuationSeparator" w:id="0">
    <w:p w14:paraId="2D590772" w14:textId="77777777" w:rsidR="001E6563" w:rsidRPr="00C47B2E" w:rsidRDefault="001E6563" w:rsidP="00C47B2E">
      <w:pPr>
        <w:pStyle w:val="Footer"/>
      </w:pPr>
    </w:p>
  </w:endnote>
  <w:endnote w:type="continuationNotice" w:id="1">
    <w:p w14:paraId="6F8E5151" w14:textId="77777777" w:rsidR="001E6563" w:rsidRPr="00C47B2E" w:rsidRDefault="001E656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1614" w14:textId="0A2C3EE3" w:rsidR="00D94B05" w:rsidRPr="00036D3B" w:rsidRDefault="00036D3B" w:rsidP="00036D3B">
    <w:pPr>
      <w:pStyle w:val="Footer"/>
      <w:tabs>
        <w:tab w:val="right" w:pos="9598"/>
        <w:tab w:val="right" w:pos="9638"/>
      </w:tabs>
      <w:rPr>
        <w:sz w:val="18"/>
      </w:rPr>
    </w:pPr>
    <w:r w:rsidRPr="00036D3B">
      <w:rPr>
        <w:b/>
        <w:sz w:val="18"/>
      </w:rPr>
      <w:fldChar w:fldCharType="begin"/>
    </w:r>
    <w:r w:rsidRPr="00036D3B">
      <w:rPr>
        <w:b/>
        <w:sz w:val="18"/>
      </w:rPr>
      <w:instrText xml:space="preserve"> PAGE  \* MERGEFORMAT </w:instrText>
    </w:r>
    <w:r w:rsidRPr="00036D3B">
      <w:rPr>
        <w:b/>
        <w:sz w:val="18"/>
      </w:rPr>
      <w:fldChar w:fldCharType="separate"/>
    </w:r>
    <w:r w:rsidRPr="00036D3B">
      <w:rPr>
        <w:b/>
        <w:noProof/>
        <w:sz w:val="18"/>
      </w:rPr>
      <w:t>2</w:t>
    </w:r>
    <w:r w:rsidRPr="00036D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9404" w14:textId="1D8F5332" w:rsidR="00D94B05" w:rsidRPr="00282713" w:rsidRDefault="00036D3B" w:rsidP="00282713">
    <w:pPr>
      <w:pStyle w:val="Footer"/>
      <w:tabs>
        <w:tab w:val="left" w:pos="5775"/>
        <w:tab w:val="right" w:pos="9598"/>
        <w:tab w:val="right" w:pos="9638"/>
      </w:tabs>
      <w:jc w:val="right"/>
      <w:rPr>
        <w:b/>
        <w:bCs/>
        <w:sz w:val="18"/>
      </w:rPr>
    </w:pPr>
    <w:r>
      <w:rPr>
        <w:b/>
        <w:sz w:val="18"/>
      </w:rPr>
      <w:tab/>
    </w:r>
    <w:r w:rsidRPr="00282713">
      <w:rPr>
        <w:b/>
        <w:bCs/>
        <w:sz w:val="18"/>
      </w:rPr>
      <w:fldChar w:fldCharType="begin"/>
    </w:r>
    <w:r w:rsidRPr="00282713">
      <w:rPr>
        <w:b/>
        <w:bCs/>
        <w:sz w:val="18"/>
      </w:rPr>
      <w:instrText xml:space="preserve"> PAGE  \* MERGEFORMAT </w:instrText>
    </w:r>
    <w:r w:rsidRPr="00282713">
      <w:rPr>
        <w:b/>
        <w:bCs/>
        <w:sz w:val="18"/>
      </w:rPr>
      <w:fldChar w:fldCharType="separate"/>
    </w:r>
    <w:r w:rsidRPr="00282713">
      <w:rPr>
        <w:b/>
        <w:bCs/>
        <w:noProof/>
        <w:sz w:val="18"/>
      </w:rPr>
      <w:t>3</w:t>
    </w:r>
    <w:r w:rsidRPr="0028271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E04E" w14:textId="77777777" w:rsidR="00D94B05" w:rsidRPr="00036D3B" w:rsidRDefault="00E52109" w:rsidP="00764440">
    <w:pPr>
      <w:pStyle w:val="Footer"/>
      <w:rPr>
        <w:rFonts w:asciiTheme="majorBidi" w:hAnsiTheme="majorBidi" w:cstheme="majorBidi"/>
        <w:sz w:val="20"/>
      </w:rPr>
    </w:pPr>
    <w:r>
      <w:rPr>
        <w:noProof/>
        <w:lang w:val="fr-CH" w:eastAsia="fr-CH"/>
      </w:rPr>
      <w:drawing>
        <wp:anchor distT="0" distB="0" distL="114300" distR="114300" simplePos="0" relativeHeight="251659264" behindDoc="0" locked="1" layoutInCell="1" allowOverlap="1" wp14:anchorId="14758550" wp14:editId="7B880DD3">
          <wp:simplePos x="0" y="0"/>
          <wp:positionH relativeFrom="margin">
            <wp:posOffset>5003800</wp:posOffset>
          </wp:positionH>
          <wp:positionV relativeFrom="margin">
            <wp:posOffset>9323705</wp:posOffset>
          </wp:positionV>
          <wp:extent cx="923925" cy="228600"/>
          <wp:effectExtent l="0" t="0" r="952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FA79" w14:textId="77777777" w:rsidR="001E6563" w:rsidRPr="00C47B2E" w:rsidRDefault="001E6563" w:rsidP="00C47B2E">
      <w:pPr>
        <w:tabs>
          <w:tab w:val="right" w:pos="2155"/>
        </w:tabs>
        <w:spacing w:after="80" w:line="240" w:lineRule="auto"/>
        <w:ind w:left="680"/>
      </w:pPr>
      <w:r>
        <w:rPr>
          <w:u w:val="single"/>
        </w:rPr>
        <w:tab/>
      </w:r>
    </w:p>
  </w:footnote>
  <w:footnote w:type="continuationSeparator" w:id="0">
    <w:p w14:paraId="368219E1" w14:textId="77777777" w:rsidR="001E6563" w:rsidRPr="00C47B2E" w:rsidRDefault="001E6563" w:rsidP="005E716E">
      <w:pPr>
        <w:tabs>
          <w:tab w:val="right" w:pos="2155"/>
        </w:tabs>
        <w:spacing w:after="80" w:line="240" w:lineRule="auto"/>
        <w:ind w:left="680"/>
      </w:pPr>
      <w:r>
        <w:rPr>
          <w:u w:val="single"/>
        </w:rPr>
        <w:tab/>
      </w:r>
    </w:p>
  </w:footnote>
  <w:footnote w:type="continuationNotice" w:id="1">
    <w:p w14:paraId="651722F6" w14:textId="77777777" w:rsidR="001E6563" w:rsidRPr="00C47B2E" w:rsidRDefault="001E6563" w:rsidP="00C47B2E">
      <w:pPr>
        <w:pStyle w:val="Footer"/>
      </w:pPr>
    </w:p>
  </w:footnote>
  <w:footnote w:id="2">
    <w:p w14:paraId="61B3D7AC" w14:textId="6500E212" w:rsidR="000A6FCA" w:rsidRPr="00545B59" w:rsidRDefault="000A6FCA">
      <w:pPr>
        <w:pStyle w:val="FootnoteText"/>
        <w:rPr>
          <w:lang w:val="en-IE"/>
        </w:rPr>
      </w:pPr>
      <w:r>
        <w:rPr>
          <w:rStyle w:val="FootnoteReference"/>
        </w:rPr>
        <w:tab/>
      </w:r>
      <w:r w:rsidRPr="000A6FCA">
        <w:rPr>
          <w:rStyle w:val="FootnoteReference"/>
          <w:sz w:val="20"/>
          <w:vertAlign w:val="baseline"/>
        </w:rPr>
        <w:t>*</w:t>
      </w:r>
      <w:r>
        <w:rPr>
          <w:rStyle w:val="FootnoteReference"/>
          <w:sz w:val="20"/>
          <w:vertAlign w:val="baseline"/>
        </w:rPr>
        <w:tab/>
      </w:r>
      <w:r w:rsidR="008C5893" w:rsidRPr="0082113E">
        <w:t>A/78/6 (Sect. 20), table 20.5</w:t>
      </w:r>
      <w:r w:rsidR="008C5893">
        <w:t>.</w:t>
      </w:r>
    </w:p>
  </w:footnote>
  <w:footnote w:id="3">
    <w:p w14:paraId="6DDE372E" w14:textId="52168AF3" w:rsidR="00282713" w:rsidRPr="00C82C4E" w:rsidRDefault="00282713" w:rsidP="00282713">
      <w:pPr>
        <w:pStyle w:val="FootnoteText"/>
        <w:rPr>
          <w:lang w:val="en-IE"/>
        </w:rPr>
      </w:pPr>
      <w:r>
        <w:rPr>
          <w:lang w:val="en-IE"/>
        </w:rPr>
        <w:tab/>
      </w:r>
      <w:r w:rsidRPr="00C82C4E">
        <w:rPr>
          <w:rStyle w:val="FootnoteReference"/>
          <w:lang w:val="en-IE"/>
        </w:rPr>
        <w:footnoteRef/>
      </w:r>
      <w:r>
        <w:rPr>
          <w:lang w:val="en-IE"/>
        </w:rPr>
        <w:tab/>
        <w:t>See report of the Sub-Committee on its forty-third session (</w:t>
      </w:r>
      <w:hyperlink r:id="rId1" w:history="1">
        <w:r w:rsidRPr="00C82C4E">
          <w:rPr>
            <w:rStyle w:val="Hyperlink"/>
            <w:lang w:val="en-IE"/>
          </w:rPr>
          <w:t>ST/SG/AC.10/C.4/86</w:t>
        </w:r>
      </w:hyperlink>
      <w:r w:rsidRPr="00C82C4E">
        <w:rPr>
          <w:lang w:val="en-IE"/>
        </w:rPr>
        <w:t>, paragraph 53</w:t>
      </w:r>
      <w:r>
        <w:rPr>
          <w:lang w:val="en-IE"/>
        </w:rPr>
        <w:t>)</w:t>
      </w:r>
      <w:r w:rsidR="008878BA">
        <w:rPr>
          <w:lang w:val="en-IE"/>
        </w:rPr>
        <w:t>.</w:t>
      </w:r>
    </w:p>
  </w:footnote>
  <w:footnote w:id="4">
    <w:p w14:paraId="00F7CAA3" w14:textId="45DD7DDE" w:rsidR="00282713" w:rsidRPr="00C82C4E" w:rsidRDefault="00282713" w:rsidP="00282713">
      <w:pPr>
        <w:pStyle w:val="FootnoteText"/>
        <w:rPr>
          <w:lang w:val="en-IE"/>
        </w:rPr>
      </w:pPr>
      <w:r>
        <w:rPr>
          <w:lang w:val="en-IE"/>
        </w:rPr>
        <w:tab/>
      </w:r>
      <w:r w:rsidRPr="00C82C4E">
        <w:rPr>
          <w:rStyle w:val="FootnoteReference"/>
          <w:lang w:val="en-IE"/>
        </w:rPr>
        <w:footnoteRef/>
      </w:r>
      <w:r>
        <w:rPr>
          <w:lang w:val="en-IE"/>
        </w:rPr>
        <w:tab/>
      </w:r>
      <w:hyperlink r:id="rId2" w:history="1">
        <w:r>
          <w:rPr>
            <w:rStyle w:val="Hyperlink"/>
            <w:lang w:val="en-IE"/>
          </w:rPr>
          <w:t xml:space="preserve">Informal document </w:t>
        </w:r>
        <w:r w:rsidRPr="00C82C4E">
          <w:rPr>
            <w:rStyle w:val="Hyperlink"/>
            <w:lang w:val="en-IE"/>
          </w:rPr>
          <w:t>INF.39</w:t>
        </w:r>
      </w:hyperlink>
      <w:r>
        <w:rPr>
          <w:rStyle w:val="Hyperlink"/>
          <w:lang w:val="en-IE"/>
        </w:rPr>
        <w:t xml:space="preserve"> (forty-third session).</w:t>
      </w:r>
    </w:p>
  </w:footnote>
  <w:footnote w:id="5">
    <w:p w14:paraId="3D258A7C" w14:textId="5D329593" w:rsidR="00282713" w:rsidRPr="00C82C4E" w:rsidRDefault="00282713" w:rsidP="00282713">
      <w:pPr>
        <w:pStyle w:val="FootnoteText"/>
        <w:rPr>
          <w:lang w:val="en-IE"/>
        </w:rPr>
      </w:pPr>
      <w:r>
        <w:rPr>
          <w:lang w:val="en-IE"/>
        </w:rPr>
        <w:tab/>
      </w:r>
      <w:r w:rsidRPr="00C82C4E">
        <w:rPr>
          <w:rStyle w:val="FootnoteReference"/>
          <w:lang w:val="en-IE"/>
        </w:rPr>
        <w:footnoteRef/>
      </w:r>
      <w:r>
        <w:rPr>
          <w:lang w:val="en-IE"/>
        </w:rPr>
        <w:tab/>
        <w:t>See report of the Sub-Committee on its forty</w:t>
      </w:r>
      <w:r w:rsidR="0007551C">
        <w:rPr>
          <w:lang w:val="en-IE"/>
        </w:rPr>
        <w:t>-</w:t>
      </w:r>
      <w:r>
        <w:rPr>
          <w:lang w:val="en-IE"/>
        </w:rPr>
        <w:t>fourth session (</w:t>
      </w:r>
      <w:hyperlink r:id="rId3" w:history="1">
        <w:r w:rsidRPr="00C82C4E">
          <w:rPr>
            <w:rStyle w:val="Hyperlink"/>
            <w:lang w:val="en-IE"/>
          </w:rPr>
          <w:t>ST/SG/AC.10/C.4/88</w:t>
        </w:r>
      </w:hyperlink>
      <w:r w:rsidRPr="00C82C4E">
        <w:rPr>
          <w:lang w:val="en-IE"/>
        </w:rPr>
        <w:t>, paragraphs 17</w:t>
      </w:r>
      <w:r>
        <w:rPr>
          <w:lang w:val="en-IE"/>
        </w:rPr>
        <w:t xml:space="preserve"> to</w:t>
      </w:r>
      <w:r w:rsidR="0007551C">
        <w:rPr>
          <w:lang w:val="en-IE"/>
        </w:rPr>
        <w:t> </w:t>
      </w:r>
      <w:r w:rsidRPr="00C82C4E">
        <w:rPr>
          <w:lang w:val="en-IE"/>
        </w:rPr>
        <w:t>19</w:t>
      </w:r>
      <w:r>
        <w:rPr>
          <w:lang w:val="en-IE"/>
        </w:rPr>
        <w:t xml:space="preserve">) and </w:t>
      </w:r>
      <w:hyperlink r:id="rId4" w:history="1">
        <w:r w:rsidRPr="005C774F">
          <w:rPr>
            <w:rStyle w:val="Hyperlink"/>
            <w:lang w:val="en-IE"/>
          </w:rPr>
          <w:t>informal document INF.19 (forty-fourth session)</w:t>
        </w:r>
      </w:hyperlink>
      <w:r>
        <w:rPr>
          <w:lang w:val="en-IE"/>
        </w:rPr>
        <w:t>.</w:t>
      </w:r>
    </w:p>
  </w:footnote>
  <w:footnote w:id="6">
    <w:p w14:paraId="643E8486" w14:textId="6895ABFA" w:rsidR="00282713" w:rsidRPr="0055592A" w:rsidRDefault="003B7468" w:rsidP="00282713">
      <w:pPr>
        <w:pStyle w:val="FootnoteText"/>
        <w:rPr>
          <w:lang w:val="en-IE"/>
        </w:rPr>
      </w:pPr>
      <w:r>
        <w:tab/>
      </w:r>
      <w:r w:rsidR="00282713">
        <w:rPr>
          <w:rStyle w:val="FootnoteReference"/>
        </w:rPr>
        <w:footnoteRef/>
      </w:r>
      <w:r>
        <w:tab/>
      </w:r>
      <w:r w:rsidR="00282713" w:rsidRPr="00D96AE9">
        <w:rPr>
          <w:lang w:val="en-IE"/>
        </w:rPr>
        <w:t>The text in square brackets reflects divergent views</w:t>
      </w:r>
      <w:r w:rsidR="00282713">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28A7" w14:textId="78DE6863" w:rsidR="00036D3B" w:rsidRPr="00036D3B" w:rsidRDefault="00000000">
    <w:pPr>
      <w:pStyle w:val="Header"/>
    </w:pPr>
    <w:fldSimple w:instr=" TITLE  \* MERGEFORMAT ">
      <w:r w:rsidR="00036D3B">
        <w:t>ST/SG/AC.10/C.4/2024/9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446A" w14:textId="337D4F7A" w:rsidR="00D94B05" w:rsidRPr="00036D3B" w:rsidRDefault="00000000" w:rsidP="00036D3B">
    <w:pPr>
      <w:pStyle w:val="Header"/>
      <w:jc w:val="right"/>
    </w:pPr>
    <w:fldSimple w:instr=" TITLE  \* MERGEFORMAT ">
      <w:r w:rsidR="00036D3B">
        <w:t>ST/SG/AC.10/C.4/2024/9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5A53E6"/>
    <w:multiLevelType w:val="hybridMultilevel"/>
    <w:tmpl w:val="3D6CC130"/>
    <w:lvl w:ilvl="0" w:tplc="0CB6F706">
      <w:start w:val="1"/>
      <w:numFmt w:val="decimal"/>
      <w:lvlText w:val="%1."/>
      <w:lvlJc w:val="left"/>
      <w:pPr>
        <w:ind w:left="1711" w:hanging="576"/>
      </w:pPr>
      <w:rPr>
        <w:rFonts w:hint="default"/>
      </w:rPr>
    </w:lvl>
    <w:lvl w:ilvl="1" w:tplc="18090019">
      <w:start w:val="1"/>
      <w:numFmt w:val="lowerLetter"/>
      <w:lvlText w:val="%2."/>
      <w:lvlJc w:val="left"/>
      <w:pPr>
        <w:ind w:left="2214" w:hanging="360"/>
      </w:pPr>
    </w:lvl>
    <w:lvl w:ilvl="2" w:tplc="1809001B">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C038E"/>
    <w:multiLevelType w:val="hybridMultilevel"/>
    <w:tmpl w:val="233C0AF8"/>
    <w:lvl w:ilvl="0" w:tplc="03901498">
      <w:start w:val="1"/>
      <w:numFmt w:val="lowerLetter"/>
      <w:lvlText w:val="%1."/>
      <w:lvlJc w:val="left"/>
      <w:pPr>
        <w:ind w:left="2214" w:hanging="360"/>
      </w:pPr>
      <w:rPr>
        <w:rFonts w:hint="default"/>
      </w:rPr>
    </w:lvl>
    <w:lvl w:ilvl="1" w:tplc="18090019" w:tentative="1">
      <w:start w:val="1"/>
      <w:numFmt w:val="lowerLetter"/>
      <w:lvlText w:val="%2."/>
      <w:lvlJc w:val="left"/>
      <w:pPr>
        <w:ind w:left="2934" w:hanging="360"/>
      </w:pPr>
    </w:lvl>
    <w:lvl w:ilvl="2" w:tplc="1809001B" w:tentative="1">
      <w:start w:val="1"/>
      <w:numFmt w:val="lowerRoman"/>
      <w:lvlText w:val="%3."/>
      <w:lvlJc w:val="right"/>
      <w:pPr>
        <w:ind w:left="3654" w:hanging="180"/>
      </w:pPr>
    </w:lvl>
    <w:lvl w:ilvl="3" w:tplc="1809000F" w:tentative="1">
      <w:start w:val="1"/>
      <w:numFmt w:val="decimal"/>
      <w:lvlText w:val="%4."/>
      <w:lvlJc w:val="left"/>
      <w:pPr>
        <w:ind w:left="4374" w:hanging="360"/>
      </w:pPr>
    </w:lvl>
    <w:lvl w:ilvl="4" w:tplc="18090019" w:tentative="1">
      <w:start w:val="1"/>
      <w:numFmt w:val="lowerLetter"/>
      <w:lvlText w:val="%5."/>
      <w:lvlJc w:val="left"/>
      <w:pPr>
        <w:ind w:left="5094" w:hanging="360"/>
      </w:pPr>
    </w:lvl>
    <w:lvl w:ilvl="5" w:tplc="1809001B" w:tentative="1">
      <w:start w:val="1"/>
      <w:numFmt w:val="lowerRoman"/>
      <w:lvlText w:val="%6."/>
      <w:lvlJc w:val="right"/>
      <w:pPr>
        <w:ind w:left="5814" w:hanging="180"/>
      </w:pPr>
    </w:lvl>
    <w:lvl w:ilvl="6" w:tplc="1809000F" w:tentative="1">
      <w:start w:val="1"/>
      <w:numFmt w:val="decimal"/>
      <w:lvlText w:val="%7."/>
      <w:lvlJc w:val="left"/>
      <w:pPr>
        <w:ind w:left="6534" w:hanging="360"/>
      </w:pPr>
    </w:lvl>
    <w:lvl w:ilvl="7" w:tplc="18090019" w:tentative="1">
      <w:start w:val="1"/>
      <w:numFmt w:val="lowerLetter"/>
      <w:lvlText w:val="%8."/>
      <w:lvlJc w:val="left"/>
      <w:pPr>
        <w:ind w:left="7254" w:hanging="360"/>
      </w:pPr>
    </w:lvl>
    <w:lvl w:ilvl="8" w:tplc="1809001B" w:tentative="1">
      <w:start w:val="1"/>
      <w:numFmt w:val="lowerRoman"/>
      <w:lvlText w:val="%9."/>
      <w:lvlJc w:val="right"/>
      <w:pPr>
        <w:ind w:left="7974" w:hanging="180"/>
      </w:pPr>
    </w:lvl>
  </w:abstractNum>
  <w:abstractNum w:abstractNumId="8" w15:restartNumberingAfterBreak="0">
    <w:nsid w:val="4FC91A02"/>
    <w:multiLevelType w:val="hybridMultilevel"/>
    <w:tmpl w:val="796249A0"/>
    <w:lvl w:ilvl="0" w:tplc="FFFFFFFF">
      <w:start w:val="1"/>
      <w:numFmt w:val="decimal"/>
      <w:lvlText w:val="%1."/>
      <w:lvlJc w:val="left"/>
      <w:pPr>
        <w:ind w:left="1711" w:hanging="576"/>
      </w:pPr>
      <w:rPr>
        <w:rFonts w:hint="default"/>
      </w:rPr>
    </w:lvl>
    <w:lvl w:ilvl="1" w:tplc="03901498">
      <w:start w:val="1"/>
      <w:numFmt w:val="lowerLetter"/>
      <w:lvlText w:val="%2."/>
      <w:lvlJc w:val="left"/>
      <w:pPr>
        <w:ind w:left="2214" w:hanging="360"/>
      </w:pPr>
      <w:rPr>
        <w:rFonts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9352292">
    <w:abstractNumId w:val="6"/>
  </w:num>
  <w:num w:numId="2" w16cid:durableId="619266038">
    <w:abstractNumId w:val="5"/>
  </w:num>
  <w:num w:numId="3" w16cid:durableId="829755401">
    <w:abstractNumId w:val="0"/>
  </w:num>
  <w:num w:numId="4" w16cid:durableId="1612200141">
    <w:abstractNumId w:val="9"/>
  </w:num>
  <w:num w:numId="5" w16cid:durableId="1038165767">
    <w:abstractNumId w:val="10"/>
  </w:num>
  <w:num w:numId="6" w16cid:durableId="1047293228">
    <w:abstractNumId w:val="12"/>
  </w:num>
  <w:num w:numId="7" w16cid:durableId="1144736615">
    <w:abstractNumId w:val="4"/>
  </w:num>
  <w:num w:numId="8" w16cid:durableId="570163703">
    <w:abstractNumId w:val="1"/>
  </w:num>
  <w:num w:numId="9" w16cid:durableId="8728337">
    <w:abstractNumId w:val="11"/>
  </w:num>
  <w:num w:numId="10" w16cid:durableId="1153108703">
    <w:abstractNumId w:val="1"/>
  </w:num>
  <w:num w:numId="11" w16cid:durableId="1564370227">
    <w:abstractNumId w:val="11"/>
  </w:num>
  <w:num w:numId="12" w16cid:durableId="1510752977">
    <w:abstractNumId w:val="2"/>
  </w:num>
  <w:num w:numId="13" w16cid:durableId="1211310006">
    <w:abstractNumId w:val="2"/>
  </w:num>
  <w:num w:numId="14" w16cid:durableId="2056082200">
    <w:abstractNumId w:val="3"/>
  </w:num>
  <w:num w:numId="15" w16cid:durableId="429474331">
    <w:abstractNumId w:val="8"/>
  </w:num>
  <w:num w:numId="16" w16cid:durableId="1396322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3B"/>
    <w:rsid w:val="00000954"/>
    <w:rsid w:val="00004090"/>
    <w:rsid w:val="00036D3B"/>
    <w:rsid w:val="00046E92"/>
    <w:rsid w:val="0006310E"/>
    <w:rsid w:val="00063C90"/>
    <w:rsid w:val="00070000"/>
    <w:rsid w:val="0007551C"/>
    <w:rsid w:val="000A6FCA"/>
    <w:rsid w:val="000D02B8"/>
    <w:rsid w:val="000E7DDC"/>
    <w:rsid w:val="00101B98"/>
    <w:rsid w:val="001214FC"/>
    <w:rsid w:val="001514D1"/>
    <w:rsid w:val="001E6563"/>
    <w:rsid w:val="00247E2C"/>
    <w:rsid w:val="00262DDD"/>
    <w:rsid w:val="00282713"/>
    <w:rsid w:val="002A32CB"/>
    <w:rsid w:val="002A6DD9"/>
    <w:rsid w:val="002D5B2C"/>
    <w:rsid w:val="002D6C53"/>
    <w:rsid w:val="002F5595"/>
    <w:rsid w:val="00332AED"/>
    <w:rsid w:val="00334F6A"/>
    <w:rsid w:val="00336654"/>
    <w:rsid w:val="00342AC8"/>
    <w:rsid w:val="00343302"/>
    <w:rsid w:val="003979DE"/>
    <w:rsid w:val="003B4550"/>
    <w:rsid w:val="003B7468"/>
    <w:rsid w:val="003D2A18"/>
    <w:rsid w:val="00413386"/>
    <w:rsid w:val="00461253"/>
    <w:rsid w:val="00466B7E"/>
    <w:rsid w:val="004858F5"/>
    <w:rsid w:val="004A2814"/>
    <w:rsid w:val="004A2B68"/>
    <w:rsid w:val="004B3A89"/>
    <w:rsid w:val="004C0622"/>
    <w:rsid w:val="004E5EE6"/>
    <w:rsid w:val="004F73D0"/>
    <w:rsid w:val="005042C2"/>
    <w:rsid w:val="00545B59"/>
    <w:rsid w:val="00563E97"/>
    <w:rsid w:val="005816A6"/>
    <w:rsid w:val="005A11D4"/>
    <w:rsid w:val="005E716E"/>
    <w:rsid w:val="00636AAB"/>
    <w:rsid w:val="006476E1"/>
    <w:rsid w:val="00650FC6"/>
    <w:rsid w:val="006604DF"/>
    <w:rsid w:val="00671529"/>
    <w:rsid w:val="00673EA9"/>
    <w:rsid w:val="006D2791"/>
    <w:rsid w:val="006D4BE9"/>
    <w:rsid w:val="006F1EF5"/>
    <w:rsid w:val="0070489D"/>
    <w:rsid w:val="007200A1"/>
    <w:rsid w:val="007268F9"/>
    <w:rsid w:val="0073698D"/>
    <w:rsid w:val="00750282"/>
    <w:rsid w:val="00764440"/>
    <w:rsid w:val="0077101B"/>
    <w:rsid w:val="007A7658"/>
    <w:rsid w:val="007C52B0"/>
    <w:rsid w:val="007C6033"/>
    <w:rsid w:val="008147C8"/>
    <w:rsid w:val="0081753A"/>
    <w:rsid w:val="008338C7"/>
    <w:rsid w:val="00854AA2"/>
    <w:rsid w:val="00857D23"/>
    <w:rsid w:val="00880BFD"/>
    <w:rsid w:val="008878BA"/>
    <w:rsid w:val="00895F5A"/>
    <w:rsid w:val="008C5893"/>
    <w:rsid w:val="008D0969"/>
    <w:rsid w:val="008D19B4"/>
    <w:rsid w:val="00907F3F"/>
    <w:rsid w:val="009411B4"/>
    <w:rsid w:val="00946F1D"/>
    <w:rsid w:val="009D0139"/>
    <w:rsid w:val="009D717D"/>
    <w:rsid w:val="009F5CDC"/>
    <w:rsid w:val="00A0307A"/>
    <w:rsid w:val="00A072D7"/>
    <w:rsid w:val="00A775CF"/>
    <w:rsid w:val="00AA0707"/>
    <w:rsid w:val="00AD1A9C"/>
    <w:rsid w:val="00AF5DE1"/>
    <w:rsid w:val="00B06045"/>
    <w:rsid w:val="00B206DD"/>
    <w:rsid w:val="00B52EF4"/>
    <w:rsid w:val="00B777AD"/>
    <w:rsid w:val="00B8023B"/>
    <w:rsid w:val="00BB5AD8"/>
    <w:rsid w:val="00C03015"/>
    <w:rsid w:val="00C0358D"/>
    <w:rsid w:val="00C35A27"/>
    <w:rsid w:val="00C47B2E"/>
    <w:rsid w:val="00CB1119"/>
    <w:rsid w:val="00D63CD2"/>
    <w:rsid w:val="00D67222"/>
    <w:rsid w:val="00D87DC2"/>
    <w:rsid w:val="00D93887"/>
    <w:rsid w:val="00D94B05"/>
    <w:rsid w:val="00D95482"/>
    <w:rsid w:val="00DC7379"/>
    <w:rsid w:val="00E02C2B"/>
    <w:rsid w:val="00E21C27"/>
    <w:rsid w:val="00E22C6E"/>
    <w:rsid w:val="00E26BCF"/>
    <w:rsid w:val="00E52109"/>
    <w:rsid w:val="00E75317"/>
    <w:rsid w:val="00EA3D80"/>
    <w:rsid w:val="00EB4299"/>
    <w:rsid w:val="00EC0CE6"/>
    <w:rsid w:val="00EC3308"/>
    <w:rsid w:val="00EC5FE4"/>
    <w:rsid w:val="00EC7C1D"/>
    <w:rsid w:val="00ED6C48"/>
    <w:rsid w:val="00EE3045"/>
    <w:rsid w:val="00EE3152"/>
    <w:rsid w:val="00EF353B"/>
    <w:rsid w:val="00F65F5D"/>
    <w:rsid w:val="00F86A3A"/>
    <w:rsid w:val="00FA42DA"/>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7A72"/>
  <w15:docId w15:val="{929CAE52-2569-4800-9D4C-051D0122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ence/,Footnote"/>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ar">
    <w:name w:val="_ Single Txt_G Car"/>
    <w:link w:val="SingleTxtG"/>
    <w:rsid w:val="00282713"/>
  </w:style>
  <w:style w:type="character" w:customStyle="1" w:styleId="HChGChar">
    <w:name w:val="_ H _Ch_G Char"/>
    <w:link w:val="HChG"/>
    <w:locked/>
    <w:rsid w:val="00282713"/>
    <w:rPr>
      <w:b/>
      <w:sz w:val="28"/>
    </w:rPr>
  </w:style>
  <w:style w:type="character" w:customStyle="1" w:styleId="H1GChar">
    <w:name w:val="_ H_1_G Char"/>
    <w:link w:val="H1G"/>
    <w:locked/>
    <w:rsid w:val="00282713"/>
    <w:rPr>
      <w:b/>
      <w:sz w:val="24"/>
    </w:rPr>
  </w:style>
  <w:style w:type="paragraph" w:styleId="ListParagraph">
    <w:name w:val="List Paragraph"/>
    <w:basedOn w:val="Normal"/>
    <w:uiPriority w:val="34"/>
    <w:qFormat/>
    <w:rsid w:val="00282713"/>
    <w:pPr>
      <w:suppressAutoHyphens/>
      <w:kinsoku w:val="0"/>
      <w:overflowPunct w:val="0"/>
      <w:autoSpaceDE w:val="0"/>
      <w:autoSpaceDN w:val="0"/>
      <w:adjustRightInd w:val="0"/>
      <w:snapToGrid w:val="0"/>
      <w:ind w:left="720"/>
      <w:contextualSpacing/>
    </w:pPr>
  </w:style>
  <w:style w:type="paragraph" w:styleId="Revision">
    <w:name w:val="Revision"/>
    <w:hidden/>
    <w:uiPriority w:val="99"/>
    <w:semiHidden/>
    <w:rsid w:val="00545B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ocuments.un.org/api/symbol/access?j=G2315064&amp;t=pdf" TargetMode="External"/><Relationship Id="rId2" Type="http://schemas.openxmlformats.org/officeDocument/2006/relationships/hyperlink" Target="https://unece.org/sites/default/files/2022-12/UN-SCEGHS-43-INF39e.pdf" TargetMode="External"/><Relationship Id="rId1" Type="http://schemas.openxmlformats.org/officeDocument/2006/relationships/hyperlink" Target="https://documents.un.org/api/symbol/access?j=G2261441&amp;t=pdf" TargetMode="External"/><Relationship Id="rId4" Type="http://schemas.openxmlformats.org/officeDocument/2006/relationships/hyperlink" Target="https://unece.org/transport/documents/2023/07/informal-documents/potential-hazard-issues-and-their-presentation-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Couto\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3.xml><?xml version="1.0" encoding="utf-8"?>
<ds:datastoreItem xmlns:ds="http://schemas.openxmlformats.org/officeDocument/2006/customXml" ds:itemID="{2C0324DB-6A82-4704-ABEB-B0E8A843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6D6C7-A69F-4CC1-9C48-E5514C6CF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SGAC10_E.dotm</Template>
  <TotalTime>47</TotalTime>
  <Pages>3</Pages>
  <Words>1347</Words>
  <Characters>7412</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ST/SG/AC.10/C.4/2024/9</dc:title>
  <dc:subject/>
  <dc:creator>Rosa Garcia-Couto</dc:creator>
  <cp:lastModifiedBy>Alicia Dorca Garcia</cp:lastModifiedBy>
  <cp:revision>33</cp:revision>
  <dcterms:created xsi:type="dcterms:W3CDTF">2024-04-11T13:36:00Z</dcterms:created>
  <dcterms:modified xsi:type="dcterms:W3CDTF">2024-04-16T12:55:00Z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6bd9ddd1-4d20-43f6-abfa-fc3c07406f94_Enabled">
    <vt:lpwstr>true</vt:lpwstr>
  </property>
  <property fmtid="{D5CDD505-2E9C-101B-9397-08002B2CF9AE}" pid="8" name="MSIP_Label_6bd9ddd1-4d20-43f6-abfa-fc3c07406f94_SetDate">
    <vt:lpwstr>2024-04-11T13:34:39Z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fedbd096-e566-456b-b4a4-50ec32ed7d38</vt:lpwstr>
  </property>
  <property fmtid="{D5CDD505-2E9C-101B-9397-08002B2CF9AE}" pid="13" name="MSIP_Label_6bd9ddd1-4d20-43f6-abfa-fc3c07406f94_ContentBits">
    <vt:lpwstr>0</vt:lpwstr>
  </property>
</Properties>
</file>