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C1D6D42" w14:textId="77777777" w:rsidTr="00F01738">
        <w:trPr>
          <w:trHeight w:hRule="exact" w:val="851"/>
        </w:trPr>
        <w:tc>
          <w:tcPr>
            <w:tcW w:w="1276" w:type="dxa"/>
            <w:tcBorders>
              <w:bottom w:val="single" w:sz="4" w:space="0" w:color="auto"/>
            </w:tcBorders>
          </w:tcPr>
          <w:p w14:paraId="1FC3A765" w14:textId="77777777" w:rsidR="00132EA9" w:rsidRPr="00DB58B5" w:rsidRDefault="00132EA9" w:rsidP="009F2A20"/>
        </w:tc>
        <w:tc>
          <w:tcPr>
            <w:tcW w:w="2268" w:type="dxa"/>
            <w:tcBorders>
              <w:bottom w:val="single" w:sz="4" w:space="0" w:color="auto"/>
            </w:tcBorders>
            <w:vAlign w:val="bottom"/>
          </w:tcPr>
          <w:p w14:paraId="2FF996A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161B2E" w14:textId="1FE059D0" w:rsidR="00132EA9" w:rsidRPr="00DB58B5" w:rsidRDefault="009F2A20" w:rsidP="009F2A20">
            <w:pPr>
              <w:jc w:val="right"/>
            </w:pPr>
            <w:r w:rsidRPr="009F2A20">
              <w:rPr>
                <w:sz w:val="40"/>
              </w:rPr>
              <w:t>ST</w:t>
            </w:r>
            <w:r>
              <w:t>/SG/AC.10/C.3/2024/48</w:t>
            </w:r>
          </w:p>
        </w:tc>
      </w:tr>
      <w:tr w:rsidR="00132EA9" w:rsidRPr="00DB58B5" w14:paraId="6FBE01C5" w14:textId="77777777" w:rsidTr="00F01738">
        <w:trPr>
          <w:trHeight w:hRule="exact" w:val="2835"/>
        </w:trPr>
        <w:tc>
          <w:tcPr>
            <w:tcW w:w="1276" w:type="dxa"/>
            <w:tcBorders>
              <w:top w:val="single" w:sz="4" w:space="0" w:color="auto"/>
              <w:bottom w:val="single" w:sz="12" w:space="0" w:color="auto"/>
            </w:tcBorders>
          </w:tcPr>
          <w:p w14:paraId="5FF543A2" w14:textId="77777777" w:rsidR="00132EA9" w:rsidRPr="00DB58B5" w:rsidRDefault="00132EA9" w:rsidP="00F01738">
            <w:pPr>
              <w:spacing w:before="120"/>
              <w:jc w:val="center"/>
            </w:pPr>
            <w:r>
              <w:rPr>
                <w:noProof/>
                <w:lang w:eastAsia="fr-CH"/>
              </w:rPr>
              <w:drawing>
                <wp:inline distT="0" distB="0" distL="0" distR="0" wp14:anchorId="0C09E886" wp14:editId="732A0A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3082B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4978FD5" w14:textId="77777777" w:rsidR="00132EA9" w:rsidRDefault="009F2A20" w:rsidP="00F01738">
            <w:pPr>
              <w:spacing w:before="240"/>
            </w:pPr>
            <w:r>
              <w:t>Distr. générale</w:t>
            </w:r>
          </w:p>
          <w:p w14:paraId="7CBFA967" w14:textId="77777777" w:rsidR="009F2A20" w:rsidRDefault="009F2A20" w:rsidP="009F2A20">
            <w:pPr>
              <w:spacing w:line="240" w:lineRule="exact"/>
            </w:pPr>
            <w:r>
              <w:t>15 avril 2024</w:t>
            </w:r>
          </w:p>
          <w:p w14:paraId="27DA667D" w14:textId="77777777" w:rsidR="009F2A20" w:rsidRDefault="009F2A20" w:rsidP="009F2A20">
            <w:pPr>
              <w:spacing w:line="240" w:lineRule="exact"/>
            </w:pPr>
            <w:r>
              <w:t>Français</w:t>
            </w:r>
          </w:p>
          <w:p w14:paraId="63131FF6" w14:textId="1DF3F66B" w:rsidR="009F2A20" w:rsidRPr="00DB58B5" w:rsidRDefault="009F2A20" w:rsidP="009F2A20">
            <w:pPr>
              <w:spacing w:line="240" w:lineRule="exact"/>
            </w:pPr>
            <w:r>
              <w:t>Original : anglais</w:t>
            </w:r>
          </w:p>
        </w:tc>
      </w:tr>
    </w:tbl>
    <w:p w14:paraId="0F381A84" w14:textId="62826FF6" w:rsidR="009F2A20" w:rsidRPr="009F2A20" w:rsidRDefault="009F2A20" w:rsidP="009F2A20">
      <w:pPr>
        <w:spacing w:before="120"/>
        <w:rPr>
          <w:b/>
          <w:bCs/>
          <w:sz w:val="24"/>
          <w:szCs w:val="24"/>
          <w:lang w:val="fr-FR"/>
        </w:rPr>
      </w:pPr>
      <w:r w:rsidRPr="009F2A20">
        <w:rPr>
          <w:b/>
          <w:bCs/>
          <w:sz w:val="24"/>
          <w:szCs w:val="24"/>
          <w:lang w:val="fr-FR"/>
        </w:rPr>
        <w:t xml:space="preserve">Comité d’experts du transport des marchandises dangereuses </w:t>
      </w:r>
      <w:r>
        <w:rPr>
          <w:b/>
          <w:bCs/>
          <w:sz w:val="24"/>
          <w:szCs w:val="24"/>
          <w:lang w:val="fr-FR"/>
        </w:rPr>
        <w:br/>
      </w:r>
      <w:r w:rsidRPr="009F2A20">
        <w:rPr>
          <w:b/>
          <w:bCs/>
          <w:sz w:val="24"/>
          <w:szCs w:val="24"/>
          <w:lang w:val="fr-FR"/>
        </w:rPr>
        <w:t xml:space="preserve">et du Système général harmonisé de classification </w:t>
      </w:r>
      <w:r>
        <w:rPr>
          <w:b/>
          <w:bCs/>
          <w:sz w:val="24"/>
          <w:szCs w:val="24"/>
          <w:lang w:val="fr-FR"/>
        </w:rPr>
        <w:br/>
      </w:r>
      <w:r w:rsidRPr="009F2A20">
        <w:rPr>
          <w:b/>
          <w:bCs/>
          <w:sz w:val="24"/>
          <w:szCs w:val="24"/>
          <w:lang w:val="fr-FR"/>
        </w:rPr>
        <w:t>et d’étiquetage des produits chimiques</w:t>
      </w:r>
    </w:p>
    <w:p w14:paraId="765DF66B" w14:textId="77777777" w:rsidR="009F2A20" w:rsidRPr="0058017E" w:rsidRDefault="009F2A20" w:rsidP="009F2A20">
      <w:pPr>
        <w:spacing w:before="120"/>
        <w:rPr>
          <w:rFonts w:ascii="Helv" w:hAnsi="Helv" w:cs="Helv"/>
          <w:b/>
          <w:color w:val="000000"/>
          <w:lang w:val="fr-FR"/>
        </w:rPr>
      </w:pPr>
      <w:r w:rsidRPr="0058017E">
        <w:rPr>
          <w:b/>
          <w:bCs/>
          <w:lang w:val="fr-FR"/>
        </w:rPr>
        <w:t>Sous-Comité d</w:t>
      </w:r>
      <w:r>
        <w:rPr>
          <w:b/>
          <w:bCs/>
          <w:lang w:val="fr-FR"/>
        </w:rPr>
        <w:t>’</w:t>
      </w:r>
      <w:r w:rsidRPr="0058017E">
        <w:rPr>
          <w:b/>
          <w:bCs/>
          <w:lang w:val="fr-FR"/>
        </w:rPr>
        <w:t>experts du transport des marchandises dangereuses</w:t>
      </w:r>
    </w:p>
    <w:p w14:paraId="0DC3571E" w14:textId="77777777" w:rsidR="009F2A20" w:rsidRPr="0058017E" w:rsidRDefault="009F2A20" w:rsidP="009F2A20">
      <w:pPr>
        <w:spacing w:before="120"/>
        <w:rPr>
          <w:b/>
          <w:lang w:val="fr-FR"/>
        </w:rPr>
      </w:pPr>
      <w:r w:rsidRPr="0058017E">
        <w:rPr>
          <w:b/>
          <w:bCs/>
          <w:lang w:val="fr-FR"/>
        </w:rPr>
        <w:t>Soixante-quatrième session</w:t>
      </w:r>
    </w:p>
    <w:p w14:paraId="19F1D146" w14:textId="4448DA86" w:rsidR="009F2A20" w:rsidRPr="0058017E" w:rsidRDefault="009F2A20" w:rsidP="009F2A20">
      <w:pPr>
        <w:rPr>
          <w:lang w:val="fr-FR"/>
        </w:rPr>
      </w:pPr>
      <w:r w:rsidRPr="0058017E">
        <w:rPr>
          <w:lang w:val="fr-FR"/>
        </w:rPr>
        <w:t>Genève, 24 juin</w:t>
      </w:r>
      <w:r w:rsidR="00BF5424">
        <w:rPr>
          <w:lang w:val="fr-FR"/>
        </w:rPr>
        <w:noBreakHyphen/>
      </w:r>
      <w:r w:rsidRPr="0058017E">
        <w:rPr>
          <w:lang w:val="fr-FR"/>
        </w:rPr>
        <w:t>3 juillet 2024</w:t>
      </w:r>
    </w:p>
    <w:p w14:paraId="6CF626D2" w14:textId="77777777" w:rsidR="009F2A20" w:rsidRPr="0058017E" w:rsidRDefault="009F2A20" w:rsidP="009F2A20">
      <w:pPr>
        <w:rPr>
          <w:lang w:val="fr-FR"/>
        </w:rPr>
      </w:pPr>
      <w:r w:rsidRPr="0058017E">
        <w:rPr>
          <w:lang w:val="fr-FR"/>
        </w:rPr>
        <w:t>Point 3 de l</w:t>
      </w:r>
      <w:r>
        <w:rPr>
          <w:lang w:val="fr-FR"/>
        </w:rPr>
        <w:t>’</w:t>
      </w:r>
      <w:r w:rsidRPr="0058017E">
        <w:rPr>
          <w:lang w:val="fr-FR"/>
        </w:rPr>
        <w:t>ordre du jour provisoire</w:t>
      </w:r>
    </w:p>
    <w:p w14:paraId="3A3C2F90" w14:textId="77777777" w:rsidR="009F2A20" w:rsidRPr="0058017E" w:rsidRDefault="009F2A20" w:rsidP="009F2A20">
      <w:pPr>
        <w:rPr>
          <w:b/>
          <w:bCs/>
          <w:lang w:val="fr-FR"/>
        </w:rPr>
      </w:pPr>
      <w:r w:rsidRPr="0058017E">
        <w:rPr>
          <w:b/>
          <w:bCs/>
          <w:lang w:val="fr-FR"/>
        </w:rPr>
        <w:t>Inscription, classement et emballage</w:t>
      </w:r>
    </w:p>
    <w:p w14:paraId="31F98918" w14:textId="7797DBF5" w:rsidR="009F2A20" w:rsidRPr="0058017E" w:rsidRDefault="009F2A20" w:rsidP="009F2A20">
      <w:pPr>
        <w:pStyle w:val="HChG"/>
        <w:rPr>
          <w:lang w:val="fr-FR"/>
        </w:rPr>
      </w:pPr>
      <w:r w:rsidRPr="0058017E">
        <w:rPr>
          <w:lang w:val="fr-FR"/>
        </w:rPr>
        <w:tab/>
      </w:r>
      <w:r w:rsidRPr="0058017E">
        <w:rPr>
          <w:lang w:val="fr-FR"/>
        </w:rPr>
        <w:tab/>
        <w:t xml:space="preserve">Produits actuels </w:t>
      </w:r>
      <w:r w:rsidRPr="007F5114">
        <w:rPr>
          <w:lang w:val="fr-FR"/>
        </w:rPr>
        <w:t>et futurs dans le secteur du gaz de pétrole liquéfié (GPL) − Ajout d’une nouvelle disposition spéciale pour les Nos ONU</w:t>
      </w:r>
      <w:r w:rsidR="00BF5424" w:rsidRPr="007F5114">
        <w:rPr>
          <w:lang w:val="fr-FR"/>
        </w:rPr>
        <w:t> </w:t>
      </w:r>
      <w:r w:rsidRPr="007F5114">
        <w:rPr>
          <w:lang w:val="fr-FR"/>
        </w:rPr>
        <w:t>1075 et 1965</w:t>
      </w:r>
    </w:p>
    <w:p w14:paraId="4D0D3921" w14:textId="75D3C42A" w:rsidR="009F2A20" w:rsidRPr="0058017E" w:rsidRDefault="009F2A20" w:rsidP="009F2A20">
      <w:pPr>
        <w:pStyle w:val="H1G"/>
        <w:rPr>
          <w:sz w:val="20"/>
          <w:lang w:val="fr-FR"/>
        </w:rPr>
      </w:pPr>
      <w:bookmarkStart w:id="0" w:name="_Hlk531350542"/>
      <w:r w:rsidRPr="0058017E">
        <w:rPr>
          <w:lang w:val="fr-FR"/>
        </w:rPr>
        <w:tab/>
      </w:r>
      <w:r w:rsidRPr="0058017E">
        <w:rPr>
          <w:lang w:val="fr-FR"/>
        </w:rPr>
        <w:tab/>
      </w:r>
      <w:r w:rsidRPr="0058017E">
        <w:rPr>
          <w:bCs/>
          <w:lang w:val="fr-FR"/>
        </w:rPr>
        <w:t xml:space="preserve">Communication de la World Liquid Gas Association </w:t>
      </w:r>
      <w:r>
        <w:rPr>
          <w:bCs/>
          <w:lang w:val="fr-FR"/>
        </w:rPr>
        <w:br/>
      </w:r>
      <w:r w:rsidRPr="0058017E">
        <w:rPr>
          <w:bCs/>
          <w:lang w:val="fr-FR"/>
        </w:rPr>
        <w:t>(WLGA, anciennement WLPGA)</w:t>
      </w:r>
      <w:r w:rsidRPr="009F2A20">
        <w:rPr>
          <w:rStyle w:val="Appelnotedebasdep"/>
          <w:b w:val="0"/>
          <w:bCs/>
          <w:sz w:val="20"/>
          <w:vertAlign w:val="baseline"/>
          <w:lang w:val="fr-FR"/>
        </w:rPr>
        <w:footnoteReference w:customMarkFollows="1" w:id="2"/>
        <w:t>*</w:t>
      </w:r>
      <w:bookmarkEnd w:id="0"/>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29"/>
      </w:tblGrid>
      <w:tr w:rsidR="009F2A20" w:rsidRPr="0069722B" w14:paraId="69FAE56D" w14:textId="77777777" w:rsidTr="006E5618">
        <w:trPr>
          <w:jc w:val="center"/>
        </w:trPr>
        <w:tc>
          <w:tcPr>
            <w:tcW w:w="9629" w:type="dxa"/>
            <w:shd w:val="clear" w:color="auto" w:fill="auto"/>
          </w:tcPr>
          <w:p w14:paraId="060ADE32" w14:textId="36E1056D" w:rsidR="009F2A20" w:rsidRPr="0058017E" w:rsidRDefault="009F2A20" w:rsidP="009F2A20">
            <w:pPr>
              <w:spacing w:before="120" w:after="120"/>
              <w:ind w:left="2410" w:right="556" w:hanging="2268"/>
              <w:jc w:val="both"/>
              <w:rPr>
                <w:i/>
                <w:sz w:val="24"/>
                <w:lang w:val="fr-FR"/>
              </w:rPr>
            </w:pPr>
            <w:r w:rsidRPr="0058017E">
              <w:rPr>
                <w:b/>
                <w:bCs/>
                <w:lang w:val="fr-FR"/>
              </w:rPr>
              <w:t>Résumé analytique</w:t>
            </w:r>
            <w:r>
              <w:rPr>
                <w:b/>
                <w:bCs/>
                <w:lang w:val="fr-FR"/>
              </w:rPr>
              <w:t> :</w:t>
            </w:r>
            <w:r w:rsidRPr="0058017E">
              <w:rPr>
                <w:lang w:val="fr-FR"/>
              </w:rPr>
              <w:t xml:space="preserve"> </w:t>
            </w:r>
            <w:r w:rsidRPr="0058017E">
              <w:rPr>
                <w:lang w:val="fr-FR"/>
              </w:rPr>
              <w:tab/>
              <w:t>En 2018, l</w:t>
            </w:r>
            <w:r>
              <w:rPr>
                <w:lang w:val="fr-FR"/>
              </w:rPr>
              <w:t>’</w:t>
            </w:r>
            <w:r w:rsidRPr="0058017E">
              <w:rPr>
                <w:lang w:val="fr-FR"/>
              </w:rPr>
              <w:t>industrie du gaz de pétrole liquéfié (GPL) a introduit sur le marché le bioGPL, c</w:t>
            </w:r>
            <w:r>
              <w:rPr>
                <w:lang w:val="fr-FR"/>
              </w:rPr>
              <w:t>’</w:t>
            </w:r>
            <w:r w:rsidRPr="0058017E">
              <w:rPr>
                <w:lang w:val="fr-FR"/>
              </w:rPr>
              <w:t>est-à-dire un GPL (C3/C4) de composition moléculaire identique à celle du GPL classique, mais d</w:t>
            </w:r>
            <w:r>
              <w:rPr>
                <w:lang w:val="fr-FR"/>
              </w:rPr>
              <w:t>’</w:t>
            </w:r>
            <w:r w:rsidRPr="0058017E">
              <w:rPr>
                <w:lang w:val="fr-FR"/>
              </w:rPr>
              <w:t xml:space="preserve">origine biologique ou renouvelable. Toutefois, la définition actuelle du </w:t>
            </w:r>
            <w:r>
              <w:rPr>
                <w:lang w:val="fr-FR"/>
              </w:rPr>
              <w:t>No ONU</w:t>
            </w:r>
            <w:r w:rsidR="00BF5424">
              <w:rPr>
                <w:lang w:val="fr-FR"/>
              </w:rPr>
              <w:t> </w:t>
            </w:r>
            <w:r w:rsidRPr="0058017E">
              <w:rPr>
                <w:lang w:val="fr-FR"/>
              </w:rPr>
              <w:t>1075 (gaz de pétrole liquéfiés) ne tient pas compte du fait qu</w:t>
            </w:r>
            <w:r>
              <w:rPr>
                <w:lang w:val="fr-FR"/>
              </w:rPr>
              <w:t>’</w:t>
            </w:r>
            <w:r w:rsidRPr="0058017E">
              <w:rPr>
                <w:lang w:val="fr-FR"/>
              </w:rPr>
              <w:t>il peut s</w:t>
            </w:r>
            <w:r>
              <w:rPr>
                <w:lang w:val="fr-FR"/>
              </w:rPr>
              <w:t>’</w:t>
            </w:r>
            <w:r w:rsidRPr="0058017E">
              <w:rPr>
                <w:lang w:val="fr-FR"/>
              </w:rPr>
              <w:t>agir de gaz d</w:t>
            </w:r>
            <w:r>
              <w:rPr>
                <w:lang w:val="fr-FR"/>
              </w:rPr>
              <w:t>’</w:t>
            </w:r>
            <w:r w:rsidRPr="0058017E">
              <w:rPr>
                <w:lang w:val="fr-FR"/>
              </w:rPr>
              <w:t>origine renouvelable (bioGPL) ou de GPL conventionnel extrait du gaz naturel.</w:t>
            </w:r>
          </w:p>
        </w:tc>
      </w:tr>
      <w:tr w:rsidR="009F2A20" w:rsidRPr="0069722B" w14:paraId="0D532EB5" w14:textId="77777777" w:rsidTr="006E5618">
        <w:trPr>
          <w:jc w:val="center"/>
        </w:trPr>
        <w:tc>
          <w:tcPr>
            <w:tcW w:w="9629" w:type="dxa"/>
            <w:shd w:val="clear" w:color="auto" w:fill="auto"/>
          </w:tcPr>
          <w:p w14:paraId="78DB3A29" w14:textId="11BD995D" w:rsidR="009F2A20" w:rsidRPr="0058017E" w:rsidRDefault="009F2A20" w:rsidP="009F2A20">
            <w:pPr>
              <w:spacing w:after="120"/>
              <w:ind w:left="2410" w:right="555"/>
              <w:jc w:val="both"/>
              <w:rPr>
                <w:b/>
                <w:bCs/>
                <w:lang w:val="fr-FR"/>
              </w:rPr>
            </w:pPr>
            <w:bookmarkStart w:id="1" w:name="_Hlk110852076"/>
            <w:r w:rsidRPr="0058017E">
              <w:rPr>
                <w:lang w:val="fr-FR"/>
              </w:rPr>
              <w:t>En outre, aujourd</w:t>
            </w:r>
            <w:r>
              <w:rPr>
                <w:lang w:val="fr-FR"/>
              </w:rPr>
              <w:t>’</w:t>
            </w:r>
            <w:r w:rsidRPr="0058017E">
              <w:rPr>
                <w:lang w:val="fr-FR"/>
              </w:rPr>
              <w:t>hui, d</w:t>
            </w:r>
            <w:r>
              <w:rPr>
                <w:lang w:val="fr-FR"/>
              </w:rPr>
              <w:t>’</w:t>
            </w:r>
            <w:r w:rsidRPr="0058017E">
              <w:rPr>
                <w:lang w:val="fr-FR"/>
              </w:rPr>
              <w:t>autres molécules aux propriétés physiques similaires, comme l</w:t>
            </w:r>
            <w:r>
              <w:rPr>
                <w:lang w:val="fr-FR"/>
              </w:rPr>
              <w:t>’</w:t>
            </w:r>
            <w:r w:rsidRPr="0058017E">
              <w:rPr>
                <w:lang w:val="fr-FR"/>
              </w:rPr>
              <w:t>éther méthylique ou diméthyléther (DME) renouvelable, sont mélangées au GPL (ou utilisées seules)</w:t>
            </w:r>
            <w:r>
              <w:rPr>
                <w:lang w:val="fr-FR"/>
              </w:rPr>
              <w:t> ;</w:t>
            </w:r>
            <w:r w:rsidRPr="0058017E">
              <w:rPr>
                <w:lang w:val="fr-FR"/>
              </w:rPr>
              <w:t xml:space="preserve"> elles sont déjà présentes sur le marché américain et le seront très bientôt en Europe et ailleurs.</w:t>
            </w:r>
            <w:bookmarkEnd w:id="1"/>
          </w:p>
        </w:tc>
      </w:tr>
      <w:tr w:rsidR="009F2A20" w:rsidRPr="0069722B" w14:paraId="1EEBB64A" w14:textId="77777777" w:rsidTr="006E5618">
        <w:trPr>
          <w:jc w:val="center"/>
        </w:trPr>
        <w:tc>
          <w:tcPr>
            <w:tcW w:w="9629" w:type="dxa"/>
            <w:shd w:val="clear" w:color="auto" w:fill="auto"/>
          </w:tcPr>
          <w:p w14:paraId="541E067C" w14:textId="66512ED4" w:rsidR="009F2A20" w:rsidRPr="0058017E" w:rsidRDefault="009F2A20" w:rsidP="009F2A20">
            <w:pPr>
              <w:spacing w:after="120"/>
              <w:ind w:left="2410" w:right="555"/>
              <w:jc w:val="both"/>
              <w:rPr>
                <w:b/>
                <w:bCs/>
                <w:lang w:val="fr-FR"/>
              </w:rPr>
            </w:pPr>
            <w:r w:rsidRPr="0058017E">
              <w:rPr>
                <w:lang w:val="fr-FR"/>
              </w:rPr>
              <w:t>À l</w:t>
            </w:r>
            <w:r>
              <w:rPr>
                <w:lang w:val="fr-FR"/>
              </w:rPr>
              <w:t>’</w:t>
            </w:r>
            <w:r w:rsidRPr="0058017E">
              <w:rPr>
                <w:lang w:val="fr-FR"/>
              </w:rPr>
              <w:t>issue de l</w:t>
            </w:r>
            <w:r>
              <w:rPr>
                <w:lang w:val="fr-FR"/>
              </w:rPr>
              <w:t>’</w:t>
            </w:r>
            <w:r w:rsidRPr="0058017E">
              <w:rPr>
                <w:lang w:val="fr-FR"/>
              </w:rPr>
              <w:t>examen du document ST/SG/AC.10/C.3/2022/53 et du document informel INF.23, à la soixante et unième session, le Sous-Comité a décidé de privilégier l</w:t>
            </w:r>
            <w:r>
              <w:rPr>
                <w:lang w:val="fr-FR"/>
              </w:rPr>
              <w:t>’</w:t>
            </w:r>
            <w:r w:rsidRPr="0058017E">
              <w:rPr>
                <w:lang w:val="fr-FR"/>
              </w:rPr>
              <w:t>option consistant à ajouter une nouvelle disposition spéciale aux Nos</w:t>
            </w:r>
            <w:r w:rsidR="00BF5424">
              <w:rPr>
                <w:lang w:val="fr-FR"/>
              </w:rPr>
              <w:t> </w:t>
            </w:r>
            <w:r w:rsidRPr="0058017E">
              <w:rPr>
                <w:lang w:val="fr-FR"/>
              </w:rPr>
              <w:t>ONU</w:t>
            </w:r>
            <w:r w:rsidR="00BF5424">
              <w:rPr>
                <w:lang w:val="fr-FR"/>
              </w:rPr>
              <w:t> </w:t>
            </w:r>
            <w:r w:rsidRPr="0058017E">
              <w:rPr>
                <w:lang w:val="fr-FR"/>
              </w:rPr>
              <w:t>1075 et 1965. Trois documents informels ont été soumis à la soixante</w:t>
            </w:r>
            <w:r w:rsidR="00BF5424">
              <w:rPr>
                <w:lang w:val="fr-FR"/>
              </w:rPr>
              <w:noBreakHyphen/>
            </w:r>
            <w:r w:rsidRPr="0058017E">
              <w:rPr>
                <w:lang w:val="fr-FR"/>
              </w:rPr>
              <w:t>troisième session (INF.18, INF.19 et INF.35) afin de présenter une version révisée de la proposition, de résumer les résultats d</w:t>
            </w:r>
            <w:r>
              <w:rPr>
                <w:lang w:val="fr-FR"/>
              </w:rPr>
              <w:t>’</w:t>
            </w:r>
            <w:r w:rsidRPr="0058017E">
              <w:rPr>
                <w:lang w:val="fr-FR"/>
              </w:rPr>
              <w:t>essai et de fournir des copies des approbations.</w:t>
            </w:r>
          </w:p>
        </w:tc>
      </w:tr>
      <w:tr w:rsidR="009F2A20" w:rsidRPr="0069722B" w14:paraId="467ADC78" w14:textId="77777777" w:rsidTr="009F2A20">
        <w:trPr>
          <w:jc w:val="center"/>
        </w:trPr>
        <w:tc>
          <w:tcPr>
            <w:tcW w:w="9629" w:type="dxa"/>
            <w:tcBorders>
              <w:bottom w:val="nil"/>
            </w:tcBorders>
            <w:shd w:val="clear" w:color="auto" w:fill="auto"/>
          </w:tcPr>
          <w:p w14:paraId="201E53A0" w14:textId="7563E967" w:rsidR="009F2A20" w:rsidRPr="0058017E" w:rsidRDefault="009F2A20" w:rsidP="009F2A20">
            <w:pPr>
              <w:spacing w:after="120"/>
              <w:ind w:left="2410" w:right="555"/>
              <w:jc w:val="both"/>
              <w:rPr>
                <w:b/>
                <w:bCs/>
                <w:lang w:val="fr-FR"/>
              </w:rPr>
            </w:pPr>
            <w:r w:rsidRPr="0058017E">
              <w:rPr>
                <w:lang w:val="fr-FR"/>
              </w:rPr>
              <w:t>La présente proposition est distincte et indépendante de la proposition visant à créer un nouveau numéro ONU pour les mélanges d</w:t>
            </w:r>
            <w:r>
              <w:rPr>
                <w:lang w:val="fr-FR"/>
              </w:rPr>
              <w:t>’</w:t>
            </w:r>
            <w:r w:rsidRPr="0058017E">
              <w:rPr>
                <w:lang w:val="fr-FR"/>
              </w:rPr>
              <w:t>hydrocarbures et de DME (ST/SG/AC.10/C.3/2024/50).</w:t>
            </w:r>
          </w:p>
        </w:tc>
      </w:tr>
      <w:tr w:rsidR="009F2A20" w:rsidRPr="0069722B" w14:paraId="16F40C86" w14:textId="77777777" w:rsidTr="009F2A20">
        <w:trPr>
          <w:jc w:val="center"/>
        </w:trPr>
        <w:tc>
          <w:tcPr>
            <w:tcW w:w="9629" w:type="dxa"/>
            <w:tcBorders>
              <w:top w:val="nil"/>
              <w:bottom w:val="nil"/>
            </w:tcBorders>
            <w:shd w:val="clear" w:color="auto" w:fill="auto"/>
          </w:tcPr>
          <w:p w14:paraId="59406874" w14:textId="0F51BFB0" w:rsidR="009F2A20" w:rsidRPr="0058017E" w:rsidRDefault="009F2A20" w:rsidP="003A493F">
            <w:pPr>
              <w:keepNext/>
              <w:spacing w:after="120"/>
              <w:ind w:left="2410" w:right="555" w:hanging="2268"/>
              <w:jc w:val="both"/>
              <w:rPr>
                <w:lang w:val="fr-FR"/>
              </w:rPr>
            </w:pPr>
            <w:r w:rsidRPr="0058017E">
              <w:rPr>
                <w:b/>
                <w:bCs/>
                <w:lang w:val="fr-FR"/>
              </w:rPr>
              <w:lastRenderedPageBreak/>
              <w:t>Mesures à prendre</w:t>
            </w:r>
            <w:r>
              <w:rPr>
                <w:b/>
                <w:bCs/>
                <w:lang w:val="fr-FR"/>
              </w:rPr>
              <w:t> :</w:t>
            </w:r>
            <w:r w:rsidRPr="0058017E">
              <w:rPr>
                <w:lang w:val="fr-FR"/>
              </w:rPr>
              <w:tab/>
              <w:t>Ajouter une nouvelle disposition spéciale au chapitre</w:t>
            </w:r>
            <w:r w:rsidR="00BF5424">
              <w:rPr>
                <w:lang w:val="fr-FR"/>
              </w:rPr>
              <w:t> </w:t>
            </w:r>
            <w:r w:rsidRPr="0058017E">
              <w:rPr>
                <w:lang w:val="fr-FR"/>
              </w:rPr>
              <w:t>3.3.1 et l</w:t>
            </w:r>
            <w:r>
              <w:rPr>
                <w:lang w:val="fr-FR"/>
              </w:rPr>
              <w:t>’</w:t>
            </w:r>
            <w:r w:rsidRPr="0058017E">
              <w:rPr>
                <w:lang w:val="fr-FR"/>
              </w:rPr>
              <w:t>affecter aux rubriques des Nos</w:t>
            </w:r>
            <w:r w:rsidR="00BF5424">
              <w:rPr>
                <w:lang w:val="fr-FR"/>
              </w:rPr>
              <w:t> </w:t>
            </w:r>
            <w:r w:rsidRPr="0058017E">
              <w:rPr>
                <w:lang w:val="fr-FR"/>
              </w:rPr>
              <w:t>ONU</w:t>
            </w:r>
            <w:r w:rsidR="00BF5424">
              <w:rPr>
                <w:lang w:val="fr-FR"/>
              </w:rPr>
              <w:t> </w:t>
            </w:r>
            <w:r w:rsidRPr="0058017E">
              <w:rPr>
                <w:lang w:val="fr-FR"/>
              </w:rPr>
              <w:t xml:space="preserve">1075 et 1965 dans la Liste des marchandises dangereuses </w:t>
            </w:r>
            <w:r w:rsidRPr="009F2A20">
              <w:rPr>
                <w:lang w:val="fr-FR"/>
              </w:rPr>
              <w:t>du chapitre 3.2.2.</w:t>
            </w:r>
          </w:p>
        </w:tc>
      </w:tr>
      <w:tr w:rsidR="009F2A20" w:rsidRPr="0069722B" w14:paraId="7CFC237B" w14:textId="77777777" w:rsidTr="009F2A20">
        <w:trPr>
          <w:jc w:val="center"/>
        </w:trPr>
        <w:tc>
          <w:tcPr>
            <w:tcW w:w="9629" w:type="dxa"/>
            <w:tcBorders>
              <w:top w:val="nil"/>
            </w:tcBorders>
            <w:shd w:val="clear" w:color="auto" w:fill="auto"/>
          </w:tcPr>
          <w:p w14:paraId="2B91371D" w14:textId="26611D0B" w:rsidR="009F2A20" w:rsidRPr="0058017E" w:rsidRDefault="009F2A20" w:rsidP="006E5618">
            <w:pPr>
              <w:spacing w:after="120"/>
              <w:ind w:left="2410" w:right="555" w:hanging="2268"/>
              <w:jc w:val="both"/>
              <w:rPr>
                <w:lang w:val="fr-FR"/>
              </w:rPr>
            </w:pPr>
            <w:r w:rsidRPr="0058017E">
              <w:rPr>
                <w:b/>
                <w:bCs/>
                <w:lang w:val="fr-FR"/>
              </w:rPr>
              <w:t>Documents connexes</w:t>
            </w:r>
            <w:r>
              <w:rPr>
                <w:b/>
                <w:bCs/>
                <w:lang w:val="fr-FR"/>
              </w:rPr>
              <w:t> :</w:t>
            </w:r>
            <w:r w:rsidRPr="0058017E">
              <w:rPr>
                <w:lang w:val="fr-FR"/>
              </w:rPr>
              <w:tab/>
              <w:t>ST/SG/AC.10/C.3/2024/49, ST/SG/AC.10/C.3/2022/53 et documents informels INF.23 de la soixante et unième session et INF.18 de la soixante</w:t>
            </w:r>
            <w:r w:rsidR="00BF5424">
              <w:rPr>
                <w:lang w:val="fr-FR"/>
              </w:rPr>
              <w:noBreakHyphen/>
            </w:r>
            <w:r w:rsidRPr="0058017E">
              <w:rPr>
                <w:lang w:val="fr-FR"/>
              </w:rPr>
              <w:t>troisième session.</w:t>
            </w:r>
          </w:p>
        </w:tc>
      </w:tr>
    </w:tbl>
    <w:p w14:paraId="03A573D6" w14:textId="77777777" w:rsidR="009F2A20" w:rsidRPr="0058017E" w:rsidRDefault="009F2A20" w:rsidP="009F2A20">
      <w:pPr>
        <w:rPr>
          <w:lang w:val="fr-FR"/>
        </w:rPr>
      </w:pPr>
      <w:r w:rsidRPr="0058017E">
        <w:rPr>
          <w:lang w:val="fr-FR"/>
        </w:rPr>
        <w:br w:type="page"/>
      </w:r>
    </w:p>
    <w:p w14:paraId="7D598386" w14:textId="7129F970" w:rsidR="009F2A20" w:rsidRPr="0058017E" w:rsidRDefault="009F2A20" w:rsidP="009F2A20">
      <w:pPr>
        <w:pStyle w:val="HChG"/>
        <w:rPr>
          <w:lang w:val="fr-FR"/>
        </w:rPr>
      </w:pPr>
      <w:r>
        <w:rPr>
          <w:lang w:val="fr-FR"/>
        </w:rPr>
        <w:lastRenderedPageBreak/>
        <w:tab/>
      </w:r>
      <w:r w:rsidRPr="0058017E">
        <w:rPr>
          <w:lang w:val="fr-FR"/>
        </w:rPr>
        <w:t>I.</w:t>
      </w:r>
      <w:r w:rsidRPr="0058017E">
        <w:rPr>
          <w:lang w:val="fr-FR"/>
        </w:rPr>
        <w:tab/>
        <w:t>Contexte</w:t>
      </w:r>
    </w:p>
    <w:p w14:paraId="6E17A104" w14:textId="75A377C0" w:rsidR="009F2A20" w:rsidRPr="0058017E" w:rsidRDefault="009F2A20" w:rsidP="003034B4">
      <w:pPr>
        <w:pStyle w:val="SingleTxtG"/>
        <w:keepNext/>
        <w:rPr>
          <w:lang w:val="fr-FR"/>
        </w:rPr>
      </w:pPr>
      <w:r w:rsidRPr="0058017E">
        <w:rPr>
          <w:lang w:val="fr-FR"/>
        </w:rPr>
        <w:t>1.</w:t>
      </w:r>
      <w:r w:rsidRPr="0058017E">
        <w:rPr>
          <w:lang w:val="fr-FR"/>
        </w:rPr>
        <w:tab/>
        <w:t>Le gaz de pétrole liquéfié (GPL) est un combustible commercial depuis un peu plus d</w:t>
      </w:r>
      <w:r>
        <w:rPr>
          <w:lang w:val="fr-FR"/>
        </w:rPr>
        <w:t>’</w:t>
      </w:r>
      <w:r w:rsidRPr="0058017E">
        <w:rPr>
          <w:lang w:val="fr-FR"/>
        </w:rPr>
        <w:t>un siècle. Il s</w:t>
      </w:r>
      <w:r>
        <w:rPr>
          <w:lang w:val="fr-FR"/>
        </w:rPr>
        <w:t>’</w:t>
      </w:r>
      <w:r w:rsidRPr="0058017E">
        <w:rPr>
          <w:lang w:val="fr-FR"/>
        </w:rPr>
        <w:t>agit principalement de propane et de butane, produit jusqu</w:t>
      </w:r>
      <w:r>
        <w:rPr>
          <w:lang w:val="fr-FR"/>
        </w:rPr>
        <w:t>’</w:t>
      </w:r>
      <w:r w:rsidRPr="0058017E">
        <w:rPr>
          <w:lang w:val="fr-FR"/>
        </w:rPr>
        <w:t>à il y a quelques années uniquement par l</w:t>
      </w:r>
      <w:r>
        <w:rPr>
          <w:lang w:val="fr-FR"/>
        </w:rPr>
        <w:t>’</w:t>
      </w:r>
      <w:r w:rsidRPr="0058017E">
        <w:rPr>
          <w:lang w:val="fr-FR"/>
        </w:rPr>
        <w:t>intermédiaire</w:t>
      </w:r>
      <w:r>
        <w:rPr>
          <w:lang w:val="fr-FR"/>
        </w:rPr>
        <w:t> :</w:t>
      </w:r>
    </w:p>
    <w:p w14:paraId="1B8901AE" w14:textId="5EA58FD2" w:rsidR="009F2A20" w:rsidRPr="0058017E" w:rsidRDefault="009F2A20" w:rsidP="009F2A20">
      <w:pPr>
        <w:pStyle w:val="SingleTxtG"/>
        <w:ind w:firstLine="567"/>
        <w:rPr>
          <w:lang w:val="fr-FR"/>
        </w:rPr>
      </w:pPr>
      <w:r w:rsidRPr="0058017E">
        <w:rPr>
          <w:lang w:val="fr-FR"/>
        </w:rPr>
        <w:t>a)</w:t>
      </w:r>
      <w:r w:rsidRPr="0058017E">
        <w:rPr>
          <w:lang w:val="fr-FR"/>
        </w:rPr>
        <w:tab/>
        <w:t>Du raffinage du pétrole (couvert par les définitions et les numéros ONU existants), qui satisfait actuellement 30 à 40</w:t>
      </w:r>
      <w:r>
        <w:rPr>
          <w:lang w:val="fr-FR"/>
        </w:rPr>
        <w:t> %</w:t>
      </w:r>
      <w:r w:rsidRPr="0058017E">
        <w:rPr>
          <w:lang w:val="fr-FR"/>
        </w:rPr>
        <w:t xml:space="preserve"> de la demande mondiale et qui est en baisse</w:t>
      </w:r>
      <w:r>
        <w:rPr>
          <w:lang w:val="fr-FR"/>
        </w:rPr>
        <w:t> ;</w:t>
      </w:r>
    </w:p>
    <w:p w14:paraId="721220FD" w14:textId="4CD9A831" w:rsidR="009F2A20" w:rsidRPr="0058017E" w:rsidRDefault="009F2A20" w:rsidP="009F2A20">
      <w:pPr>
        <w:pStyle w:val="SingleTxtG"/>
        <w:ind w:firstLine="567"/>
        <w:rPr>
          <w:lang w:val="fr-FR"/>
        </w:rPr>
      </w:pPr>
      <w:r w:rsidRPr="0058017E">
        <w:rPr>
          <w:lang w:val="fr-FR"/>
        </w:rPr>
        <w:t>b)</w:t>
      </w:r>
      <w:r w:rsidRPr="0058017E">
        <w:rPr>
          <w:lang w:val="fr-FR"/>
        </w:rPr>
        <w:tab/>
        <w:t xml:space="preserve">Du traitement du gaz naturel (non couvert par le </w:t>
      </w:r>
      <w:r>
        <w:rPr>
          <w:lang w:val="fr-FR"/>
        </w:rPr>
        <w:t>No ONU</w:t>
      </w:r>
      <w:r w:rsidRPr="0058017E">
        <w:rPr>
          <w:lang w:val="fr-FR"/>
        </w:rPr>
        <w:t xml:space="preserve"> 1075, qui fait uniquement référence au «</w:t>
      </w:r>
      <w:r w:rsidR="00BF5424">
        <w:rPr>
          <w:lang w:val="fr-FR"/>
        </w:rPr>
        <w:t> </w:t>
      </w:r>
      <w:r w:rsidRPr="0058017E">
        <w:rPr>
          <w:lang w:val="fr-FR"/>
        </w:rPr>
        <w:t>pétrole</w:t>
      </w:r>
      <w:r w:rsidR="00BF5424">
        <w:rPr>
          <w:lang w:val="fr-FR"/>
        </w:rPr>
        <w:t> </w:t>
      </w:r>
      <w:r w:rsidRPr="0058017E">
        <w:rPr>
          <w:lang w:val="fr-FR"/>
        </w:rPr>
        <w:t>»), qui répond actuellement à 60 à 70</w:t>
      </w:r>
      <w:r>
        <w:rPr>
          <w:lang w:val="fr-FR"/>
        </w:rPr>
        <w:t> %</w:t>
      </w:r>
      <w:r w:rsidRPr="0058017E">
        <w:rPr>
          <w:lang w:val="fr-FR"/>
        </w:rPr>
        <w:t xml:space="preserve"> de la demande mondiale.</w:t>
      </w:r>
    </w:p>
    <w:p w14:paraId="3C886D44" w14:textId="77777777" w:rsidR="009F2A20" w:rsidRPr="0058017E" w:rsidRDefault="009F2A20" w:rsidP="009F2A20">
      <w:pPr>
        <w:pStyle w:val="SingleTxtG"/>
        <w:rPr>
          <w:lang w:val="fr-FR"/>
        </w:rPr>
      </w:pPr>
      <w:r w:rsidRPr="0058017E">
        <w:rPr>
          <w:lang w:val="fr-FR"/>
        </w:rPr>
        <w:t>2.</w:t>
      </w:r>
      <w:r w:rsidRPr="0058017E">
        <w:rPr>
          <w:lang w:val="fr-FR"/>
        </w:rPr>
        <w:tab/>
        <w:t>Aujourd</w:t>
      </w:r>
      <w:r>
        <w:rPr>
          <w:lang w:val="fr-FR"/>
        </w:rPr>
        <w:t>’</w:t>
      </w:r>
      <w:r w:rsidRPr="0058017E">
        <w:rPr>
          <w:lang w:val="fr-FR"/>
        </w:rPr>
        <w:t>hui, dans le contexte de la transition énergétique et en vue de la décarbonisation, de la défossilisation et de la réduction de l</w:t>
      </w:r>
      <w:r>
        <w:rPr>
          <w:lang w:val="fr-FR"/>
        </w:rPr>
        <w:t>’</w:t>
      </w:r>
      <w:r w:rsidRPr="0058017E">
        <w:rPr>
          <w:lang w:val="fr-FR"/>
        </w:rPr>
        <w:t>empreinte carbone globale, l</w:t>
      </w:r>
      <w:r>
        <w:rPr>
          <w:lang w:val="fr-FR"/>
        </w:rPr>
        <w:t>’</w:t>
      </w:r>
      <w:r w:rsidRPr="0058017E">
        <w:rPr>
          <w:lang w:val="fr-FR"/>
        </w:rPr>
        <w:t>industrie du GPL se transforme en incluant dans sa gamme de produits, outre les mêmes produits propane C</w:t>
      </w:r>
      <w:r w:rsidRPr="00BF5424">
        <w:rPr>
          <w:vertAlign w:val="subscript"/>
          <w:lang w:val="fr-FR"/>
        </w:rPr>
        <w:t>3</w:t>
      </w:r>
      <w:r w:rsidRPr="0058017E">
        <w:rPr>
          <w:lang w:val="fr-FR"/>
        </w:rPr>
        <w:t>H</w:t>
      </w:r>
      <w:r w:rsidRPr="00BF5424">
        <w:rPr>
          <w:vertAlign w:val="subscript"/>
          <w:lang w:val="fr-FR"/>
        </w:rPr>
        <w:t>8</w:t>
      </w:r>
      <w:r w:rsidRPr="0058017E">
        <w:rPr>
          <w:lang w:val="fr-FR"/>
        </w:rPr>
        <w:t xml:space="preserve"> et butane C</w:t>
      </w:r>
      <w:r w:rsidRPr="00BF5424">
        <w:rPr>
          <w:vertAlign w:val="subscript"/>
          <w:lang w:val="fr-FR"/>
        </w:rPr>
        <w:t>4</w:t>
      </w:r>
      <w:r w:rsidRPr="0058017E">
        <w:rPr>
          <w:lang w:val="fr-FR"/>
        </w:rPr>
        <w:t>H</w:t>
      </w:r>
      <w:r w:rsidRPr="00BF5424">
        <w:rPr>
          <w:vertAlign w:val="subscript"/>
          <w:lang w:val="fr-FR"/>
        </w:rPr>
        <w:t>10</w:t>
      </w:r>
      <w:r w:rsidRPr="0058017E">
        <w:rPr>
          <w:lang w:val="fr-FR"/>
        </w:rPr>
        <w:t>, ceux d</w:t>
      </w:r>
      <w:r>
        <w:rPr>
          <w:lang w:val="fr-FR"/>
        </w:rPr>
        <w:t>’</w:t>
      </w:r>
      <w:r w:rsidRPr="0058017E">
        <w:rPr>
          <w:lang w:val="fr-FR"/>
        </w:rPr>
        <w:t>origine biologique, renouvelable ou recyclée, et en s</w:t>
      </w:r>
      <w:r>
        <w:rPr>
          <w:lang w:val="fr-FR"/>
        </w:rPr>
        <w:t>’</w:t>
      </w:r>
      <w:r w:rsidRPr="0058017E">
        <w:rPr>
          <w:lang w:val="fr-FR"/>
        </w:rPr>
        <w:t>éloignant progressivement des produits issus à la fois du raffinage du pétrole et de l</w:t>
      </w:r>
      <w:r>
        <w:rPr>
          <w:lang w:val="fr-FR"/>
        </w:rPr>
        <w:t>’</w:t>
      </w:r>
      <w:r w:rsidRPr="0058017E">
        <w:rPr>
          <w:lang w:val="fr-FR"/>
        </w:rPr>
        <w:t>extraction du gaz naturel. Ainsi, ces deux sources actuelles sont en train d</w:t>
      </w:r>
      <w:r>
        <w:rPr>
          <w:lang w:val="fr-FR"/>
        </w:rPr>
        <w:t>’</w:t>
      </w:r>
      <w:r w:rsidRPr="0058017E">
        <w:rPr>
          <w:lang w:val="fr-FR"/>
        </w:rPr>
        <w:t>être remplacées par des sources biologiques, renouvelables ou recyclables et par des sources non fossiles.</w:t>
      </w:r>
    </w:p>
    <w:p w14:paraId="58D49E25" w14:textId="28D153E0" w:rsidR="009F2A20" w:rsidRPr="0058017E" w:rsidRDefault="009F2A20" w:rsidP="00BF5424">
      <w:pPr>
        <w:pStyle w:val="SingleTxtG"/>
        <w:rPr>
          <w:lang w:val="fr-FR"/>
        </w:rPr>
      </w:pPr>
      <w:r w:rsidRPr="0058017E">
        <w:rPr>
          <w:lang w:val="fr-FR"/>
        </w:rPr>
        <w:t>3.</w:t>
      </w:r>
      <w:r w:rsidRPr="0058017E">
        <w:rPr>
          <w:lang w:val="fr-FR"/>
        </w:rPr>
        <w:tab/>
        <w:t>En outre, l</w:t>
      </w:r>
      <w:r>
        <w:rPr>
          <w:lang w:val="fr-FR"/>
        </w:rPr>
        <w:t>’</w:t>
      </w:r>
      <w:r w:rsidRPr="0058017E">
        <w:rPr>
          <w:lang w:val="fr-FR"/>
        </w:rPr>
        <w:t>industrie du GPL a commencé récemment (aux États-Unis d</w:t>
      </w:r>
      <w:r>
        <w:rPr>
          <w:lang w:val="fr-FR"/>
        </w:rPr>
        <w:t>’</w:t>
      </w:r>
      <w:r w:rsidRPr="0058017E">
        <w:rPr>
          <w:lang w:val="fr-FR"/>
        </w:rPr>
        <w:t>Amérique) à inclure dans ses offres d</w:t>
      </w:r>
      <w:r>
        <w:rPr>
          <w:lang w:val="fr-FR"/>
        </w:rPr>
        <w:t>’</w:t>
      </w:r>
      <w:r w:rsidRPr="0058017E">
        <w:rPr>
          <w:lang w:val="fr-FR"/>
        </w:rPr>
        <w:t>autres produits et mélanges de molécules d</w:t>
      </w:r>
      <w:r>
        <w:rPr>
          <w:lang w:val="fr-FR"/>
        </w:rPr>
        <w:t>’</w:t>
      </w:r>
      <w:r w:rsidRPr="0058017E">
        <w:rPr>
          <w:lang w:val="fr-FR"/>
        </w:rPr>
        <w:t>origine biologique, renouvelable ou recyclée à faible empreinte carbone. On peut citer par exemple le DME à base de carbone renouvelable ou recyclé, utilisé en tant que composant de mélange ou en tant que combustible autonome. Le DME est une molécule aux propriétés physiques similaires à celles du GPL, qui peut provenir de sources fossiles, non fossiles et renouvelables ou recyclées. Le DME d</w:t>
      </w:r>
      <w:r>
        <w:rPr>
          <w:lang w:val="fr-FR"/>
        </w:rPr>
        <w:t>’</w:t>
      </w:r>
      <w:r w:rsidRPr="0058017E">
        <w:rPr>
          <w:lang w:val="fr-FR"/>
        </w:rPr>
        <w:t>origine renouvelable ou recyclée est un gaz liquide complémentaire qui peut être produit à partir de plusieurs sources de carbone renouvelables ou recyclées. Étant donné qu</w:t>
      </w:r>
      <w:r>
        <w:rPr>
          <w:lang w:val="fr-FR"/>
        </w:rPr>
        <w:t>’</w:t>
      </w:r>
      <w:r w:rsidRPr="0058017E">
        <w:rPr>
          <w:lang w:val="fr-FR"/>
        </w:rPr>
        <w:t>il s</w:t>
      </w:r>
      <w:r>
        <w:rPr>
          <w:lang w:val="fr-FR"/>
        </w:rPr>
        <w:t>’</w:t>
      </w:r>
      <w:r w:rsidRPr="0058017E">
        <w:rPr>
          <w:lang w:val="fr-FR"/>
        </w:rPr>
        <w:t>agit d</w:t>
      </w:r>
      <w:r>
        <w:rPr>
          <w:lang w:val="fr-FR"/>
        </w:rPr>
        <w:t>’</w:t>
      </w:r>
      <w:r w:rsidRPr="0058017E">
        <w:rPr>
          <w:lang w:val="fr-FR"/>
        </w:rPr>
        <w:t>un combustible non corrosif, non toxique et propre, il constitue un ajout viable et durable au bouquet énergétique. Grâce à sa faible empreinte de gaz à effet de serre («</w:t>
      </w:r>
      <w:r w:rsidR="00BF5424">
        <w:rPr>
          <w:lang w:val="fr-FR"/>
        </w:rPr>
        <w:t> </w:t>
      </w:r>
      <w:r w:rsidRPr="0058017E">
        <w:rPr>
          <w:lang w:val="fr-FR"/>
        </w:rPr>
        <w:t>GES</w:t>
      </w:r>
      <w:r w:rsidR="00BF5424">
        <w:rPr>
          <w:lang w:val="fr-FR"/>
        </w:rPr>
        <w:t> </w:t>
      </w:r>
      <w:r w:rsidRPr="0058017E">
        <w:rPr>
          <w:lang w:val="fr-FR"/>
        </w:rPr>
        <w:t>»), il peut réduire les émissions jusqu</w:t>
      </w:r>
      <w:r>
        <w:rPr>
          <w:lang w:val="fr-FR"/>
        </w:rPr>
        <w:t>’</w:t>
      </w:r>
      <w:r w:rsidRPr="0058017E">
        <w:rPr>
          <w:lang w:val="fr-FR"/>
        </w:rPr>
        <w:t>à 85</w:t>
      </w:r>
      <w:r>
        <w:rPr>
          <w:lang w:val="fr-FR"/>
        </w:rPr>
        <w:t> %</w:t>
      </w:r>
      <w:r w:rsidRPr="0058017E">
        <w:rPr>
          <w:lang w:val="fr-FR"/>
        </w:rPr>
        <w:t xml:space="preserve"> par rapport aux combustibles fossiles. Sous forme pure ou mélangée, il peut contribuer à la décarbonisation et à la défossilisation de l</w:t>
      </w:r>
      <w:r>
        <w:rPr>
          <w:lang w:val="fr-FR"/>
        </w:rPr>
        <w:t>’</w:t>
      </w:r>
      <w:r w:rsidRPr="0058017E">
        <w:rPr>
          <w:lang w:val="fr-FR"/>
        </w:rPr>
        <w:t>industrie du GPL dans tous les types d</w:t>
      </w:r>
      <w:r>
        <w:rPr>
          <w:lang w:val="fr-FR"/>
        </w:rPr>
        <w:t>’</w:t>
      </w:r>
      <w:r w:rsidRPr="0058017E">
        <w:rPr>
          <w:lang w:val="fr-FR"/>
        </w:rPr>
        <w:t>applications car il peut être hautement compatible avec l</w:t>
      </w:r>
      <w:r>
        <w:rPr>
          <w:lang w:val="fr-FR"/>
        </w:rPr>
        <w:t>’</w:t>
      </w:r>
      <w:r w:rsidRPr="0058017E">
        <w:rPr>
          <w:lang w:val="fr-FR"/>
        </w:rPr>
        <w:t>infrastructure et les équipements GPL existants, sans modification ou moyennant des modifications mineures.</w:t>
      </w:r>
    </w:p>
    <w:p w14:paraId="6FC3E67A" w14:textId="02D4F6B3" w:rsidR="009F2A20" w:rsidRPr="0058017E" w:rsidRDefault="009F2A20" w:rsidP="003034B4">
      <w:pPr>
        <w:pStyle w:val="SingleTxtG"/>
        <w:keepNext/>
        <w:rPr>
          <w:lang w:val="fr-FR"/>
        </w:rPr>
      </w:pPr>
      <w:r w:rsidRPr="0058017E">
        <w:rPr>
          <w:lang w:val="fr-FR"/>
        </w:rPr>
        <w:t>4.</w:t>
      </w:r>
      <w:r w:rsidRPr="0058017E">
        <w:rPr>
          <w:lang w:val="fr-FR"/>
        </w:rPr>
        <w:tab/>
        <w:t>Le DME et ses mélanges ont notamment les caractéristiques suivantes</w:t>
      </w:r>
      <w:r>
        <w:rPr>
          <w:lang w:val="fr-FR"/>
        </w:rPr>
        <w:t> :</w:t>
      </w:r>
    </w:p>
    <w:p w14:paraId="496DCBE2" w14:textId="1D3EB1C3" w:rsidR="009F2A20" w:rsidRPr="0058017E" w:rsidRDefault="009F2A20" w:rsidP="009F2A20">
      <w:pPr>
        <w:pStyle w:val="SingleTxtG"/>
        <w:ind w:firstLine="567"/>
        <w:rPr>
          <w:lang w:val="fr-FR"/>
        </w:rPr>
      </w:pPr>
      <w:r w:rsidRPr="0058017E">
        <w:rPr>
          <w:lang w:val="fr-FR"/>
        </w:rPr>
        <w:t>a)</w:t>
      </w:r>
      <w:r w:rsidRPr="0058017E">
        <w:rPr>
          <w:lang w:val="fr-FR"/>
        </w:rPr>
        <w:tab/>
        <w:t>Le DME (</w:t>
      </w:r>
      <w:r>
        <w:rPr>
          <w:lang w:val="fr-FR"/>
        </w:rPr>
        <w:t>No ONU</w:t>
      </w:r>
      <w:r w:rsidRPr="0058017E">
        <w:rPr>
          <w:lang w:val="fr-FR"/>
        </w:rPr>
        <w:t xml:space="preserve"> 1033) a le même code de classement</w:t>
      </w:r>
      <w:r w:rsidRPr="0069722B">
        <w:rPr>
          <w:rStyle w:val="Appelnotedebasdep"/>
        </w:rPr>
        <w:footnoteReference w:id="3"/>
      </w:r>
      <w:r w:rsidRPr="0058017E">
        <w:rPr>
          <w:lang w:val="fr-FR"/>
        </w:rPr>
        <w:t xml:space="preserve"> que le GPL</w:t>
      </w:r>
      <w:r w:rsidR="00BF5424">
        <w:rPr>
          <w:lang w:val="fr-FR"/>
        </w:rPr>
        <w:t> </w:t>
      </w:r>
      <w:r w:rsidRPr="0058017E">
        <w:rPr>
          <w:lang w:val="fr-FR"/>
        </w:rPr>
        <w:t>(2F), la même étiquette</w:t>
      </w:r>
      <w:r w:rsidRPr="0069722B">
        <w:rPr>
          <w:rStyle w:val="Appelnotedebasdep"/>
        </w:rPr>
        <w:footnoteReference w:id="4"/>
      </w:r>
      <w:r w:rsidRPr="0058017E">
        <w:rPr>
          <w:lang w:val="fr-FR"/>
        </w:rPr>
        <w:t xml:space="preserve"> (2.1) et il présente des risques identiques</w:t>
      </w:r>
      <w:r w:rsidR="00BF5424">
        <w:rPr>
          <w:lang w:val="fr-FR"/>
        </w:rPr>
        <w:t> ;</w:t>
      </w:r>
    </w:p>
    <w:p w14:paraId="143376CB" w14:textId="2705AFE0" w:rsidR="009F2A20" w:rsidRPr="0058017E" w:rsidRDefault="009F2A20" w:rsidP="009F2A20">
      <w:pPr>
        <w:pStyle w:val="SingleTxtG"/>
        <w:ind w:firstLine="567"/>
        <w:rPr>
          <w:lang w:val="fr-FR"/>
        </w:rPr>
      </w:pPr>
      <w:r w:rsidRPr="0058017E">
        <w:rPr>
          <w:lang w:val="fr-FR"/>
        </w:rPr>
        <w:t>b)</w:t>
      </w:r>
      <w:r w:rsidRPr="0058017E">
        <w:rPr>
          <w:lang w:val="fr-FR"/>
        </w:rPr>
        <w:tab/>
        <w:t>Sa pression de vapeur se situe à peu près à mi-chemin entre celles du butane et du propane, soit presque la même que celle d</w:t>
      </w:r>
      <w:r>
        <w:rPr>
          <w:lang w:val="fr-FR"/>
        </w:rPr>
        <w:t>’</w:t>
      </w:r>
      <w:r w:rsidRPr="0058017E">
        <w:rPr>
          <w:lang w:val="fr-FR"/>
        </w:rPr>
        <w:t>un mélange 50/50 de butane et de propane. L</w:t>
      </w:r>
      <w:r>
        <w:rPr>
          <w:lang w:val="fr-FR"/>
        </w:rPr>
        <w:t>’</w:t>
      </w:r>
      <w:r w:rsidRPr="0058017E">
        <w:rPr>
          <w:lang w:val="fr-FR"/>
        </w:rPr>
        <w:t>ajout de DME a pour effet de réduire la pression de vapeur des mélanges riches en propane et d</w:t>
      </w:r>
      <w:r>
        <w:rPr>
          <w:lang w:val="fr-FR"/>
        </w:rPr>
        <w:t>’</w:t>
      </w:r>
      <w:r w:rsidRPr="0058017E">
        <w:rPr>
          <w:lang w:val="fr-FR"/>
        </w:rPr>
        <w:t>augmenter la pression de vapeur des mélanges riches en butane, mais seulement dans de faibles proportions, même lorsqu</w:t>
      </w:r>
      <w:r>
        <w:rPr>
          <w:lang w:val="fr-FR"/>
        </w:rPr>
        <w:t>’</w:t>
      </w:r>
      <w:r w:rsidRPr="0058017E">
        <w:rPr>
          <w:lang w:val="fr-FR"/>
        </w:rPr>
        <w:t>il est ajouté à la teneur maximale de 12</w:t>
      </w:r>
      <w:r>
        <w:rPr>
          <w:lang w:val="fr-FR"/>
        </w:rPr>
        <w:t> %</w:t>
      </w:r>
      <w:r w:rsidRPr="0058017E">
        <w:rPr>
          <w:lang w:val="fr-FR"/>
        </w:rPr>
        <w:t xml:space="preserve"> en masse fixée dans la présente proposition</w:t>
      </w:r>
      <w:r>
        <w:rPr>
          <w:lang w:val="fr-FR"/>
        </w:rPr>
        <w:t> ;</w:t>
      </w:r>
    </w:p>
    <w:p w14:paraId="15610D7C" w14:textId="1CB9A285" w:rsidR="009F2A20" w:rsidRPr="0058017E" w:rsidRDefault="009F2A20" w:rsidP="009F2A20">
      <w:pPr>
        <w:pStyle w:val="SingleTxtG"/>
        <w:ind w:firstLine="567"/>
        <w:rPr>
          <w:lang w:val="fr-FR"/>
        </w:rPr>
      </w:pPr>
      <w:r w:rsidRPr="0058017E">
        <w:rPr>
          <w:lang w:val="fr-FR"/>
        </w:rPr>
        <w:t>c)</w:t>
      </w:r>
      <w:r w:rsidRPr="0058017E">
        <w:rPr>
          <w:lang w:val="fr-FR"/>
        </w:rPr>
        <w:tab/>
        <w:t>Les taux de remplissage n</w:t>
      </w:r>
      <w:r>
        <w:rPr>
          <w:lang w:val="fr-FR"/>
        </w:rPr>
        <w:t>’</w:t>
      </w:r>
      <w:r w:rsidRPr="0058017E">
        <w:rPr>
          <w:lang w:val="fr-FR"/>
        </w:rPr>
        <w:t>auront pas besoin d</w:t>
      </w:r>
      <w:r>
        <w:rPr>
          <w:lang w:val="fr-FR"/>
        </w:rPr>
        <w:t>’</w:t>
      </w:r>
      <w:r w:rsidRPr="0058017E">
        <w:rPr>
          <w:lang w:val="fr-FR"/>
        </w:rPr>
        <w:t>être modifiés car le DME a une masse volumique à l</w:t>
      </w:r>
      <w:r>
        <w:rPr>
          <w:lang w:val="fr-FR"/>
        </w:rPr>
        <w:t>’</w:t>
      </w:r>
      <w:r w:rsidRPr="0058017E">
        <w:rPr>
          <w:lang w:val="fr-FR"/>
        </w:rPr>
        <w:t>état liquide plus élevée que le butane et le propane et leurs coefficients de dilatation thermique sont presque identiques</w:t>
      </w:r>
      <w:r w:rsidR="00BF5424">
        <w:rPr>
          <w:lang w:val="fr-FR"/>
        </w:rPr>
        <w:t> ;</w:t>
      </w:r>
    </w:p>
    <w:p w14:paraId="474F0951" w14:textId="77777777" w:rsidR="009F2A20" w:rsidRPr="0058017E" w:rsidRDefault="009F2A20" w:rsidP="009F2A20">
      <w:pPr>
        <w:pStyle w:val="SingleTxtG"/>
        <w:ind w:firstLine="567"/>
        <w:rPr>
          <w:lang w:val="fr-FR"/>
        </w:rPr>
      </w:pPr>
      <w:r w:rsidRPr="0058017E">
        <w:rPr>
          <w:lang w:val="fr-FR"/>
        </w:rPr>
        <w:t>d)</w:t>
      </w:r>
      <w:r w:rsidRPr="0058017E">
        <w:rPr>
          <w:lang w:val="fr-FR"/>
        </w:rPr>
        <w:tab/>
        <w:t>Des calculs ont été effectués sur la capacité de débit requise pour les soupapes de sécurité (soupapes de décharge). Ils montrent que si les soupapes de sécurité sont dimensionnées pour le GPL, elles ont également une capacité de débit correcte (selon des critères prudents) pour les mélanges DME/GPL (et le DME non mélangé).</w:t>
      </w:r>
    </w:p>
    <w:p w14:paraId="3E2535E7" w14:textId="5C12524D" w:rsidR="009F2A20" w:rsidRPr="0058017E" w:rsidRDefault="009F2A20" w:rsidP="009F2A20">
      <w:pPr>
        <w:pStyle w:val="SingleTxtG"/>
        <w:rPr>
          <w:lang w:val="fr-FR"/>
        </w:rPr>
      </w:pPr>
      <w:r w:rsidRPr="0058017E">
        <w:rPr>
          <w:lang w:val="fr-FR"/>
        </w:rPr>
        <w:lastRenderedPageBreak/>
        <w:t>5.</w:t>
      </w:r>
      <w:r w:rsidRPr="0058017E">
        <w:rPr>
          <w:lang w:val="fr-FR"/>
        </w:rPr>
        <w:tab/>
        <w:t>Les mélanges susmentionnés constituent de nouvelles offres de produits et, comme pour tout autre combustible, doivent être affectés à un numéro</w:t>
      </w:r>
      <w:r w:rsidR="00272341">
        <w:rPr>
          <w:lang w:val="fr-FR"/>
        </w:rPr>
        <w:t> </w:t>
      </w:r>
      <w:r w:rsidRPr="0058017E">
        <w:rPr>
          <w:lang w:val="fr-FR"/>
        </w:rPr>
        <w:t>ONU qui les prenne correctement en compte.</w:t>
      </w:r>
    </w:p>
    <w:p w14:paraId="3491B1B7" w14:textId="55C7A8EC" w:rsidR="009F2A20" w:rsidRPr="0058017E" w:rsidRDefault="009F2A20" w:rsidP="009F2A20">
      <w:pPr>
        <w:pStyle w:val="SingleTxtG"/>
        <w:rPr>
          <w:lang w:val="fr-FR"/>
        </w:rPr>
      </w:pPr>
      <w:r w:rsidRPr="0058017E">
        <w:rPr>
          <w:lang w:val="fr-FR"/>
        </w:rPr>
        <w:t>6.</w:t>
      </w:r>
      <w:r w:rsidRPr="0058017E">
        <w:rPr>
          <w:lang w:val="fr-FR"/>
        </w:rPr>
        <w:tab/>
        <w:t>Depuis plusieurs années, certains produits transportés ne correspondent pas tout à fait au numéro ONU utilisé. C</w:t>
      </w:r>
      <w:r>
        <w:rPr>
          <w:lang w:val="fr-FR"/>
        </w:rPr>
        <w:t>’</w:t>
      </w:r>
      <w:r w:rsidRPr="0058017E">
        <w:rPr>
          <w:lang w:val="fr-FR"/>
        </w:rPr>
        <w:t>est le cas, par exemple, du bioGPL (GPL renouvelable issu de matières de base biologiques ou recyclées), qui est aujourd</w:t>
      </w:r>
      <w:r>
        <w:rPr>
          <w:lang w:val="fr-FR"/>
        </w:rPr>
        <w:t>’</w:t>
      </w:r>
      <w:r w:rsidRPr="0058017E">
        <w:rPr>
          <w:lang w:val="fr-FR"/>
        </w:rPr>
        <w:t xml:space="preserve">hui disponible sur de nombreux marchés européens. Dans certaines régions, il est transporté sous le </w:t>
      </w:r>
      <w:r>
        <w:rPr>
          <w:lang w:val="fr-FR"/>
        </w:rPr>
        <w:t>No ONU </w:t>
      </w:r>
      <w:r w:rsidRPr="0058017E">
        <w:rPr>
          <w:lang w:val="fr-FR"/>
        </w:rPr>
        <w:t>1075, qui correspond aux gaz de pétrole liquéfiés</w:t>
      </w:r>
      <w:r>
        <w:rPr>
          <w:lang w:val="fr-FR"/>
        </w:rPr>
        <w:t> ;</w:t>
      </w:r>
      <w:r w:rsidRPr="0058017E">
        <w:rPr>
          <w:lang w:val="fr-FR"/>
        </w:rPr>
        <w:t xml:space="preserve"> or, bien que le bioGPL soit identique au GPL fossile, ce n</w:t>
      </w:r>
      <w:r>
        <w:rPr>
          <w:lang w:val="fr-FR"/>
        </w:rPr>
        <w:t>’</w:t>
      </w:r>
      <w:r w:rsidRPr="0058017E">
        <w:rPr>
          <w:lang w:val="fr-FR"/>
        </w:rPr>
        <w:t>est pas un gaz de pétrole. Le bioGPL peut exister en tant que produit autonome ou en tant que mélange avec le GPL fossile.</w:t>
      </w:r>
    </w:p>
    <w:p w14:paraId="545B884E" w14:textId="1D4C10BD" w:rsidR="009F2A20" w:rsidRPr="0058017E" w:rsidRDefault="009F2A20" w:rsidP="009F2A20">
      <w:pPr>
        <w:pStyle w:val="SingleTxtG"/>
        <w:rPr>
          <w:lang w:val="fr-FR"/>
        </w:rPr>
      </w:pPr>
      <w:r w:rsidRPr="0058017E">
        <w:rPr>
          <w:lang w:val="fr-FR"/>
        </w:rPr>
        <w:t>7.</w:t>
      </w:r>
      <w:r w:rsidRPr="0058017E">
        <w:rPr>
          <w:lang w:val="fr-FR"/>
        </w:rPr>
        <w:tab/>
        <w:t>L</w:t>
      </w:r>
      <w:r>
        <w:rPr>
          <w:lang w:val="fr-FR"/>
        </w:rPr>
        <w:t>’</w:t>
      </w:r>
      <w:r w:rsidRPr="0058017E">
        <w:rPr>
          <w:lang w:val="fr-FR"/>
        </w:rPr>
        <w:t>autorisation d</w:t>
      </w:r>
      <w:r>
        <w:rPr>
          <w:lang w:val="fr-FR"/>
        </w:rPr>
        <w:t>’</w:t>
      </w:r>
      <w:r w:rsidRPr="0058017E">
        <w:rPr>
          <w:lang w:val="fr-FR"/>
        </w:rPr>
        <w:t>ajouter jusqu</w:t>
      </w:r>
      <w:r>
        <w:rPr>
          <w:lang w:val="fr-FR"/>
        </w:rPr>
        <w:t>’</w:t>
      </w:r>
      <w:r w:rsidRPr="0058017E">
        <w:rPr>
          <w:lang w:val="fr-FR"/>
        </w:rPr>
        <w:t>à 12</w:t>
      </w:r>
      <w:r>
        <w:rPr>
          <w:lang w:val="fr-FR"/>
        </w:rPr>
        <w:t> %</w:t>
      </w:r>
      <w:r w:rsidRPr="0058017E">
        <w:rPr>
          <w:lang w:val="fr-FR"/>
        </w:rPr>
        <w:t xml:space="preserve"> de DME renouvelable ou recyclé (en masse) au GPL affecté aux Nos</w:t>
      </w:r>
      <w:r>
        <w:rPr>
          <w:lang w:val="fr-FR"/>
        </w:rPr>
        <w:t> </w:t>
      </w:r>
      <w:r w:rsidRPr="0058017E">
        <w:rPr>
          <w:lang w:val="fr-FR"/>
        </w:rPr>
        <w:t>ONU</w:t>
      </w:r>
      <w:r>
        <w:rPr>
          <w:lang w:val="fr-FR"/>
        </w:rPr>
        <w:t> </w:t>
      </w:r>
      <w:r w:rsidRPr="0058017E">
        <w:rPr>
          <w:lang w:val="fr-FR"/>
        </w:rPr>
        <w:t>1075 ou 1965 réduira l</w:t>
      </w:r>
      <w:r>
        <w:rPr>
          <w:lang w:val="fr-FR"/>
        </w:rPr>
        <w:t>’</w:t>
      </w:r>
      <w:r w:rsidRPr="0058017E">
        <w:rPr>
          <w:lang w:val="fr-FR"/>
        </w:rPr>
        <w:t>empreinte carbone du produit et n</w:t>
      </w:r>
      <w:r>
        <w:rPr>
          <w:lang w:val="fr-FR"/>
        </w:rPr>
        <w:t>’</w:t>
      </w:r>
      <w:r w:rsidRPr="0058017E">
        <w:rPr>
          <w:lang w:val="fr-FR"/>
        </w:rPr>
        <w:t>aura aucune incidence sur la sécurité de la chaîne de transport. La WLGA a entrepris un grand nombre d</w:t>
      </w:r>
      <w:r>
        <w:rPr>
          <w:lang w:val="fr-FR"/>
        </w:rPr>
        <w:t>’</w:t>
      </w:r>
      <w:r w:rsidRPr="0058017E">
        <w:rPr>
          <w:lang w:val="fr-FR"/>
        </w:rPr>
        <w:t>essais sur des matériaux non métalliques et certains matériaux métalliques utilisés dans l</w:t>
      </w:r>
      <w:r>
        <w:rPr>
          <w:lang w:val="fr-FR"/>
        </w:rPr>
        <w:t>’</w:t>
      </w:r>
      <w:r w:rsidRPr="0058017E">
        <w:rPr>
          <w:lang w:val="fr-FR"/>
        </w:rPr>
        <w:t>industrie du GPL. On trouvera dans le document ST/SG/AC.10/C.3/2024/49 des informations complémentaires sur les travaux de recherches et les essais menés par la WLGA.</w:t>
      </w:r>
    </w:p>
    <w:p w14:paraId="5688F579" w14:textId="240973F7" w:rsidR="009F2A20" w:rsidRPr="0058017E" w:rsidRDefault="009F2A20" w:rsidP="009F2A20">
      <w:pPr>
        <w:pStyle w:val="SingleTxtG"/>
        <w:rPr>
          <w:lang w:val="fr-FR"/>
        </w:rPr>
      </w:pPr>
      <w:r w:rsidRPr="0058017E">
        <w:rPr>
          <w:lang w:val="fr-FR"/>
        </w:rPr>
        <w:t>8.</w:t>
      </w:r>
      <w:r w:rsidRPr="0058017E">
        <w:rPr>
          <w:lang w:val="fr-FR"/>
        </w:rPr>
        <w:tab/>
        <w:t>Tous les essais réalisés par la WLGA (dans le monde entier) avec des mélanges de GPL ayant une teneur en DME de 20</w:t>
      </w:r>
      <w:r>
        <w:rPr>
          <w:lang w:val="fr-FR"/>
        </w:rPr>
        <w:t> %</w:t>
      </w:r>
      <w:r w:rsidRPr="0058017E">
        <w:rPr>
          <w:lang w:val="fr-FR"/>
        </w:rPr>
        <w:t xml:space="preserve"> (en masse dans la phase liquide) montrent que les matériaux utilisés dans la chaîne de transport et de stockage sont toujours adaptés. Cela signifie que le pourcentage maximal proposé de 12</w:t>
      </w:r>
      <w:r>
        <w:rPr>
          <w:lang w:val="fr-FR"/>
        </w:rPr>
        <w:t> %</w:t>
      </w:r>
      <w:r w:rsidRPr="0058017E">
        <w:rPr>
          <w:lang w:val="fr-FR"/>
        </w:rPr>
        <w:t xml:space="preserve"> peut être utilisé avec un facteur de sécurité minimal de 50</w:t>
      </w:r>
      <w:r>
        <w:rPr>
          <w:lang w:val="fr-FR"/>
        </w:rPr>
        <w:t> %</w:t>
      </w:r>
      <w:r w:rsidRPr="0058017E">
        <w:rPr>
          <w:lang w:val="fr-FR"/>
        </w:rPr>
        <w:t>.</w:t>
      </w:r>
    </w:p>
    <w:p w14:paraId="5F3DF454" w14:textId="3BA1D2F7" w:rsidR="009F2A20" w:rsidRPr="0058017E" w:rsidRDefault="009F2A20" w:rsidP="009F2A20">
      <w:pPr>
        <w:pStyle w:val="SingleTxtG"/>
        <w:rPr>
          <w:lang w:val="fr-FR"/>
        </w:rPr>
      </w:pPr>
      <w:r w:rsidRPr="0058017E">
        <w:rPr>
          <w:lang w:val="fr-FR"/>
        </w:rPr>
        <w:t>9.</w:t>
      </w:r>
      <w:r w:rsidRPr="0058017E">
        <w:rPr>
          <w:lang w:val="fr-FR"/>
        </w:rPr>
        <w:tab/>
        <w:t xml:space="preserve">Les différentes qualités de GPL ne peuvent pas être utilisées en toute sécurité dans tous les appareils et équipements (par exemple, utilisation de propane </w:t>
      </w:r>
      <w:r w:rsidRPr="007F5114">
        <w:rPr>
          <w:lang w:val="fr-FR"/>
        </w:rPr>
        <w:t>dans un appareil au butane ou inversement), et il en va de même pour les mélanges de DME. Toutefois, ce facteur peut être contrôlé au niveau local comme c’est le cas pour l’essence contenant jusqu’à 10 % d’éthanol</w:t>
      </w:r>
      <w:r w:rsidR="007F5114">
        <w:rPr>
          <w:lang w:val="fr-FR"/>
        </w:rPr>
        <w:t>, qui</w:t>
      </w:r>
      <w:r w:rsidRPr="007F5114">
        <w:rPr>
          <w:lang w:val="fr-FR"/>
        </w:rPr>
        <w:t xml:space="preserve"> peut encore être affecté</w:t>
      </w:r>
      <w:r w:rsidR="007F5114">
        <w:rPr>
          <w:lang w:val="fr-FR"/>
        </w:rPr>
        <w:t>e</w:t>
      </w:r>
      <w:r w:rsidRPr="007F5114">
        <w:rPr>
          <w:lang w:val="fr-FR"/>
        </w:rPr>
        <w:t xml:space="preserve"> au </w:t>
      </w:r>
      <w:r w:rsidR="00272341" w:rsidRPr="007F5114">
        <w:rPr>
          <w:lang w:val="fr-FR"/>
        </w:rPr>
        <w:t>N</w:t>
      </w:r>
      <w:r w:rsidRPr="007F5114">
        <w:rPr>
          <w:lang w:val="fr-FR"/>
        </w:rPr>
        <w:t>o</w:t>
      </w:r>
      <w:r w:rsidR="00272341" w:rsidRPr="007F5114">
        <w:rPr>
          <w:lang w:val="fr-FR"/>
        </w:rPr>
        <w:t> </w:t>
      </w:r>
      <w:r w:rsidRPr="007F5114">
        <w:rPr>
          <w:lang w:val="fr-FR"/>
        </w:rPr>
        <w:t>ONU 1203, mais ne convient pas à toutes les utilisations traditionnelles de l’ONU 1203.</w:t>
      </w:r>
    </w:p>
    <w:p w14:paraId="66D31E65" w14:textId="65285313" w:rsidR="009F2A20" w:rsidRPr="0058017E" w:rsidRDefault="009F2A20" w:rsidP="009F2A20">
      <w:pPr>
        <w:pStyle w:val="SingleTxtG"/>
        <w:rPr>
          <w:lang w:val="fr-FR"/>
        </w:rPr>
      </w:pPr>
      <w:r w:rsidRPr="0058017E">
        <w:rPr>
          <w:lang w:val="fr-FR"/>
        </w:rPr>
        <w:t>10.</w:t>
      </w:r>
      <w:r w:rsidRPr="0058017E">
        <w:rPr>
          <w:lang w:val="fr-FR"/>
        </w:rPr>
        <w:tab/>
        <w:t>Il convient également de noter qu</w:t>
      </w:r>
      <w:r>
        <w:rPr>
          <w:lang w:val="fr-FR"/>
        </w:rPr>
        <w:t>’</w:t>
      </w:r>
      <w:r w:rsidRPr="0058017E">
        <w:rPr>
          <w:lang w:val="fr-FR"/>
        </w:rPr>
        <w:t>à l</w:t>
      </w:r>
      <w:r>
        <w:rPr>
          <w:lang w:val="fr-FR"/>
        </w:rPr>
        <w:t>’</w:t>
      </w:r>
      <w:r w:rsidRPr="0058017E">
        <w:rPr>
          <w:lang w:val="fr-FR"/>
        </w:rPr>
        <w:t>heure actuelle, des mélanges de gaz qui ne conviennent absolument pas à une utilisation comme GPL, par exemple avec des pourcentages élevés d</w:t>
      </w:r>
      <w:r>
        <w:rPr>
          <w:lang w:val="fr-FR"/>
        </w:rPr>
        <w:t>’</w:t>
      </w:r>
      <w:r w:rsidRPr="0058017E">
        <w:rPr>
          <w:lang w:val="fr-FR"/>
        </w:rPr>
        <w:t xml:space="preserve">éthane ou de propylène, peuvent encore être affectés aux </w:t>
      </w:r>
      <w:r w:rsidRPr="007F5114">
        <w:rPr>
          <w:lang w:val="fr-FR"/>
        </w:rPr>
        <w:t>Nos</w:t>
      </w:r>
      <w:r w:rsidR="00272341" w:rsidRPr="007F5114">
        <w:rPr>
          <w:lang w:val="fr-FR"/>
        </w:rPr>
        <w:t> </w:t>
      </w:r>
      <w:r w:rsidRPr="007F5114">
        <w:rPr>
          <w:lang w:val="fr-FR"/>
        </w:rPr>
        <w:t>ONU</w:t>
      </w:r>
      <w:r w:rsidR="00272341" w:rsidRPr="007F5114">
        <w:rPr>
          <w:lang w:val="fr-FR"/>
        </w:rPr>
        <w:t> </w:t>
      </w:r>
      <w:r w:rsidRPr="007F5114">
        <w:rPr>
          <w:lang w:val="fr-FR"/>
        </w:rPr>
        <w:t>1075 ou 1965.</w:t>
      </w:r>
    </w:p>
    <w:p w14:paraId="4C41E766" w14:textId="0ED69641" w:rsidR="009F2A20" w:rsidRPr="0058017E" w:rsidRDefault="009F2A20" w:rsidP="009F2A20">
      <w:pPr>
        <w:pStyle w:val="SingleTxtG"/>
        <w:rPr>
          <w:lang w:val="fr-FR"/>
        </w:rPr>
      </w:pPr>
      <w:r w:rsidRPr="0058017E">
        <w:rPr>
          <w:lang w:val="fr-FR"/>
        </w:rPr>
        <w:t>11.</w:t>
      </w:r>
      <w:r w:rsidRPr="0058017E">
        <w:rPr>
          <w:lang w:val="fr-FR"/>
        </w:rPr>
        <w:tab/>
        <w:t>À sa soixante et unième session, le Sous-Comité s</w:t>
      </w:r>
      <w:r>
        <w:rPr>
          <w:lang w:val="fr-FR"/>
        </w:rPr>
        <w:t>’</w:t>
      </w:r>
      <w:r w:rsidRPr="0058017E">
        <w:rPr>
          <w:lang w:val="fr-FR"/>
        </w:rPr>
        <w:t>est félicité que le secteur du GPL ait proposé, pour aller dans le sens de l</w:t>
      </w:r>
      <w:r>
        <w:rPr>
          <w:lang w:val="fr-FR"/>
        </w:rPr>
        <w:t>’</w:t>
      </w:r>
      <w:r w:rsidRPr="0058017E">
        <w:rPr>
          <w:lang w:val="fr-FR"/>
        </w:rPr>
        <w:t>économie circulaire et de l</w:t>
      </w:r>
      <w:r>
        <w:rPr>
          <w:lang w:val="fr-FR"/>
        </w:rPr>
        <w:t>’</w:t>
      </w:r>
      <w:r w:rsidRPr="0058017E">
        <w:rPr>
          <w:lang w:val="fr-FR"/>
        </w:rPr>
        <w:t>utilisation durable des ressources naturelles, une solution pour réduire l</w:t>
      </w:r>
      <w:r>
        <w:rPr>
          <w:lang w:val="fr-FR"/>
        </w:rPr>
        <w:t>’</w:t>
      </w:r>
      <w:r w:rsidRPr="0058017E">
        <w:rPr>
          <w:lang w:val="fr-FR"/>
        </w:rPr>
        <w:t xml:space="preserve">empreinte carbone globale et avait convenu concernant le pourcentage de DME mélangé au GPL, </w:t>
      </w:r>
      <w:r w:rsidR="00272341">
        <w:rPr>
          <w:lang w:val="fr-FR"/>
        </w:rPr>
        <w:t>qu’</w:t>
      </w:r>
      <w:r w:rsidRPr="0058017E">
        <w:rPr>
          <w:lang w:val="fr-FR"/>
        </w:rPr>
        <w:t>il était nécessaire de disposer de résultats de recherches et de données supplémentaires, notamment en ce qui concernait la compatibilité du DME avec les matériaux utilisés pour fabriquer les réservoirs, les bouteilles et leurs joints. Le Sous-Comité a décidé de reprendre l</w:t>
      </w:r>
      <w:r>
        <w:rPr>
          <w:lang w:val="fr-FR"/>
        </w:rPr>
        <w:t>’</w:t>
      </w:r>
      <w:r w:rsidRPr="0058017E">
        <w:rPr>
          <w:lang w:val="fr-FR"/>
        </w:rPr>
        <w:t>examen de ce sujet à une session ultérieure, en se fondant sur de nouveaux documents qui présenteraient entre autre</w:t>
      </w:r>
      <w:r>
        <w:rPr>
          <w:lang w:val="fr-FR"/>
        </w:rPr>
        <w:t>s</w:t>
      </w:r>
      <w:r w:rsidRPr="0058017E">
        <w:rPr>
          <w:lang w:val="fr-FR"/>
        </w:rPr>
        <w:t xml:space="preserve"> les résultats des travaux de recherche menés. </w:t>
      </w:r>
    </w:p>
    <w:p w14:paraId="175724AD" w14:textId="5468373B" w:rsidR="009F2A20" w:rsidRPr="0058017E" w:rsidRDefault="009F2A20" w:rsidP="009F2A20">
      <w:pPr>
        <w:pStyle w:val="SingleTxtG"/>
        <w:rPr>
          <w:lang w:val="fr-FR"/>
        </w:rPr>
      </w:pPr>
      <w:r w:rsidRPr="0058017E">
        <w:rPr>
          <w:lang w:val="fr-FR"/>
        </w:rPr>
        <w:t>12.</w:t>
      </w:r>
      <w:r w:rsidRPr="0058017E">
        <w:rPr>
          <w:lang w:val="fr-FR"/>
        </w:rPr>
        <w:tab/>
        <w:t>Ces recherches et la collecte de données sur le pourcentage de DME mélangé au GPL ont été menées à bien et les résultats ont été présentés à la soixante-troisième session du Sous</w:t>
      </w:r>
      <w:r w:rsidR="00FF3F21">
        <w:rPr>
          <w:lang w:val="fr-FR"/>
        </w:rPr>
        <w:noBreakHyphen/>
      </w:r>
      <w:r w:rsidRPr="0058017E">
        <w:rPr>
          <w:lang w:val="fr-FR"/>
        </w:rPr>
        <w:t>Comité. Les résultats ont été bien accueillis et acceptés par la majorité des participants, une seule objection majeure ayant été formulée concernant la deuxième phrase de la disposition spéciale proposée, qui exigeait que la teneur en éther méthylique soit indiquée dans les documents de transport. Cette prescription ne figure plus dans le libellé révisé de la nouvelle disposition spéciale.</w:t>
      </w:r>
    </w:p>
    <w:p w14:paraId="0526B48D" w14:textId="1F8D801F" w:rsidR="009F2A20" w:rsidRPr="0058017E" w:rsidRDefault="009F2A20" w:rsidP="009F2A20">
      <w:pPr>
        <w:pStyle w:val="SingleTxtG"/>
        <w:rPr>
          <w:lang w:val="fr-FR"/>
        </w:rPr>
      </w:pPr>
      <w:r w:rsidRPr="0058017E">
        <w:rPr>
          <w:lang w:val="fr-FR"/>
        </w:rPr>
        <w:t>13.</w:t>
      </w:r>
      <w:r w:rsidRPr="0058017E">
        <w:rPr>
          <w:lang w:val="fr-FR"/>
        </w:rPr>
        <w:tab/>
        <w:t>La présente proposition d</w:t>
      </w:r>
      <w:r>
        <w:rPr>
          <w:lang w:val="fr-FR"/>
        </w:rPr>
        <w:t>’</w:t>
      </w:r>
      <w:r w:rsidRPr="0058017E">
        <w:rPr>
          <w:lang w:val="fr-FR"/>
        </w:rPr>
        <w:t>amendement contribuera à la décarbonisation du carburant fourni par le secteur du GPL et, partant, à la réalisation de l</w:t>
      </w:r>
      <w:r>
        <w:rPr>
          <w:lang w:val="fr-FR"/>
        </w:rPr>
        <w:t>’</w:t>
      </w:r>
      <w:r w:rsidRPr="0058017E">
        <w:rPr>
          <w:lang w:val="fr-FR"/>
        </w:rPr>
        <w:t>objectif de développement durable n</w:t>
      </w:r>
      <w:r w:rsidRPr="009F2A20">
        <w:rPr>
          <w:vertAlign w:val="superscript"/>
          <w:lang w:val="fr-FR"/>
        </w:rPr>
        <w:t>o</w:t>
      </w:r>
      <w:r w:rsidRPr="009F2A20">
        <w:rPr>
          <w:lang w:val="fr-FR"/>
        </w:rPr>
        <w:t> </w:t>
      </w:r>
      <w:r w:rsidRPr="0058017E">
        <w:rPr>
          <w:lang w:val="fr-FR"/>
        </w:rPr>
        <w:t>7 (Énergie propre et d</w:t>
      </w:r>
      <w:r>
        <w:rPr>
          <w:lang w:val="fr-FR"/>
        </w:rPr>
        <w:t>’</w:t>
      </w:r>
      <w:r w:rsidRPr="0058017E">
        <w:rPr>
          <w:lang w:val="fr-FR"/>
        </w:rPr>
        <w:t>un coût abordable).</w:t>
      </w:r>
    </w:p>
    <w:p w14:paraId="38E94570" w14:textId="1278E853" w:rsidR="009F2A20" w:rsidRPr="0058017E" w:rsidRDefault="009F2A20" w:rsidP="009F2A20">
      <w:pPr>
        <w:pStyle w:val="HChG"/>
        <w:rPr>
          <w:lang w:val="fr-FR"/>
        </w:rPr>
      </w:pPr>
      <w:r>
        <w:rPr>
          <w:lang w:val="fr-FR"/>
        </w:rPr>
        <w:lastRenderedPageBreak/>
        <w:tab/>
      </w:r>
      <w:r w:rsidRPr="0058017E">
        <w:rPr>
          <w:lang w:val="fr-FR"/>
        </w:rPr>
        <w:t>II.</w:t>
      </w:r>
      <w:r w:rsidRPr="0058017E">
        <w:rPr>
          <w:lang w:val="fr-FR"/>
        </w:rPr>
        <w:tab/>
        <w:t>Proposition</w:t>
      </w:r>
    </w:p>
    <w:p w14:paraId="6819A6B6" w14:textId="77777777" w:rsidR="009F2A20" w:rsidRPr="0058017E" w:rsidRDefault="009F2A20" w:rsidP="009F2A20">
      <w:pPr>
        <w:pStyle w:val="H23G"/>
        <w:rPr>
          <w:lang w:val="fr-FR"/>
        </w:rPr>
      </w:pPr>
      <w:r w:rsidRPr="0058017E">
        <w:rPr>
          <w:lang w:val="fr-FR"/>
        </w:rPr>
        <w:tab/>
      </w:r>
      <w:r w:rsidRPr="0058017E">
        <w:rPr>
          <w:lang w:val="fr-FR"/>
        </w:rPr>
        <w:tab/>
        <w:t>Chapitre 3.2, Liste des marchandises dangereuses</w:t>
      </w:r>
    </w:p>
    <w:p w14:paraId="3B1D89D5" w14:textId="0B1A413D" w:rsidR="009F2A20" w:rsidRPr="0058017E" w:rsidRDefault="009F2A20" w:rsidP="009F2A20">
      <w:pPr>
        <w:pStyle w:val="SingleTxtG"/>
        <w:tabs>
          <w:tab w:val="clear" w:pos="1701"/>
          <w:tab w:val="clear" w:pos="2268"/>
          <w:tab w:val="clear" w:pos="2835"/>
        </w:tabs>
        <w:ind w:left="2268" w:hanging="1134"/>
        <w:rPr>
          <w:lang w:val="fr-FR"/>
        </w:rPr>
      </w:pPr>
      <w:r w:rsidRPr="0058017E">
        <w:rPr>
          <w:lang w:val="fr-FR"/>
        </w:rPr>
        <w:t>14.</w:t>
      </w:r>
      <w:r w:rsidRPr="0058017E">
        <w:rPr>
          <w:lang w:val="fr-FR"/>
        </w:rPr>
        <w:tab/>
        <w:t xml:space="preserve">Pour </w:t>
      </w:r>
      <w:r w:rsidRPr="007F5114">
        <w:rPr>
          <w:lang w:val="fr-FR"/>
        </w:rPr>
        <w:t>les Nos ONU 1075 et 1965, dans</w:t>
      </w:r>
      <w:r w:rsidRPr="0058017E">
        <w:rPr>
          <w:lang w:val="fr-FR"/>
        </w:rPr>
        <w:t xml:space="preserve"> la colonne (6), ajouter «</w:t>
      </w:r>
      <w:r>
        <w:rPr>
          <w:lang w:val="fr-FR"/>
        </w:rPr>
        <w:t> </w:t>
      </w:r>
      <w:r w:rsidRPr="0058017E">
        <w:rPr>
          <w:lang w:val="fr-FR"/>
        </w:rPr>
        <w:t>XXX</w:t>
      </w:r>
      <w:r>
        <w:rPr>
          <w:lang w:val="fr-FR"/>
        </w:rPr>
        <w:t> </w:t>
      </w:r>
      <w:r w:rsidRPr="0058017E">
        <w:rPr>
          <w:lang w:val="fr-FR"/>
        </w:rPr>
        <w:t>».</w:t>
      </w:r>
    </w:p>
    <w:p w14:paraId="773D7190" w14:textId="77777777" w:rsidR="009F2A20" w:rsidRPr="0058017E" w:rsidRDefault="009F2A20" w:rsidP="009F2A20">
      <w:pPr>
        <w:pStyle w:val="H23G"/>
        <w:rPr>
          <w:lang w:val="fr-FR"/>
        </w:rPr>
      </w:pPr>
      <w:r w:rsidRPr="0058017E">
        <w:rPr>
          <w:lang w:val="fr-FR"/>
        </w:rPr>
        <w:tab/>
      </w:r>
      <w:r w:rsidRPr="0058017E">
        <w:rPr>
          <w:lang w:val="fr-FR"/>
        </w:rPr>
        <w:tab/>
      </w:r>
      <w:r w:rsidRPr="0058017E">
        <w:rPr>
          <w:bCs/>
          <w:lang w:val="fr-FR"/>
        </w:rPr>
        <w:t>Chapitre 3.3</w:t>
      </w:r>
    </w:p>
    <w:p w14:paraId="0B3AA291" w14:textId="50C3369A" w:rsidR="009F2A20" w:rsidRPr="0058017E" w:rsidRDefault="009F2A20" w:rsidP="009F2A20">
      <w:pPr>
        <w:pStyle w:val="SingleTxtG"/>
        <w:tabs>
          <w:tab w:val="clear" w:pos="1701"/>
          <w:tab w:val="clear" w:pos="2268"/>
          <w:tab w:val="clear" w:pos="2835"/>
        </w:tabs>
        <w:ind w:left="2268" w:hanging="1134"/>
        <w:rPr>
          <w:lang w:val="fr-FR"/>
        </w:rPr>
      </w:pPr>
      <w:r w:rsidRPr="0058017E">
        <w:rPr>
          <w:lang w:val="fr-FR"/>
        </w:rPr>
        <w:t>15.</w:t>
      </w:r>
      <w:r w:rsidRPr="0058017E">
        <w:rPr>
          <w:lang w:val="fr-FR"/>
        </w:rPr>
        <w:tab/>
        <w:t>Au 3.3.1, ajouter la nouvelle disposition spéciale suivante</w:t>
      </w:r>
      <w:r>
        <w:rPr>
          <w:lang w:val="fr-FR"/>
        </w:rPr>
        <w:t> :</w:t>
      </w:r>
    </w:p>
    <w:p w14:paraId="637B54E3" w14:textId="7D8F2B2A" w:rsidR="009F2A20" w:rsidRPr="0058017E" w:rsidRDefault="009F2A20" w:rsidP="009F2A20">
      <w:pPr>
        <w:pStyle w:val="SingleTxtG"/>
        <w:tabs>
          <w:tab w:val="clear" w:pos="1701"/>
          <w:tab w:val="clear" w:pos="2268"/>
          <w:tab w:val="clear" w:pos="2835"/>
        </w:tabs>
        <w:ind w:left="2268" w:hanging="1134"/>
        <w:rPr>
          <w:lang w:val="fr-FR"/>
        </w:rPr>
      </w:pPr>
      <w:r w:rsidRPr="0058017E">
        <w:rPr>
          <w:lang w:val="fr-FR"/>
        </w:rPr>
        <w:t>«</w:t>
      </w:r>
      <w:r>
        <w:rPr>
          <w:lang w:val="fr-FR"/>
        </w:rPr>
        <w:t> </w:t>
      </w:r>
      <w:r w:rsidRPr="0058017E">
        <w:rPr>
          <w:lang w:val="fr-FR"/>
        </w:rPr>
        <w:t>XXX</w:t>
      </w:r>
      <w:r w:rsidRPr="0058017E">
        <w:rPr>
          <w:lang w:val="fr-FR"/>
        </w:rPr>
        <w:tab/>
      </w:r>
      <w:r w:rsidRPr="0058017E">
        <w:rPr>
          <w:lang w:val="fr-FR"/>
        </w:rPr>
        <w:tab/>
        <w:t>Cette matière peut contenir des hydrocarbures gazeux issus de sources non pétrolières et peut également contenir de l</w:t>
      </w:r>
      <w:r>
        <w:rPr>
          <w:lang w:val="fr-FR"/>
        </w:rPr>
        <w:t>’</w:t>
      </w:r>
      <w:r w:rsidRPr="0058017E">
        <w:rPr>
          <w:lang w:val="fr-FR"/>
        </w:rPr>
        <w:t>ÉTHER MÉTHYLIQUE (</w:t>
      </w:r>
      <w:r>
        <w:rPr>
          <w:lang w:val="fr-FR"/>
        </w:rPr>
        <w:t>No ONU </w:t>
      </w:r>
      <w:r w:rsidRPr="0058017E">
        <w:rPr>
          <w:lang w:val="fr-FR"/>
        </w:rPr>
        <w:t>1033) jusqu</w:t>
      </w:r>
      <w:r>
        <w:rPr>
          <w:lang w:val="fr-FR"/>
        </w:rPr>
        <w:t>’</w:t>
      </w:r>
      <w:r w:rsidRPr="0058017E">
        <w:rPr>
          <w:lang w:val="fr-FR"/>
        </w:rPr>
        <w:t>à un pourcentage en masse de 12</w:t>
      </w:r>
      <w:r>
        <w:rPr>
          <w:lang w:val="fr-FR"/>
        </w:rPr>
        <w:t> %</w:t>
      </w:r>
      <w:r w:rsidRPr="0058017E">
        <w:rPr>
          <w:lang w:val="fr-FR"/>
        </w:rPr>
        <w:t>.</w:t>
      </w:r>
      <w:r>
        <w:rPr>
          <w:lang w:val="fr-FR"/>
        </w:rPr>
        <w:t> »</w:t>
      </w:r>
      <w:r w:rsidRPr="0058017E">
        <w:rPr>
          <w:lang w:val="fr-FR"/>
        </w:rPr>
        <w:t>.</w:t>
      </w:r>
    </w:p>
    <w:p w14:paraId="0D747BDC" w14:textId="5EE328F4" w:rsidR="009F2A20" w:rsidRPr="0058017E" w:rsidRDefault="009F2A20" w:rsidP="009F2A20">
      <w:pPr>
        <w:pStyle w:val="HChG"/>
        <w:rPr>
          <w:lang w:val="fr-FR"/>
        </w:rPr>
      </w:pPr>
      <w:r>
        <w:rPr>
          <w:lang w:val="fr-FR"/>
        </w:rPr>
        <w:tab/>
      </w:r>
      <w:r w:rsidRPr="0058017E">
        <w:rPr>
          <w:lang w:val="fr-FR"/>
        </w:rPr>
        <w:t>III.</w:t>
      </w:r>
      <w:r w:rsidRPr="0058017E">
        <w:rPr>
          <w:lang w:val="fr-FR"/>
        </w:rPr>
        <w:tab/>
        <w:t>Incidences sur la sécurité</w:t>
      </w:r>
    </w:p>
    <w:p w14:paraId="48C04FE8" w14:textId="6C532C94" w:rsidR="009F2A20" w:rsidRPr="0058017E" w:rsidRDefault="009F2A20" w:rsidP="009F2A20">
      <w:pPr>
        <w:pStyle w:val="SingleTxtG"/>
        <w:rPr>
          <w:lang w:val="fr-FR"/>
        </w:rPr>
      </w:pPr>
      <w:r w:rsidRPr="0058017E">
        <w:rPr>
          <w:lang w:val="fr-FR"/>
        </w:rPr>
        <w:t>16.</w:t>
      </w:r>
      <w:r w:rsidRPr="0058017E">
        <w:rPr>
          <w:lang w:val="fr-FR"/>
        </w:rPr>
        <w:tab/>
        <w:t>Aucune incidence sur la sécurité n</w:t>
      </w:r>
      <w:r>
        <w:rPr>
          <w:lang w:val="fr-FR"/>
        </w:rPr>
        <w:t>’</w:t>
      </w:r>
      <w:r w:rsidRPr="0058017E">
        <w:rPr>
          <w:lang w:val="fr-FR"/>
        </w:rPr>
        <w:t>est prévue dans le cadre de la proposition. Les</w:t>
      </w:r>
      <w:r w:rsidR="00FF3F21">
        <w:rPr>
          <w:lang w:val="fr-FR"/>
        </w:rPr>
        <w:t> </w:t>
      </w:r>
      <w:r w:rsidRPr="0058017E">
        <w:rPr>
          <w:lang w:val="fr-FR"/>
        </w:rPr>
        <w:t>professionnels sont d</w:t>
      </w:r>
      <w:r>
        <w:rPr>
          <w:lang w:val="fr-FR"/>
        </w:rPr>
        <w:t>’</w:t>
      </w:r>
      <w:r w:rsidRPr="0058017E">
        <w:rPr>
          <w:lang w:val="fr-FR"/>
        </w:rPr>
        <w:t>avis que le transport des mélanges GPL/DME se fera dans les mêmes conditions de sécurité que le transport du GPL classique. On trouvera à l</w:t>
      </w:r>
      <w:r>
        <w:rPr>
          <w:lang w:val="fr-FR"/>
        </w:rPr>
        <w:t>’</w:t>
      </w:r>
      <w:r w:rsidRPr="0058017E">
        <w:rPr>
          <w:lang w:val="fr-FR"/>
        </w:rPr>
        <w:t>annexe du présent document les courbes pression-température pour le DME, le butane, le propane et les mélanges butane/propane.</w:t>
      </w:r>
    </w:p>
    <w:p w14:paraId="14C65ED6" w14:textId="77777777" w:rsidR="009F2A20" w:rsidRPr="0058017E" w:rsidRDefault="009F2A20" w:rsidP="009F2A20">
      <w:pPr>
        <w:rPr>
          <w:lang w:val="fr-FR"/>
        </w:rPr>
      </w:pPr>
      <w:r w:rsidRPr="0058017E">
        <w:rPr>
          <w:lang w:val="fr-FR"/>
        </w:rPr>
        <w:br w:type="page"/>
      </w:r>
    </w:p>
    <w:p w14:paraId="1930EC45" w14:textId="77777777" w:rsidR="009F2A20" w:rsidRPr="0058017E" w:rsidRDefault="009F2A20" w:rsidP="009F2A20">
      <w:pPr>
        <w:pStyle w:val="HChG"/>
        <w:rPr>
          <w:lang w:val="fr-FR"/>
        </w:rPr>
      </w:pPr>
      <w:r w:rsidRPr="0058017E">
        <w:rPr>
          <w:lang w:val="fr-FR"/>
        </w:rPr>
        <w:lastRenderedPageBreak/>
        <w:tab/>
        <w:t>Annexe</w:t>
      </w:r>
    </w:p>
    <w:p w14:paraId="04E4D335" w14:textId="77777777" w:rsidR="009F2A20" w:rsidRPr="0058017E" w:rsidRDefault="009F2A20" w:rsidP="009F2A20">
      <w:pPr>
        <w:pStyle w:val="SingleTxtG"/>
        <w:jc w:val="right"/>
        <w:rPr>
          <w:b/>
          <w:lang w:val="fr-FR"/>
        </w:rPr>
      </w:pPr>
      <w:r w:rsidRPr="0058017E">
        <w:rPr>
          <w:lang w:val="fr-FR"/>
        </w:rPr>
        <w:t>[</w:t>
      </w:r>
      <w:r w:rsidRPr="009F2A20">
        <w:rPr>
          <w:i/>
          <w:iCs/>
          <w:lang w:val="fr-FR"/>
        </w:rPr>
        <w:t>Anglais seulement</w:t>
      </w:r>
      <w:r w:rsidRPr="0058017E">
        <w:rPr>
          <w:lang w:val="fr-FR"/>
        </w:rPr>
        <w:t>]</w:t>
      </w:r>
    </w:p>
    <w:p w14:paraId="59875E50" w14:textId="7780F9AC" w:rsidR="009F2A20" w:rsidRPr="0058017E" w:rsidRDefault="009F2A20" w:rsidP="009F2A20">
      <w:pPr>
        <w:pStyle w:val="HChG"/>
        <w:rPr>
          <w:lang w:val="fr-FR"/>
        </w:rPr>
      </w:pPr>
      <w:r w:rsidRPr="0058017E">
        <w:rPr>
          <w:lang w:val="fr-FR"/>
        </w:rPr>
        <w:tab/>
      </w:r>
      <w:r w:rsidRPr="0058017E">
        <w:rPr>
          <w:lang w:val="fr-FR"/>
        </w:rPr>
        <w:tab/>
        <w:t xml:space="preserve">Pressure-temperature curves for DME, butane, propane </w:t>
      </w:r>
      <w:r>
        <w:rPr>
          <w:lang w:val="fr-FR"/>
        </w:rPr>
        <w:br/>
      </w:r>
      <w:r w:rsidRPr="0058017E">
        <w:rPr>
          <w:lang w:val="fr-FR"/>
        </w:rPr>
        <w:t>and butane/propane mixtures</w:t>
      </w:r>
    </w:p>
    <w:p w14:paraId="6756E7DD" w14:textId="3939F689" w:rsidR="009F2A20" w:rsidRDefault="009F2A20" w:rsidP="009F2A20">
      <w:r w:rsidRPr="0058017E">
        <w:rPr>
          <w:noProof/>
          <w:lang w:val="fr-FR"/>
        </w:rPr>
        <w:drawing>
          <wp:inline distT="0" distB="0" distL="0" distR="0" wp14:anchorId="7FB3A694" wp14:editId="2A0A808A">
            <wp:extent cx="4680000" cy="2397050"/>
            <wp:effectExtent l="0" t="0" r="6350" b="381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8"/>
                    <a:stretch>
                      <a:fillRect/>
                    </a:stretch>
                  </pic:blipFill>
                  <pic:spPr>
                    <a:xfrm>
                      <a:off x="0" y="0"/>
                      <a:ext cx="4680000" cy="2397050"/>
                    </a:xfrm>
                    <a:prstGeom prst="rect">
                      <a:avLst/>
                    </a:prstGeom>
                  </pic:spPr>
                </pic:pic>
              </a:graphicData>
            </a:graphic>
          </wp:inline>
        </w:drawing>
      </w:r>
    </w:p>
    <w:p w14:paraId="0B77F613" w14:textId="29F72AD4" w:rsidR="00446FE5" w:rsidRPr="009F2A20" w:rsidRDefault="009F2A20" w:rsidP="009F2A20">
      <w:pPr>
        <w:pStyle w:val="SingleTxtG"/>
        <w:spacing w:before="240" w:after="0"/>
        <w:jc w:val="center"/>
        <w:rPr>
          <w:u w:val="single"/>
        </w:rPr>
      </w:pPr>
      <w:r>
        <w:rPr>
          <w:u w:val="single"/>
        </w:rPr>
        <w:tab/>
      </w:r>
      <w:r>
        <w:rPr>
          <w:u w:val="single"/>
        </w:rPr>
        <w:tab/>
      </w:r>
      <w:r>
        <w:rPr>
          <w:u w:val="single"/>
        </w:rPr>
        <w:tab/>
      </w:r>
    </w:p>
    <w:sectPr w:rsidR="00446FE5" w:rsidRPr="009F2A20" w:rsidSect="009F2A2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394B0" w14:textId="77777777" w:rsidR="00DB6B32" w:rsidRDefault="00DB6B32" w:rsidP="00F95C08">
      <w:pPr>
        <w:spacing w:line="240" w:lineRule="auto"/>
      </w:pPr>
    </w:p>
  </w:endnote>
  <w:endnote w:type="continuationSeparator" w:id="0">
    <w:p w14:paraId="7BF0C80C" w14:textId="77777777" w:rsidR="00DB6B32" w:rsidRPr="00AC3823" w:rsidRDefault="00DB6B32" w:rsidP="00AC3823">
      <w:pPr>
        <w:pStyle w:val="Pieddepage"/>
      </w:pPr>
    </w:p>
  </w:endnote>
  <w:endnote w:type="continuationNotice" w:id="1">
    <w:p w14:paraId="6CF59044" w14:textId="77777777" w:rsidR="00DB6B32" w:rsidRDefault="00DB6B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F7A7D" w14:textId="3D91BBA7" w:rsidR="009F2A20" w:rsidRPr="009F2A20" w:rsidRDefault="009F2A20" w:rsidP="009F2A20">
    <w:pPr>
      <w:pStyle w:val="Pieddepage"/>
      <w:tabs>
        <w:tab w:val="right" w:pos="9638"/>
      </w:tabs>
    </w:pPr>
    <w:r w:rsidRPr="009F2A20">
      <w:rPr>
        <w:b/>
        <w:sz w:val="18"/>
      </w:rPr>
      <w:fldChar w:fldCharType="begin"/>
    </w:r>
    <w:r w:rsidRPr="009F2A20">
      <w:rPr>
        <w:b/>
        <w:sz w:val="18"/>
      </w:rPr>
      <w:instrText xml:space="preserve"> PAGE  \* MERGEFORMAT </w:instrText>
    </w:r>
    <w:r w:rsidRPr="009F2A20">
      <w:rPr>
        <w:b/>
        <w:sz w:val="18"/>
      </w:rPr>
      <w:fldChar w:fldCharType="separate"/>
    </w:r>
    <w:r w:rsidRPr="009F2A20">
      <w:rPr>
        <w:b/>
        <w:noProof/>
        <w:sz w:val="18"/>
      </w:rPr>
      <w:t>2</w:t>
    </w:r>
    <w:r w:rsidRPr="009F2A20">
      <w:rPr>
        <w:b/>
        <w:sz w:val="18"/>
      </w:rPr>
      <w:fldChar w:fldCharType="end"/>
    </w:r>
    <w:r>
      <w:rPr>
        <w:b/>
        <w:sz w:val="18"/>
      </w:rPr>
      <w:tab/>
    </w:r>
    <w:r>
      <w:t>GE.24-06723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6F5A3" w14:textId="157C3D13" w:rsidR="009F2A20" w:rsidRPr="009F2A20" w:rsidRDefault="009F2A20" w:rsidP="009F2A20">
    <w:pPr>
      <w:pStyle w:val="Pieddepage"/>
      <w:tabs>
        <w:tab w:val="right" w:pos="9638"/>
      </w:tabs>
      <w:rPr>
        <w:b/>
        <w:sz w:val="18"/>
      </w:rPr>
    </w:pPr>
    <w:r>
      <w:t>GE.24-06723</w:t>
    </w:r>
    <w:r>
      <w:tab/>
    </w:r>
    <w:r w:rsidRPr="009F2A20">
      <w:rPr>
        <w:b/>
        <w:sz w:val="18"/>
      </w:rPr>
      <w:fldChar w:fldCharType="begin"/>
    </w:r>
    <w:r w:rsidRPr="009F2A20">
      <w:rPr>
        <w:b/>
        <w:sz w:val="18"/>
      </w:rPr>
      <w:instrText xml:space="preserve"> PAGE  \* MERGEFORMAT </w:instrText>
    </w:r>
    <w:r w:rsidRPr="009F2A20">
      <w:rPr>
        <w:b/>
        <w:sz w:val="18"/>
      </w:rPr>
      <w:fldChar w:fldCharType="separate"/>
    </w:r>
    <w:r w:rsidRPr="009F2A20">
      <w:rPr>
        <w:b/>
        <w:noProof/>
        <w:sz w:val="18"/>
      </w:rPr>
      <w:t>3</w:t>
    </w:r>
    <w:r w:rsidRPr="009F2A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A62B9" w14:textId="70746E37" w:rsidR="0068456F" w:rsidRPr="009F2A20" w:rsidRDefault="009F2A20" w:rsidP="009F2A20">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0DD4636" wp14:editId="45624A3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24-06723  (F)</w:t>
    </w:r>
    <w:r>
      <w:rPr>
        <w:noProof/>
        <w:sz w:val="20"/>
      </w:rPr>
      <w:drawing>
        <wp:anchor distT="0" distB="0" distL="114300" distR="114300" simplePos="0" relativeHeight="251660288" behindDoc="0" locked="0" layoutInCell="1" allowOverlap="1" wp14:anchorId="2E7D2894" wp14:editId="0B30777E">
          <wp:simplePos x="0" y="0"/>
          <wp:positionH relativeFrom="margin">
            <wp:posOffset>5489575</wp:posOffset>
          </wp:positionH>
          <wp:positionV relativeFrom="margin">
            <wp:posOffset>8891905</wp:posOffset>
          </wp:positionV>
          <wp:extent cx="628650" cy="628650"/>
          <wp:effectExtent l="0" t="0" r="0" b="0"/>
          <wp:wrapNone/>
          <wp:docPr id="14683514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210424    220424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639E6" w14:textId="77777777" w:rsidR="00DB6B32" w:rsidRPr="00AC3823" w:rsidRDefault="00DB6B32" w:rsidP="00AC3823">
      <w:pPr>
        <w:pStyle w:val="Pieddepage"/>
        <w:tabs>
          <w:tab w:val="right" w:pos="2155"/>
        </w:tabs>
        <w:spacing w:after="80" w:line="240" w:lineRule="atLeast"/>
        <w:ind w:left="680"/>
        <w:rPr>
          <w:u w:val="single"/>
        </w:rPr>
      </w:pPr>
      <w:r>
        <w:rPr>
          <w:u w:val="single"/>
        </w:rPr>
        <w:tab/>
      </w:r>
    </w:p>
  </w:footnote>
  <w:footnote w:type="continuationSeparator" w:id="0">
    <w:p w14:paraId="1017F4CA" w14:textId="77777777" w:rsidR="00DB6B32" w:rsidRPr="00AC3823" w:rsidRDefault="00DB6B32" w:rsidP="00AC3823">
      <w:pPr>
        <w:pStyle w:val="Pieddepage"/>
        <w:tabs>
          <w:tab w:val="right" w:pos="2155"/>
        </w:tabs>
        <w:spacing w:after="80" w:line="240" w:lineRule="atLeast"/>
        <w:ind w:left="680"/>
        <w:rPr>
          <w:u w:val="single"/>
        </w:rPr>
      </w:pPr>
      <w:r>
        <w:rPr>
          <w:u w:val="single"/>
        </w:rPr>
        <w:tab/>
      </w:r>
    </w:p>
  </w:footnote>
  <w:footnote w:type="continuationNotice" w:id="1">
    <w:p w14:paraId="36E028DD" w14:textId="77777777" w:rsidR="00DB6B32" w:rsidRPr="00AC3823" w:rsidRDefault="00DB6B32">
      <w:pPr>
        <w:spacing w:line="240" w:lineRule="auto"/>
        <w:rPr>
          <w:sz w:val="2"/>
          <w:szCs w:val="2"/>
        </w:rPr>
      </w:pPr>
    </w:p>
  </w:footnote>
  <w:footnote w:id="2">
    <w:p w14:paraId="6FF202E0" w14:textId="77777777" w:rsidR="009F2A20" w:rsidRPr="0058017E" w:rsidRDefault="009F2A20" w:rsidP="009F2A20">
      <w:pPr>
        <w:pStyle w:val="Notedebasdepage"/>
        <w:rPr>
          <w:lang w:val="fr-FR"/>
        </w:rPr>
      </w:pPr>
      <w:r>
        <w:rPr>
          <w:lang w:val="fr-FR"/>
        </w:rPr>
        <w:tab/>
      </w:r>
      <w:r w:rsidRPr="009F2A20">
        <w:rPr>
          <w:sz w:val="20"/>
          <w:lang w:val="fr-FR"/>
        </w:rPr>
        <w:t>*</w:t>
      </w:r>
      <w:r>
        <w:rPr>
          <w:lang w:val="fr-FR"/>
        </w:rPr>
        <w:tab/>
        <w:t>A/78/6 (Sect. 20), tableau 20.5.</w:t>
      </w:r>
    </w:p>
  </w:footnote>
  <w:footnote w:id="3">
    <w:p w14:paraId="326535ED" w14:textId="10F1286A" w:rsidR="009F2A20" w:rsidRPr="0058017E" w:rsidRDefault="009F2A20" w:rsidP="009F2A20">
      <w:pPr>
        <w:pStyle w:val="Notedebasdepage"/>
        <w:rPr>
          <w:lang w:val="fr-FR"/>
        </w:rPr>
      </w:pPr>
      <w:r>
        <w:rPr>
          <w:lang w:val="fr-FR"/>
        </w:rPr>
        <w:tab/>
      </w:r>
      <w:r w:rsidRPr="0069722B">
        <w:rPr>
          <w:rStyle w:val="Appelnotedebasdep"/>
        </w:rPr>
        <w:footnoteRef/>
      </w:r>
      <w:r>
        <w:rPr>
          <w:lang w:val="fr-FR"/>
        </w:rPr>
        <w:tab/>
        <w:t>Voir la colonne (3b) du tableau A du chapitre 3.2 de l</w:t>
      </w:r>
      <w:r w:rsidR="003034B4">
        <w:rPr>
          <w:lang w:val="fr-FR"/>
        </w:rPr>
        <w:t>’</w:t>
      </w:r>
      <w:r>
        <w:rPr>
          <w:lang w:val="fr-FR"/>
        </w:rPr>
        <w:t>Accord relatif au transport international des</w:t>
      </w:r>
      <w:r w:rsidR="00272341">
        <w:rPr>
          <w:lang w:val="fr-FR"/>
        </w:rPr>
        <w:t> </w:t>
      </w:r>
      <w:r>
        <w:rPr>
          <w:lang w:val="fr-FR"/>
        </w:rPr>
        <w:t xml:space="preserve">marchandises dangereuses par route (ADR). </w:t>
      </w:r>
    </w:p>
  </w:footnote>
  <w:footnote w:id="4">
    <w:p w14:paraId="6FD283F6" w14:textId="62F7B9B1" w:rsidR="009F2A20" w:rsidRPr="0058017E" w:rsidRDefault="009F2A20" w:rsidP="009F2A20">
      <w:pPr>
        <w:pStyle w:val="Notedebasdepage"/>
        <w:rPr>
          <w:lang w:val="fr-FR"/>
        </w:rPr>
      </w:pPr>
      <w:r>
        <w:rPr>
          <w:lang w:val="fr-FR"/>
        </w:rPr>
        <w:tab/>
      </w:r>
      <w:r w:rsidRPr="0069722B">
        <w:rPr>
          <w:rStyle w:val="Appelnotedebasdep"/>
        </w:rPr>
        <w:footnoteRef/>
      </w:r>
      <w:r>
        <w:rPr>
          <w:lang w:val="fr-FR"/>
        </w:rPr>
        <w:tab/>
        <w:t>Voir la colonne (5) du tableau A du chapitre 3.2 de l</w:t>
      </w:r>
      <w:r w:rsidR="003034B4">
        <w:rPr>
          <w:lang w:val="fr-FR"/>
        </w:rPr>
        <w:t>’</w:t>
      </w:r>
      <w:r>
        <w:rPr>
          <w:lang w:val="fr-FR"/>
        </w:rPr>
        <w:t>Accord relatif au transport international des</w:t>
      </w:r>
      <w:r w:rsidR="00272341">
        <w:rPr>
          <w:lang w:val="fr-FR"/>
        </w:rPr>
        <w:t> </w:t>
      </w:r>
      <w:r>
        <w:rPr>
          <w:lang w:val="fr-FR"/>
        </w:rPr>
        <w:t xml:space="preserve">marchandises dangereuses par route (ADR).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2AD56" w14:textId="77A65C86" w:rsidR="009F2A20" w:rsidRPr="009F2A20" w:rsidRDefault="000229B9">
    <w:pPr>
      <w:pStyle w:val="En-tte"/>
    </w:pPr>
    <w:r>
      <w:fldChar w:fldCharType="begin"/>
    </w:r>
    <w:r>
      <w:instrText xml:space="preserve"> TITLE  \* MERGEFORMAT </w:instrText>
    </w:r>
    <w:r>
      <w:fldChar w:fldCharType="separate"/>
    </w:r>
    <w:r>
      <w:t>ST/SG/AC.10/C.3/2024/48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4A88C" w14:textId="432E9875" w:rsidR="009F2A20" w:rsidRPr="009F2A20" w:rsidRDefault="000229B9" w:rsidP="009F2A20">
    <w:pPr>
      <w:pStyle w:val="En-tte"/>
      <w:jc w:val="right"/>
    </w:pPr>
    <w:r>
      <w:fldChar w:fldCharType="begin"/>
    </w:r>
    <w:r>
      <w:instrText xml:space="preserve"> TITLE  \* MERGEFORMAT </w:instrText>
    </w:r>
    <w:r>
      <w:fldChar w:fldCharType="separate"/>
    </w:r>
    <w:r>
      <w:t>ST/SG/AC.10/C.3/2024/48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9622D" w14:textId="77777777" w:rsidR="0073316E" w:rsidRDefault="007331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02843807">
    <w:abstractNumId w:val="12"/>
  </w:num>
  <w:num w:numId="2" w16cid:durableId="266352648">
    <w:abstractNumId w:val="11"/>
  </w:num>
  <w:num w:numId="3" w16cid:durableId="352651464">
    <w:abstractNumId w:val="10"/>
  </w:num>
  <w:num w:numId="4" w16cid:durableId="486091439">
    <w:abstractNumId w:val="8"/>
  </w:num>
  <w:num w:numId="5" w16cid:durableId="1217010232">
    <w:abstractNumId w:val="3"/>
  </w:num>
  <w:num w:numId="6" w16cid:durableId="180315752">
    <w:abstractNumId w:val="2"/>
  </w:num>
  <w:num w:numId="7" w16cid:durableId="1985771315">
    <w:abstractNumId w:val="1"/>
  </w:num>
  <w:num w:numId="8" w16cid:durableId="1821849876">
    <w:abstractNumId w:val="0"/>
  </w:num>
  <w:num w:numId="9" w16cid:durableId="1463844344">
    <w:abstractNumId w:val="9"/>
  </w:num>
  <w:num w:numId="10" w16cid:durableId="1694961376">
    <w:abstractNumId w:val="7"/>
  </w:num>
  <w:num w:numId="11" w16cid:durableId="430590654">
    <w:abstractNumId w:val="6"/>
  </w:num>
  <w:num w:numId="12" w16cid:durableId="903678865">
    <w:abstractNumId w:val="5"/>
  </w:num>
  <w:num w:numId="13" w16cid:durableId="1137919053">
    <w:abstractNumId w:val="4"/>
  </w:num>
  <w:num w:numId="14" w16cid:durableId="1353917316">
    <w:abstractNumId w:val="12"/>
  </w:num>
  <w:num w:numId="15" w16cid:durableId="1975478668">
    <w:abstractNumId w:val="11"/>
  </w:num>
  <w:num w:numId="16" w16cid:durableId="130098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32"/>
    <w:rsid w:val="00017F94"/>
    <w:rsid w:val="000229B9"/>
    <w:rsid w:val="00023842"/>
    <w:rsid w:val="000305D3"/>
    <w:rsid w:val="000334F9"/>
    <w:rsid w:val="0007796D"/>
    <w:rsid w:val="000B7790"/>
    <w:rsid w:val="00111F2F"/>
    <w:rsid w:val="00132EA9"/>
    <w:rsid w:val="0014365E"/>
    <w:rsid w:val="00172E49"/>
    <w:rsid w:val="00176178"/>
    <w:rsid w:val="001F525A"/>
    <w:rsid w:val="00223272"/>
    <w:rsid w:val="0024779E"/>
    <w:rsid w:val="002576A4"/>
    <w:rsid w:val="00272341"/>
    <w:rsid w:val="00283190"/>
    <w:rsid w:val="002832AC"/>
    <w:rsid w:val="002D7C93"/>
    <w:rsid w:val="003034B4"/>
    <w:rsid w:val="003A493F"/>
    <w:rsid w:val="00441C3B"/>
    <w:rsid w:val="00446FE5"/>
    <w:rsid w:val="00452396"/>
    <w:rsid w:val="004E468C"/>
    <w:rsid w:val="005505B7"/>
    <w:rsid w:val="00573BE5"/>
    <w:rsid w:val="00584DC4"/>
    <w:rsid w:val="00586ED3"/>
    <w:rsid w:val="00596AA9"/>
    <w:rsid w:val="0068456F"/>
    <w:rsid w:val="0071601D"/>
    <w:rsid w:val="0073316E"/>
    <w:rsid w:val="007A62E6"/>
    <w:rsid w:val="007F5114"/>
    <w:rsid w:val="0080684C"/>
    <w:rsid w:val="008123E0"/>
    <w:rsid w:val="00871C75"/>
    <w:rsid w:val="008776DC"/>
    <w:rsid w:val="00883A1F"/>
    <w:rsid w:val="008B40CD"/>
    <w:rsid w:val="009705C8"/>
    <w:rsid w:val="009C1CF4"/>
    <w:rsid w:val="009D624A"/>
    <w:rsid w:val="009F2A20"/>
    <w:rsid w:val="00A30353"/>
    <w:rsid w:val="00A81281"/>
    <w:rsid w:val="00AC3823"/>
    <w:rsid w:val="00AE323C"/>
    <w:rsid w:val="00B00181"/>
    <w:rsid w:val="00B00B0D"/>
    <w:rsid w:val="00B765F7"/>
    <w:rsid w:val="00BA0CA9"/>
    <w:rsid w:val="00BF5424"/>
    <w:rsid w:val="00C02897"/>
    <w:rsid w:val="00D3439C"/>
    <w:rsid w:val="00DB1831"/>
    <w:rsid w:val="00DB6B32"/>
    <w:rsid w:val="00DD3BFD"/>
    <w:rsid w:val="00DF6678"/>
    <w:rsid w:val="00EF2E22"/>
    <w:rsid w:val="00F01738"/>
    <w:rsid w:val="00F660DF"/>
    <w:rsid w:val="00F730C8"/>
    <w:rsid w:val="00F95C08"/>
    <w:rsid w:val="00FF3F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7CE46"/>
  <w15:docId w15:val="{551F56BA-A071-4155-9D44-51746F31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9F2A20"/>
    <w:rPr>
      <w:rFonts w:ascii="Times New Roman" w:eastAsiaTheme="minorHAnsi" w:hAnsi="Times New Roman" w:cs="Times New Roman"/>
      <w:b/>
      <w:sz w:val="28"/>
      <w:szCs w:val="20"/>
      <w:lang w:eastAsia="en-US"/>
    </w:rPr>
  </w:style>
  <w:style w:type="character" w:customStyle="1" w:styleId="H1GChar">
    <w:name w:val="_ H_1_G Char"/>
    <w:link w:val="H1G"/>
    <w:locked/>
    <w:rsid w:val="009F2A2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7E0D9-F295-4995-878C-F00877FA73A4}"/>
</file>

<file path=customXml/itemProps2.xml><?xml version="1.0" encoding="utf-8"?>
<ds:datastoreItem xmlns:ds="http://schemas.openxmlformats.org/officeDocument/2006/customXml" ds:itemID="{0804EFFD-DF80-4085-80F3-4001729C5D46}"/>
</file>

<file path=docProps/app.xml><?xml version="1.0" encoding="utf-8"?>
<Properties xmlns="http://schemas.openxmlformats.org/officeDocument/2006/extended-properties" xmlns:vt="http://schemas.openxmlformats.org/officeDocument/2006/docPropsVTypes">
  <Template>ST.dotm</Template>
  <TotalTime>2</TotalTime>
  <Pages>6</Pages>
  <Words>1719</Words>
  <Characters>9455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ST/SG/AC.10/C.3/2024/48</vt:lpstr>
    </vt:vector>
  </TitlesOfParts>
  <Company>DCM</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ST/SG/AC.10/C.3/2024/48</dc:title>
  <dc:subject/>
  <dc:creator>Estelle-Delphine DITTA</dc:creator>
  <cp:keywords/>
  <cp:lastModifiedBy>Estelle-Delphine DITTA</cp:lastModifiedBy>
  <cp:revision>3</cp:revision>
  <cp:lastPrinted>2024-04-22T13:37:00Z</cp:lastPrinted>
  <dcterms:created xsi:type="dcterms:W3CDTF">2024-04-22T13:36:00Z</dcterms:created>
  <dcterms:modified xsi:type="dcterms:W3CDTF">2024-04-22T13:38:00Z</dcterms:modified>
</cp:coreProperties>
</file>