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14:paraId="6BD7E0ED" w14:textId="77777777" w:rsidTr="00F01738">
        <w:trPr>
          <w:trHeight w:hRule="exact" w:val="851"/>
        </w:trPr>
        <w:tc>
          <w:tcPr>
            <w:tcW w:w="1276" w:type="dxa"/>
            <w:tcBorders>
              <w:bottom w:val="single" w:sz="4" w:space="0" w:color="auto"/>
            </w:tcBorders>
          </w:tcPr>
          <w:p w14:paraId="3B71B65C" w14:textId="77777777" w:rsidR="00132EA9" w:rsidRPr="00DB58B5" w:rsidRDefault="00132EA9" w:rsidP="00347226"/>
        </w:tc>
        <w:tc>
          <w:tcPr>
            <w:tcW w:w="2268" w:type="dxa"/>
            <w:tcBorders>
              <w:bottom w:val="single" w:sz="4" w:space="0" w:color="auto"/>
            </w:tcBorders>
            <w:vAlign w:val="bottom"/>
          </w:tcPr>
          <w:p w14:paraId="146DB80C"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503A68EB" w14:textId="0AE37142" w:rsidR="00132EA9" w:rsidRPr="00DB58B5" w:rsidRDefault="00347226" w:rsidP="00347226">
            <w:pPr>
              <w:jc w:val="right"/>
            </w:pPr>
            <w:r w:rsidRPr="00347226">
              <w:rPr>
                <w:sz w:val="40"/>
              </w:rPr>
              <w:t>ST</w:t>
            </w:r>
            <w:r>
              <w:t>/SG/AC.10/C.3/2024/27</w:t>
            </w:r>
          </w:p>
        </w:tc>
      </w:tr>
      <w:tr w:rsidR="00132EA9" w:rsidRPr="00DB58B5" w14:paraId="6EAE6EAE" w14:textId="77777777" w:rsidTr="00F01738">
        <w:trPr>
          <w:trHeight w:hRule="exact" w:val="2835"/>
        </w:trPr>
        <w:tc>
          <w:tcPr>
            <w:tcW w:w="1276" w:type="dxa"/>
            <w:tcBorders>
              <w:top w:val="single" w:sz="4" w:space="0" w:color="auto"/>
              <w:bottom w:val="single" w:sz="12" w:space="0" w:color="auto"/>
            </w:tcBorders>
          </w:tcPr>
          <w:p w14:paraId="53DCD0F8" w14:textId="77777777" w:rsidR="00132EA9" w:rsidRPr="00DB58B5" w:rsidRDefault="00132EA9" w:rsidP="00F01738">
            <w:pPr>
              <w:spacing w:before="120"/>
              <w:jc w:val="center"/>
            </w:pPr>
            <w:r>
              <w:rPr>
                <w:noProof/>
                <w:lang w:eastAsia="fr-CH"/>
              </w:rPr>
              <w:drawing>
                <wp:inline distT="0" distB="0" distL="0" distR="0" wp14:anchorId="016E25BF" wp14:editId="79AAC89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9499116"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33851FAC" w14:textId="77777777" w:rsidR="00132EA9" w:rsidRDefault="00347226" w:rsidP="00F01738">
            <w:pPr>
              <w:spacing w:before="240"/>
            </w:pPr>
            <w:proofErr w:type="spellStart"/>
            <w:r>
              <w:t>Distr</w:t>
            </w:r>
            <w:proofErr w:type="spellEnd"/>
            <w:r>
              <w:t>. générale</w:t>
            </w:r>
          </w:p>
          <w:p w14:paraId="0CCBAE48" w14:textId="77777777" w:rsidR="00347226" w:rsidRDefault="00347226" w:rsidP="00347226">
            <w:pPr>
              <w:spacing w:line="240" w:lineRule="exact"/>
            </w:pPr>
            <w:r>
              <w:t>11 avril 2024</w:t>
            </w:r>
          </w:p>
          <w:p w14:paraId="49D1EB5A" w14:textId="77777777" w:rsidR="00347226" w:rsidRDefault="00347226" w:rsidP="00347226">
            <w:pPr>
              <w:spacing w:line="240" w:lineRule="exact"/>
            </w:pPr>
            <w:r>
              <w:t>Français</w:t>
            </w:r>
          </w:p>
          <w:p w14:paraId="764FCE68" w14:textId="21DB398A" w:rsidR="00347226" w:rsidRPr="00DB58B5" w:rsidRDefault="00347226" w:rsidP="00347226">
            <w:pPr>
              <w:spacing w:line="240" w:lineRule="exact"/>
            </w:pPr>
            <w:r>
              <w:t>Original : anglais</w:t>
            </w:r>
          </w:p>
        </w:tc>
      </w:tr>
    </w:tbl>
    <w:p w14:paraId="7F17F715" w14:textId="77777777" w:rsidR="00347226" w:rsidRPr="00CA0680" w:rsidRDefault="00347226" w:rsidP="000305D3">
      <w:pPr>
        <w:spacing w:before="120"/>
        <w:rPr>
          <w:b/>
          <w:sz w:val="24"/>
          <w:szCs w:val="24"/>
        </w:rPr>
      </w:pPr>
      <w:r w:rsidRPr="00CA0680">
        <w:rPr>
          <w:b/>
          <w:sz w:val="24"/>
          <w:szCs w:val="24"/>
        </w:rPr>
        <w:t>Comité d’experts du transport</w:t>
      </w:r>
      <w:r>
        <w:rPr>
          <w:b/>
          <w:sz w:val="24"/>
          <w:szCs w:val="24"/>
        </w:rPr>
        <w:t xml:space="preserve"> </w:t>
      </w:r>
      <w:r w:rsidRPr="00CA0680">
        <w:rPr>
          <w:b/>
          <w:sz w:val="24"/>
          <w:szCs w:val="24"/>
        </w:rPr>
        <w:t>des marchandises 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d’étiquetage</w:t>
      </w:r>
      <w:r>
        <w:rPr>
          <w:b/>
          <w:sz w:val="24"/>
          <w:szCs w:val="24"/>
        </w:rPr>
        <w:t xml:space="preserve"> </w:t>
      </w:r>
      <w:r w:rsidRPr="00CA0680">
        <w:rPr>
          <w:b/>
          <w:sz w:val="24"/>
          <w:szCs w:val="24"/>
        </w:rPr>
        <w:t>des produits chimiques</w:t>
      </w:r>
    </w:p>
    <w:p w14:paraId="556ECF12" w14:textId="77777777" w:rsidR="00347226" w:rsidRPr="00CA0680" w:rsidRDefault="00347226" w:rsidP="000305D3">
      <w:pPr>
        <w:spacing w:before="120"/>
        <w:rPr>
          <w:b/>
        </w:rPr>
      </w:pPr>
      <w:r w:rsidRPr="00CA0680">
        <w:rPr>
          <w:b/>
        </w:rPr>
        <w:t>Sous</w:t>
      </w:r>
      <w:r>
        <w:rPr>
          <w:b/>
        </w:rPr>
        <w:t>-</w:t>
      </w:r>
      <w:r w:rsidRPr="00CA0680">
        <w:rPr>
          <w:b/>
        </w:rPr>
        <w:t>Comité d’experts du transport des marchandises dangereuses</w:t>
      </w:r>
    </w:p>
    <w:p w14:paraId="47EC57AE" w14:textId="77777777" w:rsidR="00347226" w:rsidRPr="00897FAD" w:rsidRDefault="00347226" w:rsidP="00347226">
      <w:pPr>
        <w:spacing w:before="120"/>
        <w:rPr>
          <w:b/>
          <w:lang w:val="fr-FR"/>
        </w:rPr>
      </w:pPr>
      <w:r>
        <w:rPr>
          <w:b/>
          <w:bCs/>
          <w:lang w:val="fr-FR"/>
        </w:rPr>
        <w:t>Soixante-quatrième session</w:t>
      </w:r>
    </w:p>
    <w:p w14:paraId="50EC802F" w14:textId="77777777" w:rsidR="00347226" w:rsidRPr="00897FAD" w:rsidRDefault="00347226" w:rsidP="00347226">
      <w:pPr>
        <w:rPr>
          <w:lang w:val="fr-FR"/>
        </w:rPr>
      </w:pPr>
      <w:r>
        <w:rPr>
          <w:lang w:val="fr-FR"/>
        </w:rPr>
        <w:t>Genève, 24 juin-3 juillet 2024</w:t>
      </w:r>
    </w:p>
    <w:p w14:paraId="1BFE59FA" w14:textId="77777777" w:rsidR="00347226" w:rsidRPr="00897FAD" w:rsidRDefault="00347226" w:rsidP="00347226">
      <w:pPr>
        <w:rPr>
          <w:lang w:val="fr-FR"/>
        </w:rPr>
      </w:pPr>
      <w:r>
        <w:rPr>
          <w:lang w:val="fr-FR"/>
        </w:rPr>
        <w:t>Point 3 de l’ordre du jour provisoire</w:t>
      </w:r>
    </w:p>
    <w:p w14:paraId="07CE8991" w14:textId="77777777" w:rsidR="00347226" w:rsidRPr="00897FAD" w:rsidRDefault="00347226" w:rsidP="00347226">
      <w:pPr>
        <w:rPr>
          <w:b/>
          <w:bCs/>
          <w:lang w:val="fr-FR"/>
        </w:rPr>
      </w:pPr>
      <w:r>
        <w:rPr>
          <w:b/>
          <w:bCs/>
          <w:lang w:val="fr-FR"/>
        </w:rPr>
        <w:t>Inscription, classement et emballage</w:t>
      </w:r>
    </w:p>
    <w:p w14:paraId="19802691" w14:textId="77777777" w:rsidR="00347226" w:rsidRPr="00897FAD" w:rsidRDefault="00347226" w:rsidP="00347226">
      <w:pPr>
        <w:pStyle w:val="HChG"/>
        <w:rPr>
          <w:lang w:val="fr-FR"/>
        </w:rPr>
      </w:pPr>
      <w:r>
        <w:rPr>
          <w:lang w:val="fr-FR"/>
        </w:rPr>
        <w:tab/>
      </w:r>
      <w:r>
        <w:rPr>
          <w:lang w:val="fr-FR"/>
        </w:rPr>
        <w:tab/>
        <w:t>Machines frigorifiques ou dispositifs de chauffage</w:t>
      </w:r>
    </w:p>
    <w:p w14:paraId="64544691" w14:textId="77777777" w:rsidR="00347226" w:rsidRPr="00897FAD" w:rsidRDefault="00347226" w:rsidP="00347226">
      <w:pPr>
        <w:pStyle w:val="H1G"/>
        <w:rPr>
          <w:lang w:val="fr-FR"/>
        </w:rPr>
      </w:pPr>
      <w:r>
        <w:rPr>
          <w:lang w:val="fr-FR"/>
        </w:rPr>
        <w:tab/>
      </w:r>
      <w:r>
        <w:rPr>
          <w:lang w:val="fr-FR"/>
        </w:rPr>
        <w:tab/>
        <w:t>Communication de l’expert de l’Allemagne</w:t>
      </w:r>
      <w:r w:rsidRPr="00347226">
        <w:rPr>
          <w:rStyle w:val="Appelnotedebasdep"/>
          <w:b w:val="0"/>
          <w:bCs/>
          <w:sz w:val="20"/>
          <w:vertAlign w:val="baseline"/>
          <w:lang w:val="fr-FR"/>
        </w:rPr>
        <w:footnoteReference w:customMarkFollows="1" w:id="2"/>
        <w:t>*</w:t>
      </w:r>
    </w:p>
    <w:p w14:paraId="102403DE" w14:textId="2391BDA1" w:rsidR="00347226" w:rsidRPr="00E343F4" w:rsidRDefault="00347226" w:rsidP="00347226">
      <w:pPr>
        <w:pStyle w:val="HChG"/>
        <w:rPr>
          <w:lang w:val="fr-FR"/>
        </w:rPr>
      </w:pPr>
      <w:r>
        <w:rPr>
          <w:lang w:val="fr-FR"/>
        </w:rPr>
        <w:tab/>
      </w:r>
      <w:r>
        <w:rPr>
          <w:lang w:val="fr-FR"/>
        </w:rPr>
        <w:t>I.</w:t>
      </w:r>
      <w:r>
        <w:rPr>
          <w:lang w:val="fr-FR"/>
        </w:rPr>
        <w:tab/>
        <w:t>I</w:t>
      </w:r>
      <w:r>
        <w:rPr>
          <w:lang w:val="fr-FR"/>
        </w:rPr>
        <w:t>ntroduction</w:t>
      </w:r>
    </w:p>
    <w:p w14:paraId="50B5114C" w14:textId="77777777" w:rsidR="00347226" w:rsidRPr="001214BC" w:rsidRDefault="00347226" w:rsidP="00347226">
      <w:pPr>
        <w:pStyle w:val="SingleTxtG"/>
        <w:rPr>
          <w:lang w:val="fr-FR"/>
        </w:rPr>
      </w:pPr>
      <w:r>
        <w:rPr>
          <w:lang w:val="fr-FR"/>
        </w:rPr>
        <w:t>1.</w:t>
      </w:r>
      <w:r>
        <w:rPr>
          <w:lang w:val="fr-FR"/>
        </w:rPr>
        <w:tab/>
        <w:t>Les machines frigorifiques transportées sous les Nos ONU 2857 ou 3358 peuvent être totalement exemptées de la réglementation sur les marchandises dangereuses si elles satisfont aux prescriptions des dispositions spéciales 119 ou 291. Les pompes à chaleur fonctionnent selon le même principe exactement que les machines frigorifiques, si ce n’est qu’il ne s’agit pas de produire du froid, mais de la chaleur, comme leur nom l’indique. Il serait donc logique que les mêmes conditions de transport s’appliquent à ces objets, étant donné que les risques pendant le transport sont identiques.</w:t>
      </w:r>
    </w:p>
    <w:p w14:paraId="4D656C8C" w14:textId="7B1C7BE5" w:rsidR="00347226" w:rsidRPr="00897FAD" w:rsidRDefault="00347226" w:rsidP="00347226">
      <w:pPr>
        <w:pStyle w:val="HChG"/>
        <w:rPr>
          <w:lang w:val="fr-FR"/>
        </w:rPr>
      </w:pPr>
      <w:r>
        <w:rPr>
          <w:bCs/>
          <w:lang w:val="fr-FR"/>
        </w:rPr>
        <w:tab/>
      </w:r>
      <w:r>
        <w:rPr>
          <w:bCs/>
          <w:lang w:val="fr-FR"/>
        </w:rPr>
        <w:t>II.</w:t>
      </w:r>
      <w:r>
        <w:rPr>
          <w:lang w:val="fr-FR"/>
        </w:rPr>
        <w:tab/>
      </w:r>
      <w:r>
        <w:rPr>
          <w:bCs/>
          <w:lang w:val="fr-FR"/>
        </w:rPr>
        <w:t>Discussion</w:t>
      </w:r>
    </w:p>
    <w:p w14:paraId="47020BD4" w14:textId="77777777" w:rsidR="00347226" w:rsidRPr="00897FAD" w:rsidRDefault="00347226" w:rsidP="00347226">
      <w:pPr>
        <w:pStyle w:val="SingleTxtG"/>
        <w:rPr>
          <w:lang w:val="fr-FR"/>
        </w:rPr>
      </w:pPr>
      <w:r>
        <w:rPr>
          <w:lang w:val="fr-FR"/>
        </w:rPr>
        <w:t>2.</w:t>
      </w:r>
      <w:r>
        <w:rPr>
          <w:lang w:val="fr-FR"/>
        </w:rPr>
        <w:tab/>
        <w:t xml:space="preserve">Des documents traitant de cette question ont déjà été soumis par l’International Association of Dangerous </w:t>
      </w:r>
      <w:proofErr w:type="spellStart"/>
      <w:r>
        <w:rPr>
          <w:lang w:val="fr-FR"/>
        </w:rPr>
        <w:t>Goods</w:t>
      </w:r>
      <w:proofErr w:type="spellEnd"/>
      <w:r>
        <w:rPr>
          <w:lang w:val="fr-FR"/>
        </w:rPr>
        <w:t xml:space="preserve"> </w:t>
      </w:r>
      <w:proofErr w:type="spellStart"/>
      <w:r>
        <w:rPr>
          <w:lang w:val="fr-FR"/>
        </w:rPr>
        <w:t>Safety</w:t>
      </w:r>
      <w:proofErr w:type="spellEnd"/>
      <w:r>
        <w:rPr>
          <w:lang w:val="fr-FR"/>
        </w:rPr>
        <w:t xml:space="preserve"> </w:t>
      </w:r>
      <w:proofErr w:type="spellStart"/>
      <w:r>
        <w:rPr>
          <w:lang w:val="fr-FR"/>
        </w:rPr>
        <w:t>Advisers</w:t>
      </w:r>
      <w:proofErr w:type="spellEnd"/>
      <w:r>
        <w:rPr>
          <w:lang w:val="fr-FR"/>
        </w:rPr>
        <w:t xml:space="preserve"> (IASA) à la session d’automne 2021 de la Réunion commune de la Commission d’experts du RID et du Groupe de travail des transports de marchandises dangereuses (voir le document ECE/TRANS/WP.15/AC.1/2021/25 et le document informel INF.45 de la session de mars 2021). Les débats qui s’étaient tenus à cette session de la Réunion commune RID/ADR/ADN s’étaient soldés par l’adoption d’amendements aux dispositions spéciales 119 et 291 du RID, de l’ADR et de l’ADN, dont l’entrée en vigueur était prévue le 1er janvier 2023 (voir le document ECE/TRANS/WP.15/AC.1/162).</w:t>
      </w:r>
    </w:p>
    <w:p w14:paraId="348C9D1B" w14:textId="77777777" w:rsidR="00347226" w:rsidRPr="00897FAD" w:rsidRDefault="00347226" w:rsidP="00347226">
      <w:pPr>
        <w:pStyle w:val="SingleTxtG"/>
        <w:rPr>
          <w:lang w:val="fr-FR"/>
        </w:rPr>
      </w:pPr>
      <w:r>
        <w:rPr>
          <w:lang w:val="fr-FR"/>
        </w:rPr>
        <w:t>3.</w:t>
      </w:r>
      <w:r>
        <w:rPr>
          <w:lang w:val="fr-FR"/>
        </w:rPr>
        <w:tab/>
        <w:t>À sa soixante et unième session, le Sous-Comité avait été saisi du document informel INF.34, dans lequel figuraient des propositions similaires d’amendements aux dispositions spéciales 191 et 291 du chapitre 3.3 du Règlement type pour le transport des marchandises dangereuses. Ces propositions avaient été bien accueillies, mais des experts avaient exprimé leur préférence pour l’ajout d’un nouveau numéro ONU assorti d’une désignation officielle de transport et de dispositions spéciales pour ce qui était du Règlement type.</w:t>
      </w:r>
    </w:p>
    <w:p w14:paraId="1173ED87" w14:textId="77777777" w:rsidR="00347226" w:rsidRPr="001214BC" w:rsidRDefault="00347226" w:rsidP="00347226">
      <w:pPr>
        <w:pStyle w:val="SingleTxtG"/>
        <w:rPr>
          <w:lang w:val="fr-FR"/>
        </w:rPr>
      </w:pPr>
      <w:r>
        <w:rPr>
          <w:lang w:val="fr-FR"/>
        </w:rPr>
        <w:lastRenderedPageBreak/>
        <w:t>4.</w:t>
      </w:r>
      <w:r>
        <w:rPr>
          <w:lang w:val="fr-FR"/>
        </w:rPr>
        <w:tab/>
        <w:t>La discussion s’est poursuivie, sur la base du document ST/SG/AC.10/C.3/2023/38, à la soixante-troisième session, pendant laquelle la préférence est allée, en général, à l’intégration des pompes à chaleur dans les rubriques existantes de l’ONU plutôt qu’à l’introduction de nouvelles rubriques ONU. Toutefois, des points de vue différents ont été présentés. Il a notamment été suggéré d’introduire de nouvelles désignations officielles de transport ou de modifier l’intitulé de la rubrique existante qui deviendrait ainsi « machines contenant des gaz réfrigérants ».</w:t>
      </w:r>
    </w:p>
    <w:p w14:paraId="276C09EB" w14:textId="77777777" w:rsidR="00347226" w:rsidRPr="001214BC" w:rsidRDefault="00347226" w:rsidP="00347226">
      <w:pPr>
        <w:pStyle w:val="SingleTxtG"/>
        <w:rPr>
          <w:lang w:val="fr-FR"/>
        </w:rPr>
      </w:pPr>
      <w:r>
        <w:rPr>
          <w:lang w:val="fr-FR"/>
        </w:rPr>
        <w:t>5.</w:t>
      </w:r>
      <w:r>
        <w:rPr>
          <w:lang w:val="fr-FR"/>
        </w:rPr>
        <w:tab/>
        <w:t>Lors de l’examen du document informel INF.25, qui était présenté par le Royaume des Pays-Bas, l’idée d’incorporer les pompes à chaleur sous un numéro ONU plus générique intitulé « machines contenant des gaz réfrigérants » avait été élargie aux appareils d’imagerie par résonance magnétique (IRM). Les experts de l’Allemagne et du Royaume des Pays-Bas avaient proposé de réfléchir ensemble à une rubrique plus générique consacrée aux « machines contenant des gaz réfrigérants ».</w:t>
      </w:r>
    </w:p>
    <w:p w14:paraId="76C546D9" w14:textId="77777777" w:rsidR="00347226" w:rsidRPr="001214BC" w:rsidRDefault="00347226" w:rsidP="00347226">
      <w:pPr>
        <w:pStyle w:val="SingleTxtG"/>
        <w:rPr>
          <w:lang w:val="fr-FR"/>
        </w:rPr>
      </w:pPr>
      <w:r>
        <w:rPr>
          <w:lang w:val="fr-FR"/>
        </w:rPr>
        <w:t>6.</w:t>
      </w:r>
      <w:r>
        <w:rPr>
          <w:lang w:val="fr-FR"/>
        </w:rPr>
        <w:tab/>
        <w:t>Depuis la dernière session du Sous-Comité, les experts de l’Allemagne et du Royaume des Pays-Bas se sont efforcés de déterminer les moyens d’étudier ensemble comment inclure les pompes à chaleur et les appareils d’imagerie par résonance magnétique dans une rubrique modifiée de l’ONU intitulée « machines contenant des gaz réfrigérants ». L’analyse de ces deux types d’appareils a tout d’abord montré que les différents types de machines frigorifiques et de pompes à chaleur pouvaient contenir des gaz de la division 2.2 ou de la division 2.1, alors que les appareils d’imagerie par résonance magnétique contenaient exclusivement des gaz réfrigérants de la division 2.2. En outre, des différences techniques fondamentales devaient être prises en compte. Alors que les machines frigorifiques et les pompes à chaleur utilisent le gaz réfrigérant dans un cycle de réfrigération (système de réfrigération) pour assurer les fonctions de chauffage et de refroidissement, les appareils d’imagerie par résonance magnétique ne sont pas équipés d’un système de réfrigération et le gaz réfrigérant (hélium) n’est utilisé qu’en tant qu’agent de refroidissement. Étant donné ces différences, les experts de l’Allemagne et du Royaume des Pays-Bas ont décidé d’élaborer des propositions distinctes qui tiennent mieux compte des spécificités techniques.</w:t>
      </w:r>
    </w:p>
    <w:p w14:paraId="093BE1CE" w14:textId="4D22F3B8" w:rsidR="00347226" w:rsidRPr="00897FAD" w:rsidRDefault="00347226" w:rsidP="00347226">
      <w:pPr>
        <w:pStyle w:val="SingleTxtG"/>
        <w:rPr>
          <w:lang w:val="fr-FR"/>
        </w:rPr>
      </w:pPr>
      <w:r>
        <w:rPr>
          <w:lang w:val="fr-FR"/>
        </w:rPr>
        <w:t>7.</w:t>
      </w:r>
      <w:r>
        <w:rPr>
          <w:lang w:val="fr-FR"/>
        </w:rPr>
        <w:tab/>
        <w:t xml:space="preserve">Les propositions suivantes visent à intégrer les pompes à chaleur en introduisant une nouvelle désignation officielle de transport sous les rubriques de l’ONU pour les machines frigorifiques. Plus particulièrement, il est proposé d’introduire </w:t>
      </w:r>
      <w:r w:rsidR="0090030F">
        <w:rPr>
          <w:lang w:val="fr-FR"/>
        </w:rPr>
        <w:t>« </w:t>
      </w:r>
      <w:r>
        <w:rPr>
          <w:lang w:val="fr-FR"/>
        </w:rPr>
        <w:t>DISPOSITIFS DE CHAUFFAGE</w:t>
      </w:r>
      <w:r w:rsidR="0090030F">
        <w:rPr>
          <w:lang w:val="fr-FR"/>
        </w:rPr>
        <w:t> »</w:t>
      </w:r>
      <w:r>
        <w:rPr>
          <w:lang w:val="fr-FR"/>
        </w:rPr>
        <w:t xml:space="preserve"> et non </w:t>
      </w:r>
      <w:r w:rsidR="0090030F">
        <w:rPr>
          <w:lang w:val="fr-FR"/>
        </w:rPr>
        <w:t>« </w:t>
      </w:r>
      <w:r>
        <w:rPr>
          <w:lang w:val="fr-FR"/>
        </w:rPr>
        <w:t>POMPES À CHALEUR</w:t>
      </w:r>
      <w:r w:rsidR="0090030F">
        <w:rPr>
          <w:lang w:val="fr-FR"/>
        </w:rPr>
        <w:t> »</w:t>
      </w:r>
      <w:r>
        <w:rPr>
          <w:lang w:val="fr-FR"/>
        </w:rPr>
        <w:t xml:space="preserve"> comme nouvelle désignation officielle de transport pour les Nos ONU 2857 et 3358, afin de s’assurer que toutes les « pompes à chaleur » disponibles sur le marché soient incluses.</w:t>
      </w:r>
    </w:p>
    <w:p w14:paraId="59524FC3" w14:textId="77777777" w:rsidR="00347226" w:rsidRPr="001214BC" w:rsidRDefault="00347226" w:rsidP="00347226">
      <w:pPr>
        <w:pStyle w:val="SingleTxtG"/>
        <w:rPr>
          <w:lang w:val="fr-FR"/>
        </w:rPr>
      </w:pPr>
      <w:r>
        <w:rPr>
          <w:lang w:val="fr-FR"/>
        </w:rPr>
        <w:t>8.</w:t>
      </w:r>
      <w:r>
        <w:rPr>
          <w:lang w:val="fr-FR"/>
        </w:rPr>
        <w:tab/>
        <w:t>La proposition d’amendements concernant la disposition spéciale 119 repose sur plusieurs éléments différents. Tout d’abord, la description des dispositifs de chauffage devrait être alignée sur celle des machines frigorifiques afin d’assurer la cohérence de l’ensemble du texte. Par conséquent, les dispositifs de chauffage sont décrits en fonction de ce que pour quoi ils ont été conçus : la production de chaleur. En outre, la disposition spéciale 119 devrait également tenir compte des appareils déjà sur le marché qui peuvent assurer à la fois des fonctions de chauffage et de refroidissement, en permettant le transport de ces appareils soit sous la rubrique MACHINES FRIGORIFIQUES, soit sous la rubrique DISPOSITIFS DE CHAUFFAGE. Puisque les « pompes à chaleur » sont actuellement transportées sous la rubrique « MACHINES FRIGORIFIQUES », l’inclusion d’un nota à la fin de la disposition spéciale vise à limiter les effets sur les pratiques actuellement appliquées en matière de transport.</w:t>
      </w:r>
    </w:p>
    <w:p w14:paraId="45CAC0F5" w14:textId="4A76B225" w:rsidR="00347226" w:rsidRPr="00897FAD" w:rsidRDefault="00347226" w:rsidP="00347226">
      <w:pPr>
        <w:pStyle w:val="SingleTxtG"/>
        <w:rPr>
          <w:lang w:val="fr-FR"/>
        </w:rPr>
      </w:pPr>
      <w:r>
        <w:rPr>
          <w:lang w:val="fr-FR"/>
        </w:rPr>
        <w:t>9.</w:t>
      </w:r>
      <w:r>
        <w:rPr>
          <w:lang w:val="fr-FR"/>
        </w:rPr>
        <w:tab/>
        <w:t>Bien que les amendements qu’il est proposé d’apporter à la disposition spéciale 291 soient moins complexes, ils garantissent que les dispositifs de chauffage utilisant des gaz réfrigérants inflammables de la division 2.1 sont conformes aux prescriptions de sécurité appliquées aux machines frigorifiques actuellement transportées sous le numéro ONU</w:t>
      </w:r>
      <w:r w:rsidR="00024A4A">
        <w:rPr>
          <w:lang w:val="fr-FR"/>
        </w:rPr>
        <w:t> </w:t>
      </w:r>
      <w:r>
        <w:rPr>
          <w:lang w:val="fr-FR"/>
        </w:rPr>
        <w:t>3358. Contrairement à la disposition spéciale 119, la disposition spéciale 291 indique que, dans les conditions normales de transport, les gaz liquéfiés inflammables doivent être contenus grâce à une conception adéquate de l’appareil, dont les composants doivent avoir été soumis aux épreuves requises. En revanche, la présente proposition permet d’envisager une réduction de la quantité totale de gaz inflammable autorisée au transport sous le numéro ONU</w:t>
      </w:r>
      <w:r w:rsidR="00024A4A">
        <w:rPr>
          <w:lang w:val="fr-FR"/>
        </w:rPr>
        <w:t> </w:t>
      </w:r>
      <w:r>
        <w:rPr>
          <w:lang w:val="fr-FR"/>
        </w:rPr>
        <w:t>3358 et conformément à la disposition spéciale 291, afin de tenir compte des problèmes de sécurité que pourrait poser l’augmentation des volumes transportés.</w:t>
      </w:r>
    </w:p>
    <w:p w14:paraId="0E595E09" w14:textId="77777777" w:rsidR="00347226" w:rsidRPr="00897FAD" w:rsidRDefault="00347226" w:rsidP="00347226">
      <w:pPr>
        <w:pStyle w:val="SingleTxtG"/>
        <w:rPr>
          <w:lang w:val="fr-FR"/>
        </w:rPr>
      </w:pPr>
      <w:r>
        <w:rPr>
          <w:lang w:val="fr-FR"/>
        </w:rPr>
        <w:lastRenderedPageBreak/>
        <w:t>10.</w:t>
      </w:r>
      <w:r>
        <w:rPr>
          <w:lang w:val="fr-FR"/>
        </w:rPr>
        <w:tab/>
      </w:r>
      <w:r w:rsidRPr="00DE5A92">
        <w:rPr>
          <w:lang w:val="fr-FR"/>
        </w:rPr>
        <w:t xml:space="preserve">Il convient en outre de noter que le présent document de travail concourt à la réalisation de </w:t>
      </w:r>
      <w:r>
        <w:rPr>
          <w:lang w:val="fr-FR"/>
        </w:rPr>
        <w:t>l’objectif de développement durable n° 13 (Mesures relatives à la lutte contre les changements climatiques). En effet, les dispositifs de chauffage peuvent constituer une forme de chauffage économe en énergie et respectueuse de l’environnement, car ils permettent de réduire les émissions de dioxyde de carbone.</w:t>
      </w:r>
    </w:p>
    <w:p w14:paraId="15792962" w14:textId="129F4BFC" w:rsidR="00347226" w:rsidRPr="00897FAD" w:rsidRDefault="00024A4A" w:rsidP="00024A4A">
      <w:pPr>
        <w:pStyle w:val="HChG"/>
        <w:rPr>
          <w:lang w:val="fr-FR"/>
        </w:rPr>
      </w:pPr>
      <w:r>
        <w:rPr>
          <w:lang w:val="fr-FR"/>
        </w:rPr>
        <w:tab/>
      </w:r>
      <w:r w:rsidR="00347226">
        <w:rPr>
          <w:lang w:val="fr-FR"/>
        </w:rPr>
        <w:t>III.</w:t>
      </w:r>
      <w:r w:rsidR="00347226">
        <w:rPr>
          <w:lang w:val="fr-FR"/>
        </w:rPr>
        <w:tab/>
        <w:t>Proposition</w:t>
      </w:r>
    </w:p>
    <w:p w14:paraId="64354B39" w14:textId="0432CE01" w:rsidR="00347226" w:rsidRPr="00897FAD" w:rsidRDefault="00347226" w:rsidP="00024A4A">
      <w:pPr>
        <w:pStyle w:val="SingleTxtG"/>
        <w:rPr>
          <w:lang w:val="fr-FR"/>
        </w:rPr>
      </w:pPr>
      <w:r>
        <w:rPr>
          <w:lang w:val="fr-FR"/>
        </w:rPr>
        <w:t>11.</w:t>
      </w:r>
      <w:r>
        <w:rPr>
          <w:lang w:val="fr-FR"/>
        </w:rPr>
        <w:tab/>
        <w:t xml:space="preserve">Modifier la Liste des marchandises dangereuses (chapitre 3.2) comme suit (les ajouts sont en caractères </w:t>
      </w:r>
      <w:r w:rsidRPr="00257C19">
        <w:rPr>
          <w:u w:val="single"/>
          <w:lang w:val="fr-FR"/>
        </w:rPr>
        <w:t>soulignés</w:t>
      </w:r>
      <w:r>
        <w:rPr>
          <w:lang w:val="fr-FR"/>
        </w:rPr>
        <w:t>) :</w:t>
      </w:r>
      <w:r w:rsidR="00024A4A">
        <w:rPr>
          <w:lang w:val="fr-FR"/>
        </w:rPr>
        <w:t xml:space="preserve"> </w:t>
      </w:r>
    </w:p>
    <w:tbl>
      <w:tblPr>
        <w:tblStyle w:val="TableGrid1"/>
        <w:tblW w:w="9639" w:type="dxa"/>
        <w:tblInd w:w="0" w:type="dxa"/>
        <w:tblLayout w:type="fixed"/>
        <w:tblLook w:val="04A0" w:firstRow="1" w:lastRow="0" w:firstColumn="1" w:lastColumn="0" w:noHBand="0" w:noVBand="1"/>
      </w:tblPr>
      <w:tblGrid>
        <w:gridCol w:w="444"/>
        <w:gridCol w:w="2373"/>
        <w:gridCol w:w="593"/>
        <w:gridCol w:w="593"/>
        <w:gridCol w:w="742"/>
        <w:gridCol w:w="741"/>
        <w:gridCol w:w="446"/>
        <w:gridCol w:w="445"/>
        <w:gridCol w:w="742"/>
        <w:gridCol w:w="889"/>
        <w:gridCol w:w="890"/>
        <w:gridCol w:w="741"/>
      </w:tblGrid>
      <w:tr w:rsidR="00347226" w:rsidRPr="00024A4A" w14:paraId="5B451E38" w14:textId="77777777" w:rsidTr="00024A4A">
        <w:trPr>
          <w:trHeight w:val="227"/>
        </w:trPr>
        <w:tc>
          <w:tcPr>
            <w:tcW w:w="42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6B93B381" w14:textId="77777777" w:rsidR="00347226" w:rsidRPr="00024A4A" w:rsidRDefault="00347226" w:rsidP="00024A4A">
            <w:pPr>
              <w:keepNext/>
              <w:keepLines/>
              <w:suppressAutoHyphens w:val="0"/>
              <w:spacing w:before="60" w:after="60" w:line="240" w:lineRule="auto"/>
              <w:ind w:left="57" w:right="57"/>
              <w:jc w:val="center"/>
              <w:rPr>
                <w:b/>
                <w:sz w:val="16"/>
                <w:szCs w:val="16"/>
              </w:rPr>
            </w:pPr>
            <w:r w:rsidRPr="00024A4A">
              <w:rPr>
                <w:b/>
                <w:bCs/>
                <w:sz w:val="16"/>
                <w:szCs w:val="16"/>
                <w:lang w:val="fr-FR"/>
              </w:rPr>
              <w:t>No ONU</w:t>
            </w:r>
          </w:p>
        </w:tc>
        <w:tc>
          <w:tcPr>
            <w:tcW w:w="2268"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C5A47FD" w14:textId="77777777" w:rsidR="00347226" w:rsidRPr="00024A4A" w:rsidRDefault="00347226" w:rsidP="00024A4A">
            <w:pPr>
              <w:keepNext/>
              <w:keepLines/>
              <w:suppressAutoHyphens w:val="0"/>
              <w:spacing w:before="60" w:after="60" w:line="240" w:lineRule="auto"/>
              <w:ind w:left="57" w:right="57"/>
              <w:jc w:val="center"/>
              <w:rPr>
                <w:b/>
                <w:sz w:val="16"/>
                <w:szCs w:val="16"/>
              </w:rPr>
            </w:pPr>
            <w:r w:rsidRPr="00024A4A">
              <w:rPr>
                <w:b/>
                <w:bCs/>
                <w:sz w:val="16"/>
                <w:szCs w:val="16"/>
                <w:lang w:val="fr-FR"/>
              </w:rPr>
              <w:t>Nom et description</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4E886C95" w14:textId="77777777" w:rsidR="00347226" w:rsidRPr="00024A4A" w:rsidRDefault="00347226" w:rsidP="00024A4A">
            <w:pPr>
              <w:keepNext/>
              <w:keepLines/>
              <w:suppressAutoHyphens w:val="0"/>
              <w:spacing w:before="60" w:after="60" w:line="240" w:lineRule="auto"/>
              <w:ind w:left="57" w:right="57"/>
              <w:jc w:val="center"/>
              <w:rPr>
                <w:b/>
                <w:sz w:val="16"/>
                <w:szCs w:val="16"/>
              </w:rPr>
            </w:pPr>
            <w:r w:rsidRPr="00024A4A">
              <w:rPr>
                <w:b/>
                <w:bCs/>
                <w:sz w:val="16"/>
                <w:szCs w:val="16"/>
                <w:lang w:val="fr-FR"/>
              </w:rPr>
              <w:t>Classe ou division</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62BA6865" w14:textId="77777777" w:rsidR="00347226" w:rsidRPr="00024A4A" w:rsidRDefault="00347226" w:rsidP="00024A4A">
            <w:pPr>
              <w:keepNext/>
              <w:keepLines/>
              <w:tabs>
                <w:tab w:val="left" w:pos="0"/>
              </w:tabs>
              <w:suppressAutoHyphens w:val="0"/>
              <w:spacing w:before="60" w:after="60" w:line="240" w:lineRule="auto"/>
              <w:ind w:left="57" w:right="57"/>
              <w:jc w:val="center"/>
              <w:rPr>
                <w:b/>
                <w:sz w:val="16"/>
                <w:szCs w:val="16"/>
              </w:rPr>
            </w:pPr>
            <w:r w:rsidRPr="00024A4A">
              <w:rPr>
                <w:b/>
                <w:bCs/>
                <w:sz w:val="16"/>
                <w:szCs w:val="16"/>
                <w:lang w:val="fr-FR"/>
              </w:rPr>
              <w:t>Danger subsidiaire</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443C37C" w14:textId="77777777" w:rsidR="00347226" w:rsidRPr="00024A4A" w:rsidRDefault="00347226" w:rsidP="00024A4A">
            <w:pPr>
              <w:keepNext/>
              <w:keepLines/>
              <w:suppressAutoHyphens w:val="0"/>
              <w:spacing w:before="60" w:after="60" w:line="240" w:lineRule="auto"/>
              <w:ind w:left="57" w:right="57"/>
              <w:jc w:val="center"/>
              <w:rPr>
                <w:b/>
                <w:sz w:val="16"/>
                <w:szCs w:val="16"/>
              </w:rPr>
            </w:pPr>
            <w:r w:rsidRPr="00024A4A">
              <w:rPr>
                <w:b/>
                <w:bCs/>
                <w:sz w:val="16"/>
                <w:szCs w:val="16"/>
                <w:lang w:val="fr-FR"/>
              </w:rPr>
              <w:t>Groupe d’emballage</w:t>
            </w:r>
          </w:p>
        </w:tc>
        <w:tc>
          <w:tcPr>
            <w:tcW w:w="708"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6AF28E3" w14:textId="77777777" w:rsidR="00347226" w:rsidRPr="00024A4A" w:rsidRDefault="00347226" w:rsidP="00024A4A">
            <w:pPr>
              <w:keepNext/>
              <w:keepLines/>
              <w:suppressAutoHyphens w:val="0"/>
              <w:spacing w:before="60" w:after="60" w:line="240" w:lineRule="auto"/>
              <w:ind w:left="57" w:right="57"/>
              <w:jc w:val="center"/>
              <w:rPr>
                <w:b/>
                <w:sz w:val="16"/>
                <w:szCs w:val="16"/>
              </w:rPr>
            </w:pPr>
            <w:r w:rsidRPr="00024A4A">
              <w:rPr>
                <w:b/>
                <w:bCs/>
                <w:sz w:val="16"/>
                <w:szCs w:val="16"/>
                <w:lang w:val="fr-FR"/>
              </w:rPr>
              <w:t>Dispositions spéciales</w:t>
            </w:r>
          </w:p>
        </w:tc>
        <w:tc>
          <w:tcPr>
            <w:tcW w:w="851" w:type="dxa"/>
            <w:gridSpan w:val="2"/>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8C07930" w14:textId="77777777" w:rsidR="00347226" w:rsidRPr="00024A4A" w:rsidRDefault="00347226" w:rsidP="00024A4A">
            <w:pPr>
              <w:keepNext/>
              <w:keepLines/>
              <w:suppressAutoHyphens w:val="0"/>
              <w:spacing w:before="60" w:after="60" w:line="240" w:lineRule="auto"/>
              <w:ind w:left="57" w:right="57"/>
              <w:jc w:val="center"/>
              <w:rPr>
                <w:b/>
                <w:sz w:val="16"/>
                <w:szCs w:val="16"/>
                <w:lang w:val="fr-FR"/>
              </w:rPr>
            </w:pPr>
            <w:r w:rsidRPr="00024A4A">
              <w:rPr>
                <w:b/>
                <w:bCs/>
                <w:sz w:val="16"/>
                <w:szCs w:val="16"/>
                <w:lang w:val="fr-FR"/>
              </w:rPr>
              <w:t>Quantités limitées et quantités exceptées</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2AF5EF6B" w14:textId="77777777" w:rsidR="00347226" w:rsidRPr="00024A4A" w:rsidRDefault="00347226" w:rsidP="00F40D28">
            <w:pPr>
              <w:keepNext/>
              <w:keepLines/>
              <w:tabs>
                <w:tab w:val="left" w:pos="0"/>
              </w:tabs>
              <w:suppressAutoHyphens w:val="0"/>
              <w:spacing w:after="120"/>
              <w:jc w:val="center"/>
              <w:rPr>
                <w:b/>
                <w:sz w:val="16"/>
                <w:szCs w:val="16"/>
              </w:rPr>
            </w:pPr>
            <w:r w:rsidRPr="00024A4A">
              <w:rPr>
                <w:b/>
                <w:bCs/>
                <w:sz w:val="16"/>
                <w:szCs w:val="16"/>
                <w:lang w:val="fr-FR"/>
              </w:rPr>
              <w:t>Emballages et GRV</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37EEB290" w14:textId="77777777" w:rsidR="00347226" w:rsidRPr="00024A4A" w:rsidRDefault="00347226" w:rsidP="00F40D28">
            <w:pPr>
              <w:keepNext/>
              <w:keepLines/>
              <w:suppressAutoHyphens w:val="0"/>
              <w:spacing w:after="120"/>
              <w:jc w:val="center"/>
              <w:rPr>
                <w:b/>
                <w:sz w:val="16"/>
                <w:szCs w:val="16"/>
                <w:lang w:val="fr-FR"/>
              </w:rPr>
            </w:pPr>
            <w:r w:rsidRPr="00024A4A">
              <w:rPr>
                <w:b/>
                <w:bCs/>
                <w:sz w:val="16"/>
                <w:szCs w:val="16"/>
                <w:lang w:val="fr-FR"/>
              </w:rPr>
              <w:t>Citernes mobiles et conteneurs pour vrac</w:t>
            </w:r>
          </w:p>
        </w:tc>
      </w:tr>
      <w:tr w:rsidR="00347226" w:rsidRPr="00024A4A" w14:paraId="6E4E3620" w14:textId="77777777" w:rsidTr="00024A4A">
        <w:trPr>
          <w:cantSplit/>
          <w:trHeight w:val="1223"/>
        </w:trPr>
        <w:tc>
          <w:tcPr>
            <w:tcW w:w="425" w:type="dxa"/>
            <w:vMerge/>
            <w:tcBorders>
              <w:top w:val="single" w:sz="4" w:space="0" w:color="auto"/>
              <w:left w:val="single" w:sz="4" w:space="0" w:color="auto"/>
              <w:bottom w:val="single" w:sz="4" w:space="0" w:color="auto"/>
              <w:right w:val="single" w:sz="4" w:space="0" w:color="auto"/>
            </w:tcBorders>
            <w:vAlign w:val="center"/>
            <w:hideMark/>
          </w:tcPr>
          <w:p w14:paraId="05A5375E" w14:textId="77777777" w:rsidR="00347226" w:rsidRPr="00024A4A" w:rsidRDefault="00347226" w:rsidP="00F40D28">
            <w:pPr>
              <w:keepNext/>
              <w:keepLines/>
              <w:suppressAutoHyphens w:val="0"/>
              <w:rPr>
                <w:b/>
                <w:sz w:val="18"/>
                <w:szCs w:val="18"/>
                <w:lang w:val="fr-FR"/>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2E49CFA4" w14:textId="77777777" w:rsidR="00347226" w:rsidRPr="00024A4A" w:rsidRDefault="00347226" w:rsidP="00F40D28">
            <w:pPr>
              <w:keepNext/>
              <w:keepLines/>
              <w:suppressAutoHyphens w:val="0"/>
              <w:rPr>
                <w:b/>
                <w:sz w:val="18"/>
                <w:szCs w:val="18"/>
                <w:lang w:val="fr-FR"/>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60AF8CC9" w14:textId="77777777" w:rsidR="00347226" w:rsidRPr="00024A4A" w:rsidRDefault="00347226" w:rsidP="00F40D28">
            <w:pPr>
              <w:keepNext/>
              <w:keepLines/>
              <w:suppressAutoHyphens w:val="0"/>
              <w:rPr>
                <w:b/>
                <w:sz w:val="18"/>
                <w:szCs w:val="18"/>
                <w:lang w:val="fr-FR"/>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49B8DC6D" w14:textId="77777777" w:rsidR="00347226" w:rsidRPr="00024A4A" w:rsidRDefault="00347226" w:rsidP="00F40D28">
            <w:pPr>
              <w:keepNext/>
              <w:keepLines/>
              <w:suppressAutoHyphens w:val="0"/>
              <w:rPr>
                <w:b/>
                <w:sz w:val="18"/>
                <w:szCs w:val="18"/>
                <w:lang w:val="fr-FR"/>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53ED2088" w14:textId="77777777" w:rsidR="00347226" w:rsidRPr="00024A4A" w:rsidRDefault="00347226" w:rsidP="00F40D28">
            <w:pPr>
              <w:keepNext/>
              <w:keepLines/>
              <w:suppressAutoHyphens w:val="0"/>
              <w:rPr>
                <w:b/>
                <w:sz w:val="18"/>
                <w:szCs w:val="18"/>
                <w:lang w:val="fr-FR"/>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4B05E091" w14:textId="77777777" w:rsidR="00347226" w:rsidRPr="00024A4A" w:rsidRDefault="00347226" w:rsidP="00F40D28">
            <w:pPr>
              <w:keepNext/>
              <w:keepLines/>
              <w:suppressAutoHyphens w:val="0"/>
              <w:rPr>
                <w:b/>
                <w:sz w:val="18"/>
                <w:szCs w:val="18"/>
                <w:lang w:val="fr-FR"/>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hideMark/>
          </w:tcPr>
          <w:p w14:paraId="3B84E861" w14:textId="77777777" w:rsidR="00347226" w:rsidRPr="00024A4A" w:rsidRDefault="00347226" w:rsidP="00F40D28">
            <w:pPr>
              <w:keepNext/>
              <w:keepLines/>
              <w:suppressAutoHyphens w:val="0"/>
              <w:rPr>
                <w:b/>
                <w:sz w:val="18"/>
                <w:szCs w:val="18"/>
                <w:lang w:val="fr-FR"/>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74D39293" w14:textId="084F9654" w:rsidR="00347226" w:rsidRPr="00024A4A" w:rsidRDefault="00347226" w:rsidP="00024A4A">
            <w:pPr>
              <w:keepNext/>
              <w:keepLines/>
              <w:tabs>
                <w:tab w:val="left" w:pos="0"/>
              </w:tabs>
              <w:suppressAutoHyphens w:val="0"/>
              <w:spacing w:after="120"/>
              <w:ind w:left="113" w:right="113"/>
              <w:jc w:val="center"/>
              <w:rPr>
                <w:b/>
                <w:sz w:val="16"/>
                <w:szCs w:val="16"/>
              </w:rPr>
            </w:pPr>
            <w:r w:rsidRPr="00024A4A">
              <w:rPr>
                <w:b/>
                <w:bCs/>
                <w:sz w:val="16"/>
                <w:szCs w:val="16"/>
                <w:lang w:val="fr-FR"/>
              </w:rPr>
              <w:t>Instructions d</w:t>
            </w:r>
            <w:r w:rsidR="00024A4A">
              <w:rPr>
                <w:b/>
                <w:bCs/>
                <w:sz w:val="16"/>
                <w:szCs w:val="16"/>
                <w:lang w:val="fr-FR"/>
              </w:rPr>
              <w:t>’</w:t>
            </w:r>
            <w:r w:rsidRPr="00024A4A">
              <w:rPr>
                <w:b/>
                <w:bCs/>
                <w:sz w:val="16"/>
                <w:szCs w:val="16"/>
                <w:lang w:val="fr-FR"/>
              </w:rPr>
              <w:t>emballage</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14:paraId="73AAFA39" w14:textId="77777777" w:rsidR="00347226" w:rsidRPr="00024A4A" w:rsidRDefault="00347226" w:rsidP="00024A4A">
            <w:pPr>
              <w:keepNext/>
              <w:keepLines/>
              <w:tabs>
                <w:tab w:val="left" w:pos="0"/>
              </w:tabs>
              <w:suppressAutoHyphens w:val="0"/>
              <w:spacing w:after="120"/>
              <w:ind w:left="113" w:right="113"/>
              <w:jc w:val="center"/>
              <w:rPr>
                <w:b/>
                <w:sz w:val="16"/>
                <w:szCs w:val="16"/>
              </w:rPr>
            </w:pPr>
            <w:r w:rsidRPr="00024A4A">
              <w:rPr>
                <w:b/>
                <w:bCs/>
                <w:sz w:val="16"/>
                <w:szCs w:val="16"/>
                <w:lang w:val="fr-FR"/>
              </w:rPr>
              <w:t>Dispositions spéciales</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14:paraId="014E6169" w14:textId="7046CB96" w:rsidR="00347226" w:rsidRPr="00024A4A" w:rsidRDefault="00347226" w:rsidP="00024A4A">
            <w:pPr>
              <w:keepNext/>
              <w:keepLines/>
              <w:suppressAutoHyphens w:val="0"/>
              <w:spacing w:after="120"/>
              <w:ind w:left="113" w:right="113"/>
              <w:jc w:val="center"/>
              <w:rPr>
                <w:b/>
                <w:sz w:val="16"/>
                <w:szCs w:val="16"/>
              </w:rPr>
            </w:pPr>
            <w:r w:rsidRPr="00024A4A">
              <w:rPr>
                <w:b/>
                <w:bCs/>
                <w:sz w:val="16"/>
                <w:szCs w:val="16"/>
                <w:lang w:val="fr-FR"/>
              </w:rPr>
              <w:t xml:space="preserve">Instructions </w:t>
            </w:r>
            <w:r w:rsidR="00024A4A">
              <w:rPr>
                <w:b/>
                <w:bCs/>
                <w:sz w:val="16"/>
                <w:szCs w:val="16"/>
                <w:lang w:val="fr-FR"/>
              </w:rPr>
              <w:br/>
            </w:r>
            <w:r w:rsidRPr="00024A4A">
              <w:rPr>
                <w:b/>
                <w:bCs/>
                <w:sz w:val="16"/>
                <w:szCs w:val="16"/>
                <w:lang w:val="fr-FR"/>
              </w:rPr>
              <w:t>de transport</w:t>
            </w:r>
          </w:p>
        </w:tc>
        <w:tc>
          <w:tcPr>
            <w:tcW w:w="708" w:type="dxa"/>
            <w:tcBorders>
              <w:top w:val="single" w:sz="4" w:space="0" w:color="auto"/>
              <w:left w:val="single" w:sz="4" w:space="0" w:color="auto"/>
              <w:bottom w:val="single" w:sz="4" w:space="0" w:color="auto"/>
              <w:right w:val="single" w:sz="4" w:space="0" w:color="auto"/>
            </w:tcBorders>
            <w:textDirection w:val="btLr"/>
            <w:vAlign w:val="center"/>
            <w:hideMark/>
          </w:tcPr>
          <w:p w14:paraId="36FBA0A2" w14:textId="77777777" w:rsidR="00347226" w:rsidRPr="00024A4A" w:rsidRDefault="00347226" w:rsidP="00024A4A">
            <w:pPr>
              <w:keepNext/>
              <w:keepLines/>
              <w:suppressAutoHyphens w:val="0"/>
              <w:spacing w:after="120"/>
              <w:ind w:left="113" w:right="113"/>
              <w:jc w:val="center"/>
              <w:rPr>
                <w:b/>
                <w:sz w:val="16"/>
                <w:szCs w:val="16"/>
              </w:rPr>
            </w:pPr>
            <w:r w:rsidRPr="00024A4A">
              <w:rPr>
                <w:b/>
                <w:bCs/>
                <w:sz w:val="16"/>
                <w:szCs w:val="16"/>
                <w:lang w:val="fr-FR"/>
              </w:rPr>
              <w:t>Dispositions spéciales</w:t>
            </w:r>
          </w:p>
        </w:tc>
      </w:tr>
      <w:tr w:rsidR="00347226" w:rsidRPr="00024A4A" w14:paraId="2691CE3B" w14:textId="77777777" w:rsidTr="00024A4A">
        <w:tc>
          <w:tcPr>
            <w:tcW w:w="425" w:type="dxa"/>
            <w:tcBorders>
              <w:top w:val="single" w:sz="4" w:space="0" w:color="auto"/>
              <w:left w:val="single" w:sz="4" w:space="0" w:color="auto"/>
              <w:bottom w:val="single" w:sz="4" w:space="0" w:color="auto"/>
              <w:right w:val="single" w:sz="4" w:space="0" w:color="auto"/>
            </w:tcBorders>
            <w:vAlign w:val="center"/>
            <w:hideMark/>
          </w:tcPr>
          <w:p w14:paraId="497F55AC" w14:textId="77777777" w:rsidR="00347226" w:rsidRPr="00024A4A" w:rsidRDefault="00347226" w:rsidP="00F40D28">
            <w:pPr>
              <w:keepNext/>
              <w:keepLines/>
              <w:suppressAutoHyphens w:val="0"/>
              <w:spacing w:after="120"/>
              <w:ind w:right="19"/>
              <w:jc w:val="center"/>
              <w:rPr>
                <w:sz w:val="18"/>
                <w:szCs w:val="18"/>
              </w:rPr>
            </w:pPr>
            <w:r w:rsidRPr="00024A4A">
              <w:rPr>
                <w:sz w:val="18"/>
                <w:szCs w:val="18"/>
                <w:lang w:val="fr-FR"/>
              </w:rPr>
              <w:t>(1)</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5067EA1" w14:textId="77777777" w:rsidR="00347226" w:rsidRPr="00024A4A" w:rsidRDefault="00347226" w:rsidP="00F40D28">
            <w:pPr>
              <w:keepNext/>
              <w:keepLines/>
              <w:suppressAutoHyphens w:val="0"/>
              <w:spacing w:after="120"/>
              <w:ind w:right="19"/>
              <w:jc w:val="center"/>
              <w:rPr>
                <w:sz w:val="18"/>
                <w:szCs w:val="18"/>
              </w:rPr>
            </w:pPr>
            <w:r w:rsidRPr="00024A4A">
              <w:rPr>
                <w:sz w:val="18"/>
                <w:szCs w:val="18"/>
                <w:lang w:val="fr-FR"/>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5534A37B" w14:textId="77777777" w:rsidR="00347226" w:rsidRPr="00024A4A" w:rsidRDefault="00347226" w:rsidP="00F40D28">
            <w:pPr>
              <w:keepNext/>
              <w:keepLines/>
              <w:suppressAutoHyphens w:val="0"/>
              <w:spacing w:after="120"/>
              <w:ind w:right="19"/>
              <w:jc w:val="center"/>
              <w:rPr>
                <w:sz w:val="18"/>
                <w:szCs w:val="18"/>
              </w:rPr>
            </w:pPr>
            <w:r w:rsidRPr="00024A4A">
              <w:rPr>
                <w:sz w:val="18"/>
                <w:szCs w:val="18"/>
                <w:lang w:val="fr-FR"/>
              </w:rPr>
              <w:t>(3)</w:t>
            </w:r>
          </w:p>
        </w:tc>
        <w:tc>
          <w:tcPr>
            <w:tcW w:w="567" w:type="dxa"/>
            <w:tcBorders>
              <w:top w:val="single" w:sz="4" w:space="0" w:color="auto"/>
              <w:left w:val="single" w:sz="4" w:space="0" w:color="auto"/>
              <w:bottom w:val="single" w:sz="4" w:space="0" w:color="auto"/>
              <w:right w:val="single" w:sz="4" w:space="0" w:color="auto"/>
            </w:tcBorders>
            <w:vAlign w:val="center"/>
            <w:hideMark/>
          </w:tcPr>
          <w:p w14:paraId="5F7079FA" w14:textId="77777777" w:rsidR="00347226" w:rsidRPr="00024A4A" w:rsidRDefault="00347226" w:rsidP="00F40D28">
            <w:pPr>
              <w:keepNext/>
              <w:keepLines/>
              <w:suppressAutoHyphens w:val="0"/>
              <w:spacing w:after="120"/>
              <w:ind w:right="19"/>
              <w:jc w:val="center"/>
              <w:rPr>
                <w:sz w:val="18"/>
                <w:szCs w:val="18"/>
              </w:rPr>
            </w:pPr>
            <w:r w:rsidRPr="00024A4A">
              <w:rPr>
                <w:sz w:val="18"/>
                <w:szCs w:val="18"/>
                <w:lang w:val="fr-FR"/>
              </w:rPr>
              <w:t>(4)</w:t>
            </w:r>
          </w:p>
        </w:tc>
        <w:tc>
          <w:tcPr>
            <w:tcW w:w="709" w:type="dxa"/>
            <w:tcBorders>
              <w:top w:val="single" w:sz="4" w:space="0" w:color="auto"/>
              <w:left w:val="single" w:sz="4" w:space="0" w:color="auto"/>
              <w:bottom w:val="single" w:sz="4" w:space="0" w:color="auto"/>
              <w:right w:val="single" w:sz="4" w:space="0" w:color="auto"/>
            </w:tcBorders>
            <w:vAlign w:val="center"/>
            <w:hideMark/>
          </w:tcPr>
          <w:p w14:paraId="790452EB" w14:textId="77777777" w:rsidR="00347226" w:rsidRPr="00024A4A" w:rsidRDefault="00347226" w:rsidP="00F40D28">
            <w:pPr>
              <w:keepNext/>
              <w:keepLines/>
              <w:suppressAutoHyphens w:val="0"/>
              <w:spacing w:after="120"/>
              <w:ind w:right="19"/>
              <w:jc w:val="center"/>
              <w:rPr>
                <w:sz w:val="18"/>
                <w:szCs w:val="18"/>
              </w:rPr>
            </w:pPr>
            <w:r w:rsidRPr="00024A4A">
              <w:rPr>
                <w:sz w:val="18"/>
                <w:szCs w:val="18"/>
                <w:lang w:val="fr-FR"/>
              </w:rPr>
              <w:t>(5)</w:t>
            </w:r>
          </w:p>
        </w:tc>
        <w:tc>
          <w:tcPr>
            <w:tcW w:w="708" w:type="dxa"/>
            <w:tcBorders>
              <w:top w:val="single" w:sz="4" w:space="0" w:color="auto"/>
              <w:left w:val="single" w:sz="4" w:space="0" w:color="auto"/>
              <w:bottom w:val="single" w:sz="4" w:space="0" w:color="auto"/>
              <w:right w:val="single" w:sz="4" w:space="0" w:color="auto"/>
            </w:tcBorders>
            <w:vAlign w:val="center"/>
            <w:hideMark/>
          </w:tcPr>
          <w:p w14:paraId="35EDFF2D" w14:textId="77777777" w:rsidR="00347226" w:rsidRPr="00024A4A" w:rsidRDefault="00347226" w:rsidP="00F40D28">
            <w:pPr>
              <w:keepNext/>
              <w:keepLines/>
              <w:suppressAutoHyphens w:val="0"/>
              <w:spacing w:after="120"/>
              <w:ind w:right="19"/>
              <w:jc w:val="center"/>
              <w:rPr>
                <w:sz w:val="18"/>
                <w:szCs w:val="18"/>
              </w:rPr>
            </w:pPr>
            <w:r w:rsidRPr="00024A4A">
              <w:rPr>
                <w:sz w:val="18"/>
                <w:szCs w:val="18"/>
                <w:lang w:val="fr-FR"/>
              </w:rPr>
              <w:t>(6)</w:t>
            </w:r>
          </w:p>
        </w:tc>
        <w:tc>
          <w:tcPr>
            <w:tcW w:w="426" w:type="dxa"/>
            <w:tcBorders>
              <w:top w:val="single" w:sz="4" w:space="0" w:color="auto"/>
              <w:left w:val="single" w:sz="4" w:space="0" w:color="auto"/>
              <w:bottom w:val="single" w:sz="4" w:space="0" w:color="auto"/>
              <w:right w:val="single" w:sz="4" w:space="0" w:color="auto"/>
            </w:tcBorders>
            <w:vAlign w:val="center"/>
            <w:hideMark/>
          </w:tcPr>
          <w:p w14:paraId="06633A4B" w14:textId="77777777" w:rsidR="00347226" w:rsidRPr="00024A4A" w:rsidRDefault="00347226" w:rsidP="00F40D28">
            <w:pPr>
              <w:keepNext/>
              <w:keepLines/>
              <w:suppressAutoHyphens w:val="0"/>
              <w:spacing w:after="120"/>
              <w:ind w:right="19"/>
              <w:jc w:val="center"/>
              <w:rPr>
                <w:sz w:val="18"/>
                <w:szCs w:val="18"/>
              </w:rPr>
            </w:pPr>
            <w:r w:rsidRPr="00024A4A">
              <w:rPr>
                <w:sz w:val="18"/>
                <w:szCs w:val="18"/>
              </w:rPr>
              <w:t>(7a)</w:t>
            </w:r>
          </w:p>
        </w:tc>
        <w:tc>
          <w:tcPr>
            <w:tcW w:w="425" w:type="dxa"/>
            <w:tcBorders>
              <w:top w:val="single" w:sz="4" w:space="0" w:color="auto"/>
              <w:left w:val="single" w:sz="4" w:space="0" w:color="auto"/>
              <w:bottom w:val="single" w:sz="4" w:space="0" w:color="auto"/>
              <w:right w:val="single" w:sz="4" w:space="0" w:color="auto"/>
            </w:tcBorders>
            <w:vAlign w:val="center"/>
            <w:hideMark/>
          </w:tcPr>
          <w:p w14:paraId="27BFF3AA" w14:textId="77777777" w:rsidR="00347226" w:rsidRPr="00024A4A" w:rsidRDefault="00347226" w:rsidP="00F40D28">
            <w:pPr>
              <w:keepNext/>
              <w:keepLines/>
              <w:suppressAutoHyphens w:val="0"/>
              <w:spacing w:after="120"/>
              <w:ind w:right="19"/>
              <w:jc w:val="center"/>
              <w:rPr>
                <w:sz w:val="18"/>
                <w:szCs w:val="18"/>
              </w:rPr>
            </w:pPr>
            <w:r w:rsidRPr="00024A4A">
              <w:rPr>
                <w:sz w:val="18"/>
                <w:szCs w:val="18"/>
              </w:rPr>
              <w:t>(7b)</w:t>
            </w:r>
          </w:p>
        </w:tc>
        <w:tc>
          <w:tcPr>
            <w:tcW w:w="709" w:type="dxa"/>
            <w:tcBorders>
              <w:top w:val="single" w:sz="4" w:space="0" w:color="auto"/>
              <w:left w:val="single" w:sz="4" w:space="0" w:color="auto"/>
              <w:bottom w:val="single" w:sz="4" w:space="0" w:color="auto"/>
              <w:right w:val="single" w:sz="4" w:space="0" w:color="auto"/>
            </w:tcBorders>
            <w:vAlign w:val="center"/>
            <w:hideMark/>
          </w:tcPr>
          <w:p w14:paraId="09F37EE1" w14:textId="77777777" w:rsidR="00347226" w:rsidRPr="00024A4A" w:rsidRDefault="00347226" w:rsidP="00F40D28">
            <w:pPr>
              <w:keepNext/>
              <w:keepLines/>
              <w:suppressAutoHyphens w:val="0"/>
              <w:spacing w:after="120"/>
              <w:ind w:right="19"/>
              <w:jc w:val="center"/>
              <w:rPr>
                <w:sz w:val="18"/>
                <w:szCs w:val="18"/>
              </w:rPr>
            </w:pPr>
            <w:r w:rsidRPr="00024A4A">
              <w:rPr>
                <w:sz w:val="18"/>
                <w:szCs w:val="18"/>
                <w:lang w:val="fr-FR"/>
              </w:rPr>
              <w:t>(8)</w:t>
            </w:r>
          </w:p>
        </w:tc>
        <w:tc>
          <w:tcPr>
            <w:tcW w:w="850" w:type="dxa"/>
            <w:tcBorders>
              <w:top w:val="single" w:sz="4" w:space="0" w:color="auto"/>
              <w:left w:val="single" w:sz="4" w:space="0" w:color="auto"/>
              <w:bottom w:val="single" w:sz="4" w:space="0" w:color="auto"/>
              <w:right w:val="single" w:sz="4" w:space="0" w:color="auto"/>
            </w:tcBorders>
            <w:vAlign w:val="center"/>
            <w:hideMark/>
          </w:tcPr>
          <w:p w14:paraId="5D57211A" w14:textId="77777777" w:rsidR="00347226" w:rsidRPr="00024A4A" w:rsidRDefault="00347226" w:rsidP="00F40D28">
            <w:pPr>
              <w:keepNext/>
              <w:keepLines/>
              <w:suppressAutoHyphens w:val="0"/>
              <w:spacing w:after="120"/>
              <w:ind w:right="19"/>
              <w:jc w:val="center"/>
              <w:rPr>
                <w:sz w:val="18"/>
                <w:szCs w:val="18"/>
              </w:rPr>
            </w:pPr>
            <w:r w:rsidRPr="00024A4A">
              <w:rPr>
                <w:sz w:val="18"/>
                <w:szCs w:val="18"/>
                <w:lang w:val="fr-FR"/>
              </w:rPr>
              <w:t>(9)</w:t>
            </w:r>
          </w:p>
        </w:tc>
        <w:tc>
          <w:tcPr>
            <w:tcW w:w="851" w:type="dxa"/>
            <w:tcBorders>
              <w:top w:val="single" w:sz="4" w:space="0" w:color="auto"/>
              <w:left w:val="single" w:sz="4" w:space="0" w:color="auto"/>
              <w:bottom w:val="single" w:sz="4" w:space="0" w:color="auto"/>
              <w:right w:val="single" w:sz="4" w:space="0" w:color="auto"/>
            </w:tcBorders>
            <w:vAlign w:val="center"/>
            <w:hideMark/>
          </w:tcPr>
          <w:p w14:paraId="729DD874" w14:textId="77777777" w:rsidR="00347226" w:rsidRPr="00024A4A" w:rsidRDefault="00347226" w:rsidP="00F40D28">
            <w:pPr>
              <w:keepNext/>
              <w:keepLines/>
              <w:suppressAutoHyphens w:val="0"/>
              <w:spacing w:after="120"/>
              <w:ind w:right="19"/>
              <w:jc w:val="center"/>
              <w:rPr>
                <w:sz w:val="18"/>
                <w:szCs w:val="18"/>
              </w:rPr>
            </w:pPr>
            <w:r w:rsidRPr="00024A4A">
              <w:rPr>
                <w:sz w:val="18"/>
                <w:szCs w:val="18"/>
                <w:lang w:val="fr-FR"/>
              </w:rPr>
              <w:t>(10)</w:t>
            </w:r>
          </w:p>
        </w:tc>
        <w:tc>
          <w:tcPr>
            <w:tcW w:w="708" w:type="dxa"/>
            <w:tcBorders>
              <w:top w:val="single" w:sz="4" w:space="0" w:color="auto"/>
              <w:left w:val="single" w:sz="4" w:space="0" w:color="auto"/>
              <w:bottom w:val="single" w:sz="4" w:space="0" w:color="auto"/>
              <w:right w:val="single" w:sz="4" w:space="0" w:color="auto"/>
            </w:tcBorders>
            <w:vAlign w:val="center"/>
            <w:hideMark/>
          </w:tcPr>
          <w:p w14:paraId="2C85DD91" w14:textId="77777777" w:rsidR="00347226" w:rsidRPr="00024A4A" w:rsidRDefault="00347226" w:rsidP="00F40D28">
            <w:pPr>
              <w:keepNext/>
              <w:keepLines/>
              <w:suppressAutoHyphens w:val="0"/>
              <w:spacing w:after="120"/>
              <w:ind w:right="19"/>
              <w:jc w:val="center"/>
              <w:rPr>
                <w:sz w:val="18"/>
                <w:szCs w:val="18"/>
              </w:rPr>
            </w:pPr>
            <w:r w:rsidRPr="00024A4A">
              <w:rPr>
                <w:sz w:val="18"/>
                <w:szCs w:val="18"/>
                <w:lang w:val="fr-FR"/>
              </w:rPr>
              <w:t>(11)</w:t>
            </w:r>
          </w:p>
        </w:tc>
      </w:tr>
      <w:tr w:rsidR="00347226" w:rsidRPr="00024A4A" w14:paraId="4AC2B936" w14:textId="77777777" w:rsidTr="00024A4A">
        <w:tc>
          <w:tcPr>
            <w:tcW w:w="425" w:type="dxa"/>
            <w:tcBorders>
              <w:top w:val="single" w:sz="4" w:space="0" w:color="auto"/>
              <w:left w:val="single" w:sz="4" w:space="0" w:color="auto"/>
              <w:bottom w:val="single" w:sz="4" w:space="0" w:color="auto"/>
              <w:right w:val="single" w:sz="4" w:space="0" w:color="auto"/>
            </w:tcBorders>
            <w:hideMark/>
          </w:tcPr>
          <w:p w14:paraId="42A17D02" w14:textId="77777777" w:rsidR="00347226" w:rsidRPr="00024A4A" w:rsidRDefault="00347226" w:rsidP="00F40D28">
            <w:pPr>
              <w:keepNext/>
              <w:keepLines/>
              <w:suppressAutoHyphens w:val="0"/>
              <w:spacing w:after="40"/>
              <w:ind w:right="17"/>
              <w:jc w:val="center"/>
              <w:rPr>
                <w:sz w:val="18"/>
                <w:szCs w:val="18"/>
              </w:rPr>
            </w:pPr>
            <w:r w:rsidRPr="00024A4A">
              <w:rPr>
                <w:sz w:val="18"/>
                <w:szCs w:val="18"/>
                <w:lang w:val="fr-FR"/>
              </w:rPr>
              <w:t>2857</w:t>
            </w:r>
          </w:p>
        </w:tc>
        <w:tc>
          <w:tcPr>
            <w:tcW w:w="2268" w:type="dxa"/>
            <w:tcBorders>
              <w:top w:val="single" w:sz="4" w:space="0" w:color="auto"/>
              <w:left w:val="single" w:sz="4" w:space="0" w:color="auto"/>
              <w:bottom w:val="single" w:sz="4" w:space="0" w:color="auto"/>
              <w:right w:val="single" w:sz="4" w:space="0" w:color="auto"/>
            </w:tcBorders>
            <w:hideMark/>
          </w:tcPr>
          <w:p w14:paraId="48458BD2" w14:textId="77777777" w:rsidR="00347226" w:rsidRPr="00024A4A" w:rsidRDefault="00347226" w:rsidP="00F40D28">
            <w:pPr>
              <w:keepNext/>
              <w:keepLines/>
              <w:suppressAutoHyphens w:val="0"/>
              <w:spacing w:after="40"/>
              <w:ind w:right="17"/>
              <w:rPr>
                <w:sz w:val="18"/>
                <w:szCs w:val="18"/>
                <w:lang w:val="fr-FR"/>
              </w:rPr>
            </w:pPr>
            <w:r w:rsidRPr="00024A4A">
              <w:rPr>
                <w:sz w:val="18"/>
                <w:szCs w:val="18"/>
                <w:lang w:val="fr-FR"/>
              </w:rPr>
              <w:t xml:space="preserve">MACHINES FRIGORIFIQUES </w:t>
            </w:r>
            <w:r w:rsidRPr="00024A4A">
              <w:rPr>
                <w:sz w:val="18"/>
                <w:szCs w:val="18"/>
                <w:u w:val="single"/>
                <w:lang w:val="fr-FR"/>
              </w:rPr>
              <w:t xml:space="preserve">ou DISPOSITIFS DE CHAUFFAGE </w:t>
            </w:r>
            <w:r w:rsidRPr="00024A4A">
              <w:rPr>
                <w:sz w:val="18"/>
                <w:szCs w:val="18"/>
                <w:lang w:val="fr-FR"/>
              </w:rPr>
              <w:t>contenant des gaz non inflammables et non toxiques ou des solutions d’ammoniac (No ONU 2672)</w:t>
            </w:r>
          </w:p>
        </w:tc>
        <w:tc>
          <w:tcPr>
            <w:tcW w:w="567" w:type="dxa"/>
            <w:tcBorders>
              <w:top w:val="single" w:sz="4" w:space="0" w:color="auto"/>
              <w:left w:val="single" w:sz="4" w:space="0" w:color="auto"/>
              <w:bottom w:val="single" w:sz="4" w:space="0" w:color="auto"/>
              <w:right w:val="single" w:sz="4" w:space="0" w:color="auto"/>
            </w:tcBorders>
            <w:hideMark/>
          </w:tcPr>
          <w:p w14:paraId="2F11C5D1" w14:textId="77777777" w:rsidR="00347226" w:rsidRPr="00024A4A" w:rsidRDefault="00347226" w:rsidP="00F40D28">
            <w:pPr>
              <w:keepNext/>
              <w:keepLines/>
              <w:suppressAutoHyphens w:val="0"/>
              <w:spacing w:after="40"/>
              <w:ind w:right="17"/>
              <w:jc w:val="center"/>
              <w:rPr>
                <w:sz w:val="18"/>
                <w:szCs w:val="18"/>
              </w:rPr>
            </w:pPr>
            <w:r w:rsidRPr="00024A4A">
              <w:rPr>
                <w:sz w:val="18"/>
                <w:szCs w:val="18"/>
                <w:lang w:val="fr-FR"/>
              </w:rPr>
              <w:t>2.2</w:t>
            </w:r>
          </w:p>
        </w:tc>
        <w:tc>
          <w:tcPr>
            <w:tcW w:w="567" w:type="dxa"/>
            <w:tcBorders>
              <w:top w:val="single" w:sz="4" w:space="0" w:color="auto"/>
              <w:left w:val="single" w:sz="4" w:space="0" w:color="auto"/>
              <w:bottom w:val="single" w:sz="4" w:space="0" w:color="auto"/>
              <w:right w:val="single" w:sz="4" w:space="0" w:color="auto"/>
            </w:tcBorders>
          </w:tcPr>
          <w:p w14:paraId="57DEA430" w14:textId="77777777" w:rsidR="00347226" w:rsidRPr="00024A4A" w:rsidRDefault="00347226" w:rsidP="00F40D28">
            <w:pPr>
              <w:keepNext/>
              <w:keepLines/>
              <w:suppressAutoHyphens w:val="0"/>
              <w:spacing w:after="40"/>
              <w:ind w:right="17"/>
              <w:jc w:val="center"/>
              <w:rPr>
                <w:sz w:val="18"/>
                <w:szCs w:val="18"/>
                <w:u w:val="single"/>
              </w:rPr>
            </w:pPr>
          </w:p>
        </w:tc>
        <w:tc>
          <w:tcPr>
            <w:tcW w:w="709" w:type="dxa"/>
            <w:tcBorders>
              <w:top w:val="single" w:sz="4" w:space="0" w:color="auto"/>
              <w:left w:val="single" w:sz="4" w:space="0" w:color="auto"/>
              <w:bottom w:val="single" w:sz="4" w:space="0" w:color="auto"/>
              <w:right w:val="single" w:sz="4" w:space="0" w:color="auto"/>
            </w:tcBorders>
            <w:hideMark/>
          </w:tcPr>
          <w:p w14:paraId="134DA74C" w14:textId="77777777" w:rsidR="00347226" w:rsidRPr="00024A4A" w:rsidRDefault="00347226" w:rsidP="00F40D28">
            <w:pPr>
              <w:keepNext/>
              <w:keepLines/>
              <w:suppressAutoHyphens w:val="0"/>
              <w:spacing w:after="40"/>
              <w:ind w:right="17"/>
              <w:jc w:val="center"/>
              <w:rPr>
                <w:sz w:val="18"/>
                <w:szCs w:val="18"/>
                <w:u w:val="single"/>
              </w:rPr>
            </w:pPr>
          </w:p>
        </w:tc>
        <w:tc>
          <w:tcPr>
            <w:tcW w:w="708" w:type="dxa"/>
            <w:tcBorders>
              <w:top w:val="single" w:sz="4" w:space="0" w:color="auto"/>
              <w:left w:val="single" w:sz="4" w:space="0" w:color="auto"/>
              <w:bottom w:val="single" w:sz="4" w:space="0" w:color="auto"/>
              <w:right w:val="single" w:sz="4" w:space="0" w:color="auto"/>
            </w:tcBorders>
          </w:tcPr>
          <w:p w14:paraId="1CC548EC" w14:textId="0578B604" w:rsidR="00347226" w:rsidRPr="00821F50" w:rsidRDefault="00347226" w:rsidP="00821F50">
            <w:pPr>
              <w:keepNext/>
              <w:keepLines/>
              <w:suppressAutoHyphens w:val="0"/>
              <w:spacing w:after="40"/>
              <w:ind w:right="17"/>
              <w:jc w:val="center"/>
              <w:rPr>
                <w:sz w:val="18"/>
                <w:szCs w:val="18"/>
              </w:rPr>
            </w:pPr>
            <w:r w:rsidRPr="00024A4A">
              <w:rPr>
                <w:sz w:val="18"/>
                <w:szCs w:val="18"/>
                <w:lang w:val="fr-FR"/>
              </w:rPr>
              <w:t>119</w:t>
            </w:r>
          </w:p>
        </w:tc>
        <w:tc>
          <w:tcPr>
            <w:tcW w:w="426" w:type="dxa"/>
            <w:tcBorders>
              <w:top w:val="single" w:sz="4" w:space="0" w:color="auto"/>
              <w:left w:val="single" w:sz="4" w:space="0" w:color="auto"/>
              <w:bottom w:val="single" w:sz="4" w:space="0" w:color="auto"/>
              <w:right w:val="single" w:sz="4" w:space="0" w:color="auto"/>
            </w:tcBorders>
            <w:hideMark/>
          </w:tcPr>
          <w:p w14:paraId="578B55AF" w14:textId="77777777" w:rsidR="00347226" w:rsidRPr="00024A4A" w:rsidRDefault="00347226" w:rsidP="00F40D28">
            <w:pPr>
              <w:keepNext/>
              <w:keepLines/>
              <w:suppressAutoHyphens w:val="0"/>
              <w:spacing w:after="40"/>
              <w:ind w:right="17"/>
              <w:jc w:val="center"/>
              <w:rPr>
                <w:sz w:val="18"/>
                <w:szCs w:val="18"/>
              </w:rPr>
            </w:pPr>
            <w:r w:rsidRPr="00024A4A">
              <w:rPr>
                <w:sz w:val="18"/>
                <w:szCs w:val="18"/>
                <w:lang w:val="fr-FR"/>
              </w:rPr>
              <w:t>0</w:t>
            </w:r>
          </w:p>
        </w:tc>
        <w:tc>
          <w:tcPr>
            <w:tcW w:w="425" w:type="dxa"/>
            <w:tcBorders>
              <w:top w:val="single" w:sz="4" w:space="0" w:color="auto"/>
              <w:left w:val="single" w:sz="4" w:space="0" w:color="auto"/>
              <w:bottom w:val="single" w:sz="4" w:space="0" w:color="auto"/>
              <w:right w:val="single" w:sz="4" w:space="0" w:color="auto"/>
            </w:tcBorders>
            <w:hideMark/>
          </w:tcPr>
          <w:p w14:paraId="1762ED26" w14:textId="77777777" w:rsidR="00347226" w:rsidRPr="00024A4A" w:rsidRDefault="00347226" w:rsidP="00F40D28">
            <w:pPr>
              <w:keepNext/>
              <w:keepLines/>
              <w:suppressAutoHyphens w:val="0"/>
              <w:spacing w:after="40"/>
              <w:ind w:right="17"/>
              <w:jc w:val="center"/>
              <w:rPr>
                <w:sz w:val="18"/>
                <w:szCs w:val="18"/>
              </w:rPr>
            </w:pPr>
            <w:r w:rsidRPr="00024A4A">
              <w:rPr>
                <w:sz w:val="18"/>
                <w:szCs w:val="18"/>
                <w:lang w:val="fr-FR"/>
              </w:rPr>
              <w:t>E0</w:t>
            </w:r>
          </w:p>
        </w:tc>
        <w:tc>
          <w:tcPr>
            <w:tcW w:w="709" w:type="dxa"/>
            <w:tcBorders>
              <w:top w:val="single" w:sz="4" w:space="0" w:color="auto"/>
              <w:left w:val="single" w:sz="4" w:space="0" w:color="auto"/>
              <w:bottom w:val="single" w:sz="4" w:space="0" w:color="auto"/>
              <w:right w:val="single" w:sz="4" w:space="0" w:color="auto"/>
            </w:tcBorders>
            <w:hideMark/>
          </w:tcPr>
          <w:p w14:paraId="493084B9" w14:textId="77777777" w:rsidR="00347226" w:rsidRPr="00024A4A" w:rsidRDefault="00347226" w:rsidP="00F40D28">
            <w:pPr>
              <w:keepNext/>
              <w:keepLines/>
              <w:suppressAutoHyphens w:val="0"/>
              <w:spacing w:after="40"/>
              <w:ind w:right="17"/>
              <w:jc w:val="center"/>
              <w:rPr>
                <w:sz w:val="18"/>
                <w:szCs w:val="18"/>
              </w:rPr>
            </w:pPr>
            <w:r w:rsidRPr="00024A4A">
              <w:rPr>
                <w:sz w:val="18"/>
                <w:szCs w:val="18"/>
                <w:lang w:val="fr-FR"/>
              </w:rPr>
              <w:t>P003</w:t>
            </w:r>
          </w:p>
        </w:tc>
        <w:tc>
          <w:tcPr>
            <w:tcW w:w="850" w:type="dxa"/>
            <w:tcBorders>
              <w:top w:val="single" w:sz="4" w:space="0" w:color="auto"/>
              <w:left w:val="single" w:sz="4" w:space="0" w:color="auto"/>
              <w:bottom w:val="single" w:sz="4" w:space="0" w:color="auto"/>
              <w:right w:val="single" w:sz="4" w:space="0" w:color="auto"/>
            </w:tcBorders>
          </w:tcPr>
          <w:p w14:paraId="656096B4" w14:textId="77777777" w:rsidR="00347226" w:rsidRPr="00024A4A" w:rsidRDefault="00347226" w:rsidP="00F40D28">
            <w:pPr>
              <w:keepNext/>
              <w:keepLines/>
              <w:suppressAutoHyphens w:val="0"/>
              <w:spacing w:after="40"/>
              <w:ind w:right="17"/>
              <w:jc w:val="center"/>
              <w:rPr>
                <w:sz w:val="18"/>
                <w:szCs w:val="18"/>
              </w:rPr>
            </w:pPr>
            <w:r w:rsidRPr="00024A4A">
              <w:rPr>
                <w:sz w:val="18"/>
                <w:szCs w:val="18"/>
                <w:lang w:val="fr-FR"/>
              </w:rPr>
              <w:t>PP32</w:t>
            </w:r>
          </w:p>
        </w:tc>
        <w:tc>
          <w:tcPr>
            <w:tcW w:w="851" w:type="dxa"/>
            <w:tcBorders>
              <w:top w:val="single" w:sz="4" w:space="0" w:color="auto"/>
              <w:left w:val="single" w:sz="4" w:space="0" w:color="auto"/>
              <w:bottom w:val="single" w:sz="4" w:space="0" w:color="auto"/>
              <w:right w:val="single" w:sz="4" w:space="0" w:color="auto"/>
            </w:tcBorders>
            <w:hideMark/>
          </w:tcPr>
          <w:p w14:paraId="45826E01" w14:textId="77777777" w:rsidR="00347226" w:rsidRPr="00024A4A" w:rsidRDefault="00347226" w:rsidP="00F40D28">
            <w:pPr>
              <w:keepNext/>
              <w:keepLines/>
              <w:suppressAutoHyphens w:val="0"/>
              <w:spacing w:after="40"/>
              <w:ind w:right="17"/>
              <w:jc w:val="center"/>
              <w:rPr>
                <w:sz w:val="18"/>
                <w:szCs w:val="18"/>
                <w:u w:val="single"/>
              </w:rPr>
            </w:pPr>
          </w:p>
        </w:tc>
        <w:tc>
          <w:tcPr>
            <w:tcW w:w="708" w:type="dxa"/>
            <w:tcBorders>
              <w:top w:val="single" w:sz="4" w:space="0" w:color="auto"/>
              <w:left w:val="single" w:sz="4" w:space="0" w:color="auto"/>
              <w:bottom w:val="single" w:sz="4" w:space="0" w:color="auto"/>
              <w:right w:val="single" w:sz="4" w:space="0" w:color="auto"/>
            </w:tcBorders>
            <w:hideMark/>
          </w:tcPr>
          <w:p w14:paraId="37C2E472" w14:textId="77777777" w:rsidR="00347226" w:rsidRPr="00024A4A" w:rsidRDefault="00347226" w:rsidP="00F40D28">
            <w:pPr>
              <w:keepNext/>
              <w:keepLines/>
              <w:suppressAutoHyphens w:val="0"/>
              <w:spacing w:after="40"/>
              <w:ind w:right="17"/>
              <w:jc w:val="center"/>
              <w:rPr>
                <w:sz w:val="18"/>
                <w:szCs w:val="18"/>
                <w:u w:val="single"/>
              </w:rPr>
            </w:pPr>
          </w:p>
        </w:tc>
      </w:tr>
      <w:tr w:rsidR="00347226" w:rsidRPr="00024A4A" w14:paraId="6832FE9A" w14:textId="77777777" w:rsidTr="00024A4A">
        <w:tc>
          <w:tcPr>
            <w:tcW w:w="425" w:type="dxa"/>
            <w:tcBorders>
              <w:top w:val="single" w:sz="4" w:space="0" w:color="auto"/>
              <w:left w:val="single" w:sz="4" w:space="0" w:color="auto"/>
              <w:bottom w:val="single" w:sz="4" w:space="0" w:color="auto"/>
              <w:right w:val="single" w:sz="4" w:space="0" w:color="auto"/>
            </w:tcBorders>
            <w:hideMark/>
          </w:tcPr>
          <w:p w14:paraId="2B48379E" w14:textId="77777777" w:rsidR="00347226" w:rsidRPr="00024A4A" w:rsidRDefault="00347226" w:rsidP="00F40D28">
            <w:pPr>
              <w:keepNext/>
              <w:keepLines/>
              <w:suppressAutoHyphens w:val="0"/>
              <w:spacing w:after="40"/>
              <w:ind w:right="17"/>
              <w:jc w:val="center"/>
              <w:rPr>
                <w:sz w:val="18"/>
                <w:szCs w:val="18"/>
              </w:rPr>
            </w:pPr>
            <w:r w:rsidRPr="00024A4A">
              <w:rPr>
                <w:sz w:val="18"/>
                <w:szCs w:val="18"/>
                <w:lang w:val="fr-FR"/>
              </w:rPr>
              <w:t>3358</w:t>
            </w:r>
          </w:p>
        </w:tc>
        <w:tc>
          <w:tcPr>
            <w:tcW w:w="2268" w:type="dxa"/>
            <w:tcBorders>
              <w:top w:val="single" w:sz="4" w:space="0" w:color="auto"/>
              <w:left w:val="single" w:sz="4" w:space="0" w:color="auto"/>
              <w:bottom w:val="single" w:sz="4" w:space="0" w:color="auto"/>
              <w:right w:val="single" w:sz="4" w:space="0" w:color="auto"/>
            </w:tcBorders>
            <w:hideMark/>
          </w:tcPr>
          <w:p w14:paraId="0C8A6A90" w14:textId="77777777" w:rsidR="00347226" w:rsidRPr="00024A4A" w:rsidRDefault="00347226" w:rsidP="00F40D28">
            <w:pPr>
              <w:keepNext/>
              <w:keepLines/>
              <w:suppressAutoHyphens w:val="0"/>
              <w:spacing w:after="40"/>
              <w:ind w:right="17"/>
              <w:rPr>
                <w:sz w:val="18"/>
                <w:szCs w:val="18"/>
                <w:u w:val="single"/>
                <w:lang w:val="fr-FR"/>
              </w:rPr>
            </w:pPr>
            <w:r w:rsidRPr="00024A4A">
              <w:rPr>
                <w:sz w:val="18"/>
                <w:szCs w:val="18"/>
                <w:lang w:val="fr-FR"/>
              </w:rPr>
              <w:t>MACHINES FRIGORIFIQUES ou DISPOSITIFS DE CHAUFFAGE contenant des gaz non inflammables et non toxiques ou des solutions d’ammoniac (No ONU 2672)</w:t>
            </w:r>
          </w:p>
        </w:tc>
        <w:tc>
          <w:tcPr>
            <w:tcW w:w="567" w:type="dxa"/>
            <w:tcBorders>
              <w:top w:val="single" w:sz="4" w:space="0" w:color="auto"/>
              <w:left w:val="single" w:sz="4" w:space="0" w:color="auto"/>
              <w:bottom w:val="single" w:sz="4" w:space="0" w:color="auto"/>
              <w:right w:val="single" w:sz="4" w:space="0" w:color="auto"/>
            </w:tcBorders>
            <w:hideMark/>
          </w:tcPr>
          <w:p w14:paraId="3526D8B3" w14:textId="77777777" w:rsidR="00347226" w:rsidRPr="00024A4A" w:rsidRDefault="00347226" w:rsidP="00F40D28">
            <w:pPr>
              <w:keepNext/>
              <w:keepLines/>
              <w:suppressAutoHyphens w:val="0"/>
              <w:spacing w:after="40"/>
              <w:ind w:right="17"/>
              <w:jc w:val="center"/>
              <w:rPr>
                <w:sz w:val="18"/>
                <w:szCs w:val="18"/>
              </w:rPr>
            </w:pPr>
            <w:r w:rsidRPr="00024A4A">
              <w:rPr>
                <w:sz w:val="18"/>
                <w:szCs w:val="18"/>
                <w:lang w:val="fr-FR"/>
              </w:rPr>
              <w:t>2.1</w:t>
            </w:r>
          </w:p>
        </w:tc>
        <w:tc>
          <w:tcPr>
            <w:tcW w:w="567" w:type="dxa"/>
            <w:tcBorders>
              <w:top w:val="single" w:sz="4" w:space="0" w:color="auto"/>
              <w:left w:val="single" w:sz="4" w:space="0" w:color="auto"/>
              <w:bottom w:val="single" w:sz="4" w:space="0" w:color="auto"/>
              <w:right w:val="single" w:sz="4" w:space="0" w:color="auto"/>
            </w:tcBorders>
            <w:hideMark/>
          </w:tcPr>
          <w:p w14:paraId="2E542252" w14:textId="77777777" w:rsidR="00347226" w:rsidRPr="00024A4A" w:rsidRDefault="00347226" w:rsidP="00F40D28">
            <w:pPr>
              <w:keepNext/>
              <w:keepLines/>
              <w:suppressAutoHyphens w:val="0"/>
              <w:spacing w:after="40"/>
              <w:ind w:right="17"/>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14:paraId="6CB56EB7" w14:textId="77777777" w:rsidR="00347226" w:rsidRPr="00024A4A" w:rsidRDefault="00347226" w:rsidP="00F40D28">
            <w:pPr>
              <w:keepNext/>
              <w:keepLines/>
              <w:suppressAutoHyphens w:val="0"/>
              <w:spacing w:after="40"/>
              <w:ind w:right="17"/>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tcPr>
          <w:p w14:paraId="5576BD1E" w14:textId="02EB6B28" w:rsidR="00347226" w:rsidRPr="00024A4A" w:rsidRDefault="00347226" w:rsidP="00821F50">
            <w:pPr>
              <w:keepNext/>
              <w:keepLines/>
              <w:suppressAutoHyphens w:val="0"/>
              <w:spacing w:after="40"/>
              <w:ind w:right="17"/>
              <w:jc w:val="center"/>
              <w:rPr>
                <w:sz w:val="18"/>
                <w:szCs w:val="18"/>
              </w:rPr>
            </w:pPr>
            <w:r w:rsidRPr="00024A4A">
              <w:rPr>
                <w:sz w:val="18"/>
                <w:szCs w:val="18"/>
                <w:lang w:val="fr-FR"/>
              </w:rPr>
              <w:t>291</w:t>
            </w:r>
          </w:p>
        </w:tc>
        <w:tc>
          <w:tcPr>
            <w:tcW w:w="426" w:type="dxa"/>
            <w:tcBorders>
              <w:top w:val="single" w:sz="4" w:space="0" w:color="auto"/>
              <w:left w:val="single" w:sz="4" w:space="0" w:color="auto"/>
              <w:bottom w:val="single" w:sz="4" w:space="0" w:color="auto"/>
              <w:right w:val="single" w:sz="4" w:space="0" w:color="auto"/>
            </w:tcBorders>
            <w:hideMark/>
          </w:tcPr>
          <w:p w14:paraId="4741FF44" w14:textId="77777777" w:rsidR="00347226" w:rsidRPr="00024A4A" w:rsidRDefault="00347226" w:rsidP="00F40D28">
            <w:pPr>
              <w:keepNext/>
              <w:keepLines/>
              <w:suppressAutoHyphens w:val="0"/>
              <w:spacing w:after="40"/>
              <w:ind w:right="17"/>
              <w:jc w:val="center"/>
              <w:rPr>
                <w:sz w:val="18"/>
                <w:szCs w:val="18"/>
              </w:rPr>
            </w:pPr>
            <w:r w:rsidRPr="00024A4A">
              <w:rPr>
                <w:sz w:val="18"/>
                <w:szCs w:val="18"/>
                <w:lang w:val="fr-FR"/>
              </w:rPr>
              <w:t>0</w:t>
            </w:r>
          </w:p>
        </w:tc>
        <w:tc>
          <w:tcPr>
            <w:tcW w:w="425" w:type="dxa"/>
            <w:tcBorders>
              <w:top w:val="single" w:sz="4" w:space="0" w:color="auto"/>
              <w:left w:val="single" w:sz="4" w:space="0" w:color="auto"/>
              <w:bottom w:val="single" w:sz="4" w:space="0" w:color="auto"/>
              <w:right w:val="single" w:sz="4" w:space="0" w:color="auto"/>
            </w:tcBorders>
            <w:hideMark/>
          </w:tcPr>
          <w:p w14:paraId="49EAA599" w14:textId="77777777" w:rsidR="00347226" w:rsidRPr="00024A4A" w:rsidRDefault="00347226" w:rsidP="00F40D28">
            <w:pPr>
              <w:keepNext/>
              <w:keepLines/>
              <w:suppressAutoHyphens w:val="0"/>
              <w:spacing w:after="40"/>
              <w:ind w:right="17"/>
              <w:jc w:val="center"/>
              <w:rPr>
                <w:sz w:val="18"/>
                <w:szCs w:val="18"/>
              </w:rPr>
            </w:pPr>
            <w:r w:rsidRPr="00024A4A">
              <w:rPr>
                <w:sz w:val="18"/>
                <w:szCs w:val="18"/>
                <w:lang w:val="fr-FR"/>
              </w:rPr>
              <w:t>E0</w:t>
            </w:r>
          </w:p>
        </w:tc>
        <w:tc>
          <w:tcPr>
            <w:tcW w:w="709" w:type="dxa"/>
            <w:tcBorders>
              <w:top w:val="single" w:sz="4" w:space="0" w:color="auto"/>
              <w:left w:val="single" w:sz="4" w:space="0" w:color="auto"/>
              <w:bottom w:val="single" w:sz="4" w:space="0" w:color="auto"/>
              <w:right w:val="single" w:sz="4" w:space="0" w:color="auto"/>
            </w:tcBorders>
            <w:hideMark/>
          </w:tcPr>
          <w:p w14:paraId="49DFCCE0" w14:textId="77777777" w:rsidR="00347226" w:rsidRPr="00024A4A" w:rsidRDefault="00347226" w:rsidP="00F40D28">
            <w:pPr>
              <w:keepNext/>
              <w:keepLines/>
              <w:suppressAutoHyphens w:val="0"/>
              <w:spacing w:after="40"/>
              <w:ind w:right="17"/>
              <w:jc w:val="center"/>
              <w:rPr>
                <w:sz w:val="18"/>
                <w:szCs w:val="18"/>
              </w:rPr>
            </w:pPr>
            <w:r w:rsidRPr="00024A4A">
              <w:rPr>
                <w:sz w:val="18"/>
                <w:szCs w:val="18"/>
                <w:lang w:val="fr-FR"/>
              </w:rPr>
              <w:t>P003</w:t>
            </w:r>
          </w:p>
        </w:tc>
        <w:tc>
          <w:tcPr>
            <w:tcW w:w="850" w:type="dxa"/>
            <w:tcBorders>
              <w:top w:val="single" w:sz="4" w:space="0" w:color="auto"/>
              <w:left w:val="single" w:sz="4" w:space="0" w:color="auto"/>
              <w:bottom w:val="single" w:sz="4" w:space="0" w:color="auto"/>
              <w:right w:val="single" w:sz="4" w:space="0" w:color="auto"/>
            </w:tcBorders>
          </w:tcPr>
          <w:p w14:paraId="29C3959A" w14:textId="77777777" w:rsidR="00347226" w:rsidRPr="00024A4A" w:rsidRDefault="00347226" w:rsidP="00F40D28">
            <w:pPr>
              <w:keepNext/>
              <w:keepLines/>
              <w:suppressAutoHyphens w:val="0"/>
              <w:spacing w:after="40"/>
              <w:ind w:right="17"/>
              <w:jc w:val="center"/>
              <w:rPr>
                <w:sz w:val="18"/>
                <w:szCs w:val="18"/>
              </w:rPr>
            </w:pPr>
            <w:r w:rsidRPr="00024A4A">
              <w:rPr>
                <w:sz w:val="18"/>
                <w:szCs w:val="18"/>
                <w:lang w:val="fr-FR"/>
              </w:rPr>
              <w:t>PP32</w:t>
            </w:r>
          </w:p>
        </w:tc>
        <w:tc>
          <w:tcPr>
            <w:tcW w:w="851" w:type="dxa"/>
            <w:tcBorders>
              <w:top w:val="single" w:sz="4" w:space="0" w:color="auto"/>
              <w:left w:val="single" w:sz="4" w:space="0" w:color="auto"/>
              <w:bottom w:val="single" w:sz="4" w:space="0" w:color="auto"/>
              <w:right w:val="single" w:sz="4" w:space="0" w:color="auto"/>
            </w:tcBorders>
            <w:hideMark/>
          </w:tcPr>
          <w:p w14:paraId="4F4F01D2" w14:textId="77777777" w:rsidR="00347226" w:rsidRPr="00024A4A" w:rsidRDefault="00347226" w:rsidP="00F40D28">
            <w:pPr>
              <w:keepNext/>
              <w:keepLines/>
              <w:suppressAutoHyphens w:val="0"/>
              <w:spacing w:after="40"/>
              <w:ind w:right="17"/>
              <w:jc w:val="center"/>
              <w:rPr>
                <w:sz w:val="18"/>
                <w:szCs w:val="18"/>
                <w:u w:val="single"/>
              </w:rPr>
            </w:pPr>
          </w:p>
        </w:tc>
        <w:tc>
          <w:tcPr>
            <w:tcW w:w="708" w:type="dxa"/>
            <w:tcBorders>
              <w:top w:val="single" w:sz="4" w:space="0" w:color="auto"/>
              <w:left w:val="single" w:sz="4" w:space="0" w:color="auto"/>
              <w:bottom w:val="single" w:sz="4" w:space="0" w:color="auto"/>
              <w:right w:val="single" w:sz="4" w:space="0" w:color="auto"/>
            </w:tcBorders>
            <w:hideMark/>
          </w:tcPr>
          <w:p w14:paraId="2505BD11" w14:textId="77777777" w:rsidR="00347226" w:rsidRPr="00024A4A" w:rsidRDefault="00347226" w:rsidP="00F40D28">
            <w:pPr>
              <w:keepNext/>
              <w:keepLines/>
              <w:suppressAutoHyphens w:val="0"/>
              <w:spacing w:after="40"/>
              <w:ind w:right="17"/>
              <w:jc w:val="center"/>
              <w:rPr>
                <w:sz w:val="18"/>
                <w:szCs w:val="18"/>
                <w:u w:val="single"/>
              </w:rPr>
            </w:pPr>
          </w:p>
        </w:tc>
      </w:tr>
    </w:tbl>
    <w:p w14:paraId="075E5A73" w14:textId="77777777" w:rsidR="00347226" w:rsidRDefault="00347226" w:rsidP="00347226">
      <w:pPr>
        <w:pStyle w:val="SingleTxtG"/>
        <w:keepNext/>
        <w:keepLines/>
      </w:pPr>
    </w:p>
    <w:p w14:paraId="49C0B4F5" w14:textId="77777777" w:rsidR="00347226" w:rsidRPr="00897FAD" w:rsidRDefault="00347226" w:rsidP="00347226">
      <w:pPr>
        <w:pStyle w:val="SingleTxtG"/>
        <w:keepNext/>
        <w:keepLines/>
        <w:rPr>
          <w:lang w:val="fr-FR"/>
        </w:rPr>
      </w:pPr>
      <w:r>
        <w:rPr>
          <w:lang w:val="fr-FR"/>
        </w:rPr>
        <w:t>12.</w:t>
      </w:r>
      <w:r>
        <w:rPr>
          <w:lang w:val="fr-FR"/>
        </w:rPr>
        <w:tab/>
        <w:t xml:space="preserve">Modifier les dispositions spéciales 119 et 291 du chapitre 3.3 comme suit (les modifications qu’il est proposé d’apporter au texte actuel figurent en caractères </w:t>
      </w:r>
      <w:r>
        <w:rPr>
          <w:u w:val="single"/>
          <w:lang w:val="fr-FR"/>
        </w:rPr>
        <w:t>soulignés</w:t>
      </w:r>
      <w:r>
        <w:rPr>
          <w:lang w:val="fr-FR"/>
        </w:rPr>
        <w:t xml:space="preserve"> pour les ajouts et </w:t>
      </w:r>
      <w:r>
        <w:rPr>
          <w:strike/>
          <w:lang w:val="fr-FR"/>
        </w:rPr>
        <w:t xml:space="preserve">biffés </w:t>
      </w:r>
      <w:r>
        <w:rPr>
          <w:lang w:val="fr-FR"/>
        </w:rPr>
        <w:t>pour les suppressions) :</w:t>
      </w:r>
    </w:p>
    <w:p w14:paraId="00EB0A47" w14:textId="77777777" w:rsidR="00347226" w:rsidRPr="00624634" w:rsidRDefault="00347226" w:rsidP="00347226">
      <w:pPr>
        <w:pStyle w:val="SingleTxtG"/>
        <w:keepNext/>
        <w:keepLines/>
        <w:ind w:left="1701"/>
        <w:rPr>
          <w:u w:val="single"/>
          <w:lang w:val="fr-FR"/>
        </w:rPr>
      </w:pPr>
      <w:r>
        <w:rPr>
          <w:lang w:val="fr-FR"/>
        </w:rPr>
        <w:t>« 119</w:t>
      </w:r>
      <w:r>
        <w:rPr>
          <w:lang w:val="fr-FR"/>
        </w:rPr>
        <w:tab/>
        <w:t xml:space="preserve">Les machines frigorifiques comprennent les machines ou autres appareils conçus spécifiquement en vue de garder des aliments ou d’autres produits à basse température, dans un compartiment interne, ainsi que les unités de conditionnement d’air. </w:t>
      </w:r>
      <w:r>
        <w:rPr>
          <w:u w:val="single"/>
          <w:lang w:val="fr-FR"/>
        </w:rPr>
        <w:t>Les dispositifs de chauffage comprennent les machines ou autres appareils conçus spécifiquement en vue de chauffer.</w:t>
      </w:r>
      <w:r>
        <w:rPr>
          <w:lang w:val="fr-FR"/>
        </w:rPr>
        <w:t xml:space="preserve"> Les machines frigorifiques </w:t>
      </w:r>
      <w:r>
        <w:rPr>
          <w:u w:val="single"/>
          <w:lang w:val="fr-FR"/>
        </w:rPr>
        <w:t xml:space="preserve">ou les dispositifs de chauffage </w:t>
      </w:r>
      <w:r>
        <w:rPr>
          <w:lang w:val="fr-FR"/>
        </w:rPr>
        <w:t xml:space="preserve">et </w:t>
      </w:r>
      <w:proofErr w:type="spellStart"/>
      <w:r>
        <w:rPr>
          <w:strike/>
          <w:lang w:val="fr-FR"/>
        </w:rPr>
        <w:t>les</w:t>
      </w:r>
      <w:r>
        <w:rPr>
          <w:u w:val="single"/>
          <w:lang w:val="fr-FR"/>
        </w:rPr>
        <w:t>leurs</w:t>
      </w:r>
      <w:proofErr w:type="spellEnd"/>
      <w:r>
        <w:rPr>
          <w:lang w:val="fr-FR"/>
        </w:rPr>
        <w:t xml:space="preserve"> éléments </w:t>
      </w:r>
      <w:r>
        <w:rPr>
          <w:strike/>
          <w:lang w:val="fr-FR"/>
        </w:rPr>
        <w:t>de machines frigorifiques</w:t>
      </w:r>
      <w:r>
        <w:rPr>
          <w:lang w:val="fr-FR"/>
        </w:rPr>
        <w:t xml:space="preserve"> ne sont pas soumis au présent Règlement s’ils contiennent moins de 12 kg d’un gaz de la division 2.2 ou moins de 12 l de solution d’ammoniac (No ONU 2672). </w:t>
      </w:r>
      <w:r w:rsidRPr="00624634">
        <w:rPr>
          <w:u w:val="single"/>
          <w:lang w:val="fr-FR"/>
        </w:rPr>
        <w:t>Les machines ou autres appareils utilisés pour assurer des fonctions de chauffage et de refroidissement peuvent être transportés sous les rubriques MACHINES FRIGORIFIQUES ou DISPOSITIFS DE CHAUFFAGE.</w:t>
      </w:r>
    </w:p>
    <w:p w14:paraId="53F5EF27" w14:textId="77777777" w:rsidR="00347226" w:rsidRPr="00AB2105" w:rsidRDefault="00347226" w:rsidP="00347226">
      <w:pPr>
        <w:pStyle w:val="SingleTxtG"/>
        <w:ind w:left="1701"/>
        <w:rPr>
          <w:u w:val="single"/>
          <w:lang w:val="fr-FR"/>
        </w:rPr>
      </w:pPr>
      <w:r w:rsidRPr="00AB2105">
        <w:rPr>
          <w:u w:val="single"/>
          <w:lang w:val="fr-FR"/>
        </w:rPr>
        <w:t xml:space="preserve">NOTA : Les dispositifs de chauffage qui </w:t>
      </w:r>
      <w:r>
        <w:rPr>
          <w:u w:val="single"/>
          <w:lang w:val="fr-FR"/>
        </w:rPr>
        <w:t xml:space="preserve">étaient </w:t>
      </w:r>
      <w:r w:rsidRPr="00AB2105">
        <w:rPr>
          <w:u w:val="single"/>
          <w:lang w:val="fr-FR"/>
        </w:rPr>
        <w:t>jusqu</w:t>
      </w:r>
      <w:r>
        <w:rPr>
          <w:u w:val="single"/>
          <w:lang w:val="fr-FR"/>
        </w:rPr>
        <w:t>’</w:t>
      </w:r>
      <w:r w:rsidRPr="00AB2105">
        <w:rPr>
          <w:u w:val="single"/>
          <w:lang w:val="fr-FR"/>
        </w:rPr>
        <w:t>à présent transportés sous la  rubrique MACHINES FRIGORIFIQUES peuvent continuer à être transportés sous cette dénomination officielle de transport</w:t>
      </w:r>
      <w:r>
        <w:rPr>
          <w:u w:val="single"/>
          <w:lang w:val="fr-FR"/>
        </w:rPr>
        <w:t> »</w:t>
      </w:r>
      <w:r w:rsidRPr="00AB2105">
        <w:rPr>
          <w:u w:val="single"/>
          <w:lang w:val="fr-FR"/>
        </w:rPr>
        <w:t>.</w:t>
      </w:r>
    </w:p>
    <w:p w14:paraId="1CE48F33" w14:textId="77777777" w:rsidR="00347226" w:rsidRPr="001214BC" w:rsidRDefault="00347226" w:rsidP="00347226">
      <w:pPr>
        <w:pStyle w:val="SingleTxtG"/>
        <w:ind w:left="1701"/>
        <w:rPr>
          <w:lang w:val="fr-FR"/>
        </w:rPr>
      </w:pPr>
      <w:r>
        <w:rPr>
          <w:lang w:val="fr-FR"/>
        </w:rPr>
        <w:t>« 291</w:t>
      </w:r>
      <w:r>
        <w:rPr>
          <w:lang w:val="fr-FR"/>
        </w:rPr>
        <w:tab/>
        <w:t xml:space="preserve">Les gaz liquéfiés inflammables doivent être contenus dans des composants de la machine frigorifique qui doivent être conçus pour résister à au moins trois fois la pression de fonctionnement de la machine et doivent être soumis aux épreuves correspondantes. Les machines frigorifiques et les </w:t>
      </w:r>
      <w:r>
        <w:rPr>
          <w:u w:val="single"/>
          <w:lang w:val="fr-FR"/>
        </w:rPr>
        <w:t>dispositifs de chauffage</w:t>
      </w:r>
      <w:r w:rsidRPr="00821F50">
        <w:rPr>
          <w:lang w:val="fr-FR"/>
        </w:rPr>
        <w:t xml:space="preserve"> </w:t>
      </w:r>
      <w:r>
        <w:rPr>
          <w:lang w:val="fr-FR"/>
        </w:rPr>
        <w:t xml:space="preserve">doivent être conçus et construits pour contenir le gaz liquéfié et exclure le risque d’éclatement ou de fissuration des composants pressurisés dans les conditions normales de </w:t>
      </w:r>
      <w:r>
        <w:rPr>
          <w:lang w:val="fr-FR"/>
        </w:rPr>
        <w:lastRenderedPageBreak/>
        <w:t xml:space="preserve">transport. Lorsqu’ils contiennent moins de 12 kg de gaz, les machines frigorifiques </w:t>
      </w:r>
      <w:r>
        <w:rPr>
          <w:u w:val="single"/>
          <w:lang w:val="fr-FR"/>
        </w:rPr>
        <w:t xml:space="preserve">ou les dispositifs de chauffage </w:t>
      </w:r>
      <w:r>
        <w:rPr>
          <w:lang w:val="fr-FR"/>
        </w:rPr>
        <w:t xml:space="preserve">et </w:t>
      </w:r>
      <w:r>
        <w:rPr>
          <w:strike/>
          <w:lang w:val="fr-FR"/>
        </w:rPr>
        <w:t xml:space="preserve">les </w:t>
      </w:r>
      <w:r>
        <w:rPr>
          <w:u w:val="single"/>
          <w:lang w:val="fr-FR"/>
        </w:rPr>
        <w:t>leurs</w:t>
      </w:r>
      <w:r>
        <w:rPr>
          <w:lang w:val="fr-FR"/>
        </w:rPr>
        <w:t xml:space="preserve"> éléments </w:t>
      </w:r>
      <w:r>
        <w:rPr>
          <w:strike/>
          <w:lang w:val="fr-FR"/>
        </w:rPr>
        <w:t xml:space="preserve">de machines frigorifiques </w:t>
      </w:r>
      <w:r>
        <w:rPr>
          <w:lang w:val="fr-FR"/>
        </w:rPr>
        <w:t>ne sont pas soumis au présent Règlement. »</w:t>
      </w:r>
    </w:p>
    <w:p w14:paraId="07566947" w14:textId="77777777" w:rsidR="00347226" w:rsidRPr="00897FAD" w:rsidRDefault="00347226" w:rsidP="00347226">
      <w:pPr>
        <w:pStyle w:val="SingleTxtG"/>
        <w:rPr>
          <w:lang w:val="fr-FR"/>
        </w:rPr>
      </w:pPr>
      <w:r>
        <w:rPr>
          <w:lang w:val="fr-FR"/>
        </w:rPr>
        <w:t>13.</w:t>
      </w:r>
      <w:r>
        <w:rPr>
          <w:lang w:val="fr-FR"/>
        </w:rPr>
        <w:tab/>
        <w:t xml:space="preserve">Ajouter les nouvelles rubriques suivantes dans l’index alphabétique des matières et objets : </w:t>
      </w:r>
    </w:p>
    <w:tbl>
      <w:tblPr>
        <w:tblStyle w:val="Grilledutableau"/>
        <w:tblW w:w="7371" w:type="dxa"/>
        <w:tblInd w:w="1129" w:type="dxa"/>
        <w:tblLayout w:type="fixed"/>
        <w:tblCellMar>
          <w:left w:w="57" w:type="dxa"/>
          <w:right w:w="57" w:type="dxa"/>
        </w:tblCellMar>
        <w:tblLook w:val="04A0" w:firstRow="1" w:lastRow="0" w:firstColumn="1" w:lastColumn="0" w:noHBand="0" w:noVBand="1"/>
      </w:tblPr>
      <w:tblGrid>
        <w:gridCol w:w="5060"/>
        <w:gridCol w:w="1157"/>
        <w:gridCol w:w="1154"/>
      </w:tblGrid>
      <w:tr w:rsidR="00347226" w:rsidRPr="00CE5EDB" w14:paraId="4468D297" w14:textId="77777777" w:rsidTr="00821F50">
        <w:tc>
          <w:tcPr>
            <w:tcW w:w="3432" w:type="pct"/>
            <w:vAlign w:val="center"/>
          </w:tcPr>
          <w:p w14:paraId="191182CA" w14:textId="77777777" w:rsidR="00347226" w:rsidRPr="00897FAD" w:rsidRDefault="00347226" w:rsidP="00821F50">
            <w:pPr>
              <w:pStyle w:val="SingleTxtG"/>
              <w:keepNext/>
              <w:keepLines/>
              <w:spacing w:before="60" w:after="60" w:line="240" w:lineRule="auto"/>
              <w:ind w:left="0" w:right="0"/>
              <w:jc w:val="left"/>
              <w:rPr>
                <w:lang w:val="fr-FR"/>
              </w:rPr>
            </w:pPr>
            <w:r>
              <w:rPr>
                <w:lang w:val="fr-FR"/>
              </w:rPr>
              <w:t>DISPOSITIFS DE CHAUFFAGE contenant des gaz non inflammables et non toxiques ou des solutions d’ammoniac (No ONU 2672)</w:t>
            </w:r>
          </w:p>
        </w:tc>
        <w:tc>
          <w:tcPr>
            <w:tcW w:w="785" w:type="pct"/>
          </w:tcPr>
          <w:p w14:paraId="4FD3497C" w14:textId="77777777" w:rsidR="00347226" w:rsidRPr="00CE5EDB" w:rsidRDefault="00347226" w:rsidP="00821F50">
            <w:pPr>
              <w:pStyle w:val="SingleTxtG"/>
              <w:keepNext/>
              <w:keepLines/>
              <w:spacing w:before="60" w:after="60" w:line="240" w:lineRule="auto"/>
              <w:ind w:left="0" w:right="0"/>
              <w:jc w:val="left"/>
            </w:pPr>
            <w:r>
              <w:rPr>
                <w:lang w:val="fr-FR"/>
              </w:rPr>
              <w:t>2.2</w:t>
            </w:r>
          </w:p>
        </w:tc>
        <w:tc>
          <w:tcPr>
            <w:tcW w:w="783" w:type="pct"/>
          </w:tcPr>
          <w:p w14:paraId="77B70C89" w14:textId="77777777" w:rsidR="00347226" w:rsidRPr="00CE5EDB" w:rsidRDefault="00347226" w:rsidP="00821F50">
            <w:pPr>
              <w:pStyle w:val="SingleTxtG"/>
              <w:keepNext/>
              <w:keepLines/>
              <w:spacing w:before="60" w:after="60" w:line="240" w:lineRule="auto"/>
              <w:ind w:left="0" w:right="0"/>
              <w:jc w:val="left"/>
            </w:pPr>
            <w:r>
              <w:rPr>
                <w:lang w:val="fr-FR"/>
              </w:rPr>
              <w:t>2857</w:t>
            </w:r>
          </w:p>
        </w:tc>
      </w:tr>
      <w:tr w:rsidR="00347226" w:rsidRPr="00CE5EDB" w14:paraId="02D8BE95" w14:textId="77777777" w:rsidTr="00821F50">
        <w:tc>
          <w:tcPr>
            <w:tcW w:w="3432" w:type="pct"/>
            <w:vAlign w:val="center"/>
          </w:tcPr>
          <w:p w14:paraId="0463B736" w14:textId="77777777" w:rsidR="00347226" w:rsidRPr="00897FAD" w:rsidRDefault="00347226" w:rsidP="00821F50">
            <w:pPr>
              <w:pStyle w:val="SingleTxtG"/>
              <w:keepNext/>
              <w:keepLines/>
              <w:spacing w:before="60" w:after="60" w:line="240" w:lineRule="auto"/>
              <w:ind w:left="0" w:right="0"/>
              <w:jc w:val="left"/>
              <w:rPr>
                <w:lang w:val="fr-FR"/>
              </w:rPr>
            </w:pPr>
            <w:r>
              <w:rPr>
                <w:lang w:val="fr-FR"/>
              </w:rPr>
              <w:t>DISPOSITIFS DE CHAUFFAGE contenant un gaz liquéfié inflammable et non toxique</w:t>
            </w:r>
          </w:p>
        </w:tc>
        <w:tc>
          <w:tcPr>
            <w:tcW w:w="785" w:type="pct"/>
          </w:tcPr>
          <w:p w14:paraId="0078499E" w14:textId="77777777" w:rsidR="00347226" w:rsidRDefault="00347226" w:rsidP="00821F50">
            <w:pPr>
              <w:pStyle w:val="SingleTxtG"/>
              <w:keepNext/>
              <w:keepLines/>
              <w:spacing w:before="60" w:after="60" w:line="240" w:lineRule="auto"/>
              <w:ind w:left="0" w:right="0"/>
              <w:jc w:val="left"/>
            </w:pPr>
            <w:r>
              <w:rPr>
                <w:lang w:val="fr-FR"/>
              </w:rPr>
              <w:t>2.1</w:t>
            </w:r>
          </w:p>
        </w:tc>
        <w:tc>
          <w:tcPr>
            <w:tcW w:w="783" w:type="pct"/>
          </w:tcPr>
          <w:p w14:paraId="21ACF250" w14:textId="77777777" w:rsidR="00347226" w:rsidRDefault="00347226" w:rsidP="00821F50">
            <w:pPr>
              <w:pStyle w:val="SingleTxtG"/>
              <w:keepNext/>
              <w:keepLines/>
              <w:spacing w:before="60" w:after="60" w:line="240" w:lineRule="auto"/>
              <w:ind w:left="0" w:right="0"/>
              <w:jc w:val="left"/>
            </w:pPr>
            <w:r>
              <w:rPr>
                <w:lang w:val="fr-FR"/>
              </w:rPr>
              <w:t>3358</w:t>
            </w:r>
          </w:p>
        </w:tc>
      </w:tr>
    </w:tbl>
    <w:p w14:paraId="6C637B54" w14:textId="5D1E27EF" w:rsidR="00446FE5" w:rsidRPr="00347226" w:rsidRDefault="00347226" w:rsidP="00347226">
      <w:pPr>
        <w:pStyle w:val="SingleTxtG"/>
        <w:spacing w:before="240" w:after="0"/>
        <w:jc w:val="center"/>
        <w:rPr>
          <w:u w:val="single"/>
        </w:rPr>
      </w:pPr>
      <w:r>
        <w:rPr>
          <w:u w:val="single"/>
        </w:rPr>
        <w:tab/>
      </w:r>
      <w:r>
        <w:rPr>
          <w:u w:val="single"/>
        </w:rPr>
        <w:tab/>
      </w:r>
      <w:r>
        <w:rPr>
          <w:u w:val="single"/>
        </w:rPr>
        <w:tab/>
      </w:r>
    </w:p>
    <w:sectPr w:rsidR="00446FE5" w:rsidRPr="00347226" w:rsidSect="00347226">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72F8F" w14:textId="77777777" w:rsidR="00DF3C8A" w:rsidRDefault="00DF3C8A" w:rsidP="00F95C08">
      <w:pPr>
        <w:spacing w:line="240" w:lineRule="auto"/>
      </w:pPr>
    </w:p>
  </w:endnote>
  <w:endnote w:type="continuationSeparator" w:id="0">
    <w:p w14:paraId="79452B9F" w14:textId="77777777" w:rsidR="00DF3C8A" w:rsidRPr="00AC3823" w:rsidRDefault="00DF3C8A" w:rsidP="00AC3823">
      <w:pPr>
        <w:pStyle w:val="Pieddepage"/>
      </w:pPr>
    </w:p>
  </w:endnote>
  <w:endnote w:type="continuationNotice" w:id="1">
    <w:p w14:paraId="4BBBA1DC" w14:textId="77777777" w:rsidR="00DF3C8A" w:rsidRDefault="00DF3C8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A083C" w14:textId="4CC57320" w:rsidR="00347226" w:rsidRPr="00347226" w:rsidRDefault="00347226" w:rsidP="00347226">
    <w:pPr>
      <w:pStyle w:val="Pieddepage"/>
      <w:tabs>
        <w:tab w:val="right" w:pos="9638"/>
      </w:tabs>
    </w:pPr>
    <w:r w:rsidRPr="00347226">
      <w:rPr>
        <w:b/>
        <w:sz w:val="18"/>
      </w:rPr>
      <w:fldChar w:fldCharType="begin"/>
    </w:r>
    <w:r w:rsidRPr="00347226">
      <w:rPr>
        <w:b/>
        <w:sz w:val="18"/>
      </w:rPr>
      <w:instrText xml:space="preserve"> PAGE  \* MERGEFORMAT </w:instrText>
    </w:r>
    <w:r w:rsidRPr="00347226">
      <w:rPr>
        <w:b/>
        <w:sz w:val="18"/>
      </w:rPr>
      <w:fldChar w:fldCharType="separate"/>
    </w:r>
    <w:r w:rsidRPr="00347226">
      <w:rPr>
        <w:b/>
        <w:noProof/>
        <w:sz w:val="18"/>
      </w:rPr>
      <w:t>2</w:t>
    </w:r>
    <w:r w:rsidRPr="00347226">
      <w:rPr>
        <w:b/>
        <w:sz w:val="18"/>
      </w:rPr>
      <w:fldChar w:fldCharType="end"/>
    </w:r>
    <w:r>
      <w:rPr>
        <w:b/>
        <w:sz w:val="18"/>
      </w:rPr>
      <w:tab/>
    </w:r>
    <w:r>
      <w:t>GE.24-06562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F917D" w14:textId="2DDDA9B9" w:rsidR="00347226" w:rsidRPr="00347226" w:rsidRDefault="00347226" w:rsidP="00347226">
    <w:pPr>
      <w:pStyle w:val="Pieddepage"/>
      <w:tabs>
        <w:tab w:val="right" w:pos="9638"/>
      </w:tabs>
      <w:rPr>
        <w:b/>
        <w:sz w:val="18"/>
      </w:rPr>
    </w:pPr>
    <w:r>
      <w:t>GE.24-06562</w:t>
    </w:r>
    <w:r>
      <w:tab/>
    </w:r>
    <w:r w:rsidRPr="00347226">
      <w:rPr>
        <w:b/>
        <w:sz w:val="18"/>
      </w:rPr>
      <w:fldChar w:fldCharType="begin"/>
    </w:r>
    <w:r w:rsidRPr="00347226">
      <w:rPr>
        <w:b/>
        <w:sz w:val="18"/>
      </w:rPr>
      <w:instrText xml:space="preserve"> PAGE  \* MERGEFORMAT </w:instrText>
    </w:r>
    <w:r w:rsidRPr="00347226">
      <w:rPr>
        <w:b/>
        <w:sz w:val="18"/>
      </w:rPr>
      <w:fldChar w:fldCharType="separate"/>
    </w:r>
    <w:r w:rsidRPr="00347226">
      <w:rPr>
        <w:b/>
        <w:noProof/>
        <w:sz w:val="18"/>
      </w:rPr>
      <w:t>3</w:t>
    </w:r>
    <w:r w:rsidRPr="0034722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15E71" w14:textId="56F4EFDC" w:rsidR="0068456F" w:rsidRPr="00347226" w:rsidRDefault="00347226" w:rsidP="00347226">
    <w:pPr>
      <w:pStyle w:val="Pieddepage"/>
      <w:spacing w:before="120"/>
      <w:rPr>
        <w:sz w:val="20"/>
      </w:rPr>
    </w:pPr>
    <w:r>
      <w:rPr>
        <w:sz w:val="20"/>
      </w:rPr>
      <w:t>GE.</w:t>
    </w:r>
    <w:r w:rsidR="0068456F">
      <w:rPr>
        <w:noProof/>
        <w:lang w:eastAsia="fr-CH"/>
      </w:rPr>
      <w:drawing>
        <wp:anchor distT="0" distB="0" distL="114300" distR="114300" simplePos="0" relativeHeight="251659264" behindDoc="0" locked="0" layoutInCell="1" allowOverlap="0" wp14:anchorId="3D8C5ABC" wp14:editId="30DBC2CB">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24-06562  (F)</w:t>
    </w:r>
    <w:r>
      <w:rPr>
        <w:noProof/>
        <w:sz w:val="20"/>
      </w:rPr>
      <w:drawing>
        <wp:anchor distT="0" distB="0" distL="114300" distR="114300" simplePos="0" relativeHeight="251660288" behindDoc="0" locked="0" layoutInCell="1" allowOverlap="1" wp14:anchorId="78A00DA8" wp14:editId="76F28882">
          <wp:simplePos x="0" y="0"/>
          <wp:positionH relativeFrom="margin">
            <wp:posOffset>5489575</wp:posOffset>
          </wp:positionH>
          <wp:positionV relativeFrom="margin">
            <wp:posOffset>8891905</wp:posOffset>
          </wp:positionV>
          <wp:extent cx="628650" cy="628650"/>
          <wp:effectExtent l="0" t="0" r="0" b="0"/>
          <wp:wrapNone/>
          <wp:docPr id="42373857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260424    290424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9991F" w14:textId="77777777" w:rsidR="00DF3C8A" w:rsidRPr="00AC3823" w:rsidRDefault="00DF3C8A" w:rsidP="00AC3823">
      <w:pPr>
        <w:pStyle w:val="Pieddepage"/>
        <w:tabs>
          <w:tab w:val="right" w:pos="2155"/>
        </w:tabs>
        <w:spacing w:after="80" w:line="240" w:lineRule="atLeast"/>
        <w:ind w:left="680"/>
        <w:rPr>
          <w:u w:val="single"/>
        </w:rPr>
      </w:pPr>
      <w:r>
        <w:rPr>
          <w:u w:val="single"/>
        </w:rPr>
        <w:tab/>
      </w:r>
    </w:p>
  </w:footnote>
  <w:footnote w:type="continuationSeparator" w:id="0">
    <w:p w14:paraId="31E33E6D" w14:textId="77777777" w:rsidR="00DF3C8A" w:rsidRPr="00AC3823" w:rsidRDefault="00DF3C8A" w:rsidP="00AC3823">
      <w:pPr>
        <w:pStyle w:val="Pieddepage"/>
        <w:tabs>
          <w:tab w:val="right" w:pos="2155"/>
        </w:tabs>
        <w:spacing w:after="80" w:line="240" w:lineRule="atLeast"/>
        <w:ind w:left="680"/>
        <w:rPr>
          <w:u w:val="single"/>
        </w:rPr>
      </w:pPr>
      <w:r>
        <w:rPr>
          <w:u w:val="single"/>
        </w:rPr>
        <w:tab/>
      </w:r>
    </w:p>
  </w:footnote>
  <w:footnote w:type="continuationNotice" w:id="1">
    <w:p w14:paraId="77F268C0" w14:textId="77777777" w:rsidR="00DF3C8A" w:rsidRPr="00AC3823" w:rsidRDefault="00DF3C8A">
      <w:pPr>
        <w:spacing w:line="240" w:lineRule="auto"/>
        <w:rPr>
          <w:sz w:val="2"/>
          <w:szCs w:val="2"/>
        </w:rPr>
      </w:pPr>
    </w:p>
  </w:footnote>
  <w:footnote w:id="2">
    <w:p w14:paraId="50141F1A" w14:textId="77777777" w:rsidR="00347226" w:rsidRPr="00854088" w:rsidRDefault="00347226" w:rsidP="00347226">
      <w:pPr>
        <w:pStyle w:val="Notedebasdepage"/>
      </w:pPr>
      <w:r>
        <w:rPr>
          <w:lang w:val="fr-FR"/>
        </w:rPr>
        <w:tab/>
        <w:t>*</w:t>
      </w:r>
      <w:r>
        <w:rPr>
          <w:lang w:val="fr-FR"/>
        </w:rPr>
        <w:tab/>
        <w:t>A/78/6 (Sect. 20), tableau 20.5.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EB38E" w14:textId="1497B343" w:rsidR="00347226" w:rsidRPr="00347226" w:rsidRDefault="00347226">
    <w:pPr>
      <w:pStyle w:val="En-tte"/>
    </w:pPr>
    <w:fldSimple w:instr=" TITLE  \* MERGEFORMAT ">
      <w:r>
        <w:t>ST/SG/AC.10/C.3/2024/27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F300D" w14:textId="22A9C8E4" w:rsidR="00347226" w:rsidRPr="00347226" w:rsidRDefault="00347226" w:rsidP="00347226">
    <w:pPr>
      <w:pStyle w:val="En-tte"/>
      <w:jc w:val="right"/>
    </w:pPr>
    <w:fldSimple w:instr=" TITLE  \* MERGEFORMAT ">
      <w:r>
        <w:t>ST/SG/AC.10/C.3/2024/27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718432541">
    <w:abstractNumId w:val="12"/>
  </w:num>
  <w:num w:numId="2" w16cid:durableId="1786078813">
    <w:abstractNumId w:val="11"/>
  </w:num>
  <w:num w:numId="3" w16cid:durableId="699938469">
    <w:abstractNumId w:val="10"/>
  </w:num>
  <w:num w:numId="4" w16cid:durableId="1132403909">
    <w:abstractNumId w:val="8"/>
  </w:num>
  <w:num w:numId="5" w16cid:durableId="170338601">
    <w:abstractNumId w:val="3"/>
  </w:num>
  <w:num w:numId="6" w16cid:durableId="1854411994">
    <w:abstractNumId w:val="2"/>
  </w:num>
  <w:num w:numId="7" w16cid:durableId="115494579">
    <w:abstractNumId w:val="1"/>
  </w:num>
  <w:num w:numId="8" w16cid:durableId="1657680880">
    <w:abstractNumId w:val="0"/>
  </w:num>
  <w:num w:numId="9" w16cid:durableId="914365046">
    <w:abstractNumId w:val="9"/>
  </w:num>
  <w:num w:numId="10" w16cid:durableId="480316747">
    <w:abstractNumId w:val="7"/>
  </w:num>
  <w:num w:numId="11" w16cid:durableId="778334438">
    <w:abstractNumId w:val="6"/>
  </w:num>
  <w:num w:numId="12" w16cid:durableId="953950032">
    <w:abstractNumId w:val="5"/>
  </w:num>
  <w:num w:numId="13" w16cid:durableId="1868711049">
    <w:abstractNumId w:val="4"/>
  </w:num>
  <w:num w:numId="14" w16cid:durableId="1368406879">
    <w:abstractNumId w:val="12"/>
  </w:num>
  <w:num w:numId="15" w16cid:durableId="1816530799">
    <w:abstractNumId w:val="11"/>
  </w:num>
  <w:num w:numId="16" w16cid:durableId="196071949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C8A"/>
    <w:rsid w:val="00017F94"/>
    <w:rsid w:val="00023842"/>
    <w:rsid w:val="00024A4A"/>
    <w:rsid w:val="000305D3"/>
    <w:rsid w:val="000334F9"/>
    <w:rsid w:val="0007796D"/>
    <w:rsid w:val="000B7790"/>
    <w:rsid w:val="00111F2F"/>
    <w:rsid w:val="00132EA9"/>
    <w:rsid w:val="0014365E"/>
    <w:rsid w:val="00172E49"/>
    <w:rsid w:val="00176178"/>
    <w:rsid w:val="001F525A"/>
    <w:rsid w:val="00223272"/>
    <w:rsid w:val="0024779E"/>
    <w:rsid w:val="00283190"/>
    <w:rsid w:val="002832AC"/>
    <w:rsid w:val="002D7C93"/>
    <w:rsid w:val="00347226"/>
    <w:rsid w:val="00441C3B"/>
    <w:rsid w:val="00446FE5"/>
    <w:rsid w:val="00452396"/>
    <w:rsid w:val="004E468C"/>
    <w:rsid w:val="005505B7"/>
    <w:rsid w:val="00573BE5"/>
    <w:rsid w:val="00584DC4"/>
    <w:rsid w:val="00586ED3"/>
    <w:rsid w:val="00596AA9"/>
    <w:rsid w:val="0068456F"/>
    <w:rsid w:val="0071601D"/>
    <w:rsid w:val="007A62E6"/>
    <w:rsid w:val="007C7B2C"/>
    <w:rsid w:val="0080684C"/>
    <w:rsid w:val="008123E0"/>
    <w:rsid w:val="00821F50"/>
    <w:rsid w:val="00871C75"/>
    <w:rsid w:val="008776DC"/>
    <w:rsid w:val="008B40CD"/>
    <w:rsid w:val="0090030F"/>
    <w:rsid w:val="009705C8"/>
    <w:rsid w:val="009C1CF4"/>
    <w:rsid w:val="00A30353"/>
    <w:rsid w:val="00A81281"/>
    <w:rsid w:val="00AC3823"/>
    <w:rsid w:val="00AE323C"/>
    <w:rsid w:val="00B00181"/>
    <w:rsid w:val="00B00B0D"/>
    <w:rsid w:val="00B765F7"/>
    <w:rsid w:val="00BA0CA9"/>
    <w:rsid w:val="00C02897"/>
    <w:rsid w:val="00D3439C"/>
    <w:rsid w:val="00DB1831"/>
    <w:rsid w:val="00DD3BFD"/>
    <w:rsid w:val="00DF3C8A"/>
    <w:rsid w:val="00DF6678"/>
    <w:rsid w:val="00EF2E22"/>
    <w:rsid w:val="00F01738"/>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25C565"/>
  <w15:docId w15:val="{130FC0F8-8C28-4A21-8B4E-B9EF04B73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584DC4"/>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584DC4"/>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584DC4"/>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584DC4"/>
    <w:pPr>
      <w:spacing w:line="240" w:lineRule="auto"/>
    </w:pPr>
    <w:rPr>
      <w:sz w:val="16"/>
    </w:rPr>
  </w:style>
  <w:style w:type="character" w:customStyle="1" w:styleId="PieddepageCar">
    <w:name w:val="Pied de page Car"/>
    <w:aliases w:val="3_G Car"/>
    <w:basedOn w:val="Policepardfaut"/>
    <w:link w:val="Pieddepage"/>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584DC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584DC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584DC4"/>
    <w:pPr>
      <w:tabs>
        <w:tab w:val="left" w:pos="1701"/>
        <w:tab w:val="left" w:pos="2268"/>
        <w:tab w:val="left" w:pos="2835"/>
      </w:tabs>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584DC4"/>
    <w:rPr>
      <w:rFonts w:ascii="Times New Roman" w:hAnsi="Times New Roman"/>
      <w:sz w:val="18"/>
      <w:vertAlign w:val="superscript"/>
      <w:lang w:val="fr-CH"/>
    </w:rPr>
  </w:style>
  <w:style w:type="character" w:styleId="Appeldenotedefin">
    <w:name w:val="endnote reference"/>
    <w:aliases w:val="1_G"/>
    <w:basedOn w:val="Appelnotedebasdep"/>
    <w:qFormat/>
    <w:rsid w:val="00584DC4"/>
    <w:rPr>
      <w:rFonts w:ascii="Times New Roman" w:hAnsi="Times New Roman"/>
      <w:sz w:val="18"/>
      <w:vertAlign w:val="superscript"/>
      <w:lang w:val="fr-CH"/>
    </w:rPr>
  </w:style>
  <w:style w:type="table" w:styleId="Grilledutableau">
    <w:name w:val="Table Grid"/>
    <w:basedOn w:val="Tableau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584DC4"/>
    <w:rPr>
      <w:color w:val="0000FF"/>
      <w:u w:val="none"/>
    </w:rPr>
  </w:style>
  <w:style w:type="character" w:styleId="Lienhypertextesuivivisit">
    <w:name w:val="FollowedHyperlink"/>
    <w:basedOn w:val="Policepardfaut"/>
    <w:unhideWhenUsed/>
    <w:rsid w:val="00584DC4"/>
    <w:rPr>
      <w:color w:val="0000FF"/>
      <w:u w:val="none"/>
    </w:rPr>
  </w:style>
  <w:style w:type="paragraph" w:styleId="Notedebasdepage">
    <w:name w:val="footnote text"/>
    <w:aliases w:val="5_G"/>
    <w:basedOn w:val="Normal"/>
    <w:link w:val="NotedebasdepageCar"/>
    <w:qFormat/>
    <w:rsid w:val="00584DC4"/>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584DC4"/>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584DC4"/>
  </w:style>
  <w:style w:type="character" w:customStyle="1" w:styleId="NotedefinCar">
    <w:name w:val="Note de fin Car"/>
    <w:aliases w:val="2_G Car"/>
    <w:basedOn w:val="Policepardfaut"/>
    <w:link w:val="Notedefin"/>
    <w:rsid w:val="00584DC4"/>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584DC4"/>
    <w:rPr>
      <w:rFonts w:ascii="Times New Roman" w:hAnsi="Times New Roman"/>
      <w:b/>
      <w:sz w:val="18"/>
      <w:lang w:val="fr-CH"/>
    </w:rPr>
  </w:style>
  <w:style w:type="character" w:customStyle="1" w:styleId="Titre1Car">
    <w:name w:val="Titre 1 Car"/>
    <w:aliases w:val="Table_G Car"/>
    <w:basedOn w:val="Policepardfaut"/>
    <w:link w:val="Titre1"/>
    <w:rsid w:val="00584DC4"/>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132EA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32EA9"/>
    <w:rPr>
      <w:rFonts w:ascii="Tahoma" w:hAnsi="Tahoma" w:cs="Tahoma"/>
      <w:sz w:val="16"/>
      <w:szCs w:val="16"/>
      <w:lang w:eastAsia="en-US"/>
    </w:rPr>
  </w:style>
  <w:style w:type="character" w:customStyle="1" w:styleId="HChGChar">
    <w:name w:val="_ H _Ch_G Char"/>
    <w:link w:val="HChG"/>
    <w:qFormat/>
    <w:locked/>
    <w:rsid w:val="00347226"/>
    <w:rPr>
      <w:rFonts w:ascii="Times New Roman" w:eastAsiaTheme="minorHAnsi" w:hAnsi="Times New Roman" w:cs="Times New Roman"/>
      <w:b/>
      <w:sz w:val="28"/>
      <w:szCs w:val="20"/>
      <w:lang w:eastAsia="en-US"/>
    </w:rPr>
  </w:style>
  <w:style w:type="character" w:customStyle="1" w:styleId="SingleTxtGChar">
    <w:name w:val="_ Single Txt_G Char"/>
    <w:link w:val="SingleTxtG"/>
    <w:qFormat/>
    <w:locked/>
    <w:rsid w:val="00347226"/>
    <w:rPr>
      <w:rFonts w:ascii="Times New Roman" w:eastAsiaTheme="minorHAnsi" w:hAnsi="Times New Roman" w:cs="Times New Roman"/>
      <w:sz w:val="20"/>
      <w:szCs w:val="20"/>
      <w:lang w:eastAsia="en-US"/>
    </w:rPr>
  </w:style>
  <w:style w:type="character" w:customStyle="1" w:styleId="H1GChar">
    <w:name w:val="_ H_1_G Char"/>
    <w:link w:val="H1G"/>
    <w:qFormat/>
    <w:locked/>
    <w:rsid w:val="00347226"/>
    <w:rPr>
      <w:rFonts w:ascii="Times New Roman" w:eastAsiaTheme="minorHAnsi" w:hAnsi="Times New Roman" w:cs="Times New Roman"/>
      <w:b/>
      <w:sz w:val="24"/>
      <w:szCs w:val="20"/>
      <w:lang w:eastAsia="en-US"/>
    </w:rPr>
  </w:style>
  <w:style w:type="table" w:customStyle="1" w:styleId="TableGrid1">
    <w:name w:val="Table Grid1"/>
    <w:basedOn w:val="TableauNormal"/>
    <w:uiPriority w:val="39"/>
    <w:rsid w:val="00347226"/>
    <w:pPr>
      <w:suppressAutoHyphens/>
      <w:spacing w:after="0" w:line="240" w:lineRule="atLeast"/>
    </w:pPr>
    <w:rPr>
      <w:rFonts w:ascii="Times New Roman" w:eastAsia="Calibri" w:hAnsi="Times New Roman" w:cs="Times New Roman"/>
      <w:sz w:val="20"/>
      <w:szCs w:val="20"/>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S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ée un document." ma:contentTypeScope="" ma:versionID="e18bef637d0f1ddca225288e0d432ec3">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a115814b681581b4d823fe6aeb4d21e0"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7298E9-04BD-4D41-A859-EDBBE51B24AA}"/>
</file>

<file path=customXml/itemProps2.xml><?xml version="1.0" encoding="utf-8"?>
<ds:datastoreItem xmlns:ds="http://schemas.openxmlformats.org/officeDocument/2006/customXml" ds:itemID="{F1CD33C0-B28F-4984-9D85-9410E8CD894B}"/>
</file>

<file path=docProps/app.xml><?xml version="1.0" encoding="utf-8"?>
<Properties xmlns="http://schemas.openxmlformats.org/officeDocument/2006/extended-properties" xmlns:vt="http://schemas.openxmlformats.org/officeDocument/2006/docPropsVTypes">
  <Template>ST.dotm</Template>
  <TotalTime>0</TotalTime>
  <Pages>4</Pages>
  <Words>1246</Words>
  <Characters>9547</Characters>
  <Application>Microsoft Office Word</Application>
  <DocSecurity>0</DocSecurity>
  <Lines>3182</Lines>
  <Paragraphs>899</Paragraphs>
  <ScaleCrop>false</ScaleCrop>
  <HeadingPairs>
    <vt:vector size="2" baseType="variant">
      <vt:variant>
        <vt:lpstr>Titre</vt:lpstr>
      </vt:variant>
      <vt:variant>
        <vt:i4>1</vt:i4>
      </vt:variant>
    </vt:vector>
  </HeadingPairs>
  <TitlesOfParts>
    <vt:vector size="1" baseType="lpstr">
      <vt:lpstr>ST/SG/AC.10/C.3/2024/27</vt:lpstr>
    </vt:vector>
  </TitlesOfParts>
  <Company>DCM</Company>
  <LinksUpToDate>false</LinksUpToDate>
  <CharactersWithSpaces>9894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ST/SG/AC.10/C.3/2024/27</dc:title>
  <dc:subject/>
  <dc:creator>Nathalie VITTOZ</dc:creator>
  <cp:keywords/>
  <cp:lastModifiedBy>Nathalie VITTOZ</cp:lastModifiedBy>
  <cp:revision>2</cp:revision>
  <cp:lastPrinted>2014-05-14T10:59:00Z</cp:lastPrinted>
  <dcterms:created xsi:type="dcterms:W3CDTF">2024-04-29T08:01:00Z</dcterms:created>
  <dcterms:modified xsi:type="dcterms:W3CDTF">2024-04-29T08:01:00Z</dcterms:modified>
</cp:coreProperties>
</file>