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3234CC30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1505B76" w14:textId="77777777" w:rsidR="00132EA9" w:rsidRPr="00DB58B5" w:rsidRDefault="00132EA9" w:rsidP="0089164C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2D18D4B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C263E68" w14:textId="063B35DE" w:rsidR="00132EA9" w:rsidRPr="00DB58B5" w:rsidRDefault="0089164C" w:rsidP="0089164C">
            <w:pPr>
              <w:jc w:val="right"/>
            </w:pPr>
            <w:r w:rsidRPr="0089164C">
              <w:rPr>
                <w:sz w:val="40"/>
              </w:rPr>
              <w:t>ST</w:t>
            </w:r>
            <w:r>
              <w:t>/SG/AC.10/C.3/2023/5</w:t>
            </w:r>
          </w:p>
        </w:tc>
      </w:tr>
      <w:tr w:rsidR="00132EA9" w:rsidRPr="00DB58B5" w14:paraId="06529375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E8A0DF4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C12CB72" wp14:editId="48138D2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1460C2E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F5594D" w14:textId="77777777" w:rsidR="00132EA9" w:rsidRDefault="0089164C" w:rsidP="00F01738">
            <w:pPr>
              <w:spacing w:before="240"/>
            </w:pPr>
            <w:r>
              <w:t>Distr. générale</w:t>
            </w:r>
          </w:p>
          <w:p w14:paraId="4F535677" w14:textId="77777777" w:rsidR="0089164C" w:rsidRDefault="0089164C" w:rsidP="0089164C">
            <w:pPr>
              <w:spacing w:line="240" w:lineRule="exact"/>
            </w:pPr>
            <w:r>
              <w:t>11 avril 2023</w:t>
            </w:r>
          </w:p>
          <w:p w14:paraId="1D563C5D" w14:textId="77777777" w:rsidR="0089164C" w:rsidRDefault="0089164C" w:rsidP="0089164C">
            <w:pPr>
              <w:spacing w:line="240" w:lineRule="exact"/>
            </w:pPr>
            <w:r>
              <w:t>Français</w:t>
            </w:r>
          </w:p>
          <w:p w14:paraId="774DFF93" w14:textId="626107B2" w:rsidR="0089164C" w:rsidRPr="00DB58B5" w:rsidRDefault="0089164C" w:rsidP="0089164C">
            <w:pPr>
              <w:spacing w:line="240" w:lineRule="exact"/>
            </w:pPr>
            <w:r>
              <w:t>Original : anglais</w:t>
            </w:r>
          </w:p>
        </w:tc>
      </w:tr>
    </w:tbl>
    <w:p w14:paraId="24A55B94" w14:textId="2B68E9C4" w:rsidR="0089164C" w:rsidRPr="0031470E" w:rsidRDefault="0089164C" w:rsidP="0089164C">
      <w:pPr>
        <w:spacing w:before="120"/>
        <w:rPr>
          <w:b/>
          <w:sz w:val="32"/>
          <w:szCs w:val="32"/>
          <w:lang w:val="fr-FR"/>
        </w:rPr>
      </w:pPr>
      <w:r w:rsidRPr="0031470E">
        <w:rPr>
          <w:b/>
          <w:bCs/>
          <w:sz w:val="24"/>
          <w:szCs w:val="24"/>
          <w:lang w:val="fr-FR"/>
        </w:rPr>
        <w:t>Comité d</w:t>
      </w:r>
      <w:r>
        <w:rPr>
          <w:b/>
          <w:bCs/>
          <w:sz w:val="24"/>
          <w:szCs w:val="24"/>
          <w:lang w:val="fr-FR"/>
        </w:rPr>
        <w:t>’</w:t>
      </w:r>
      <w:r w:rsidRPr="0031470E">
        <w:rPr>
          <w:b/>
          <w:bCs/>
          <w:sz w:val="24"/>
          <w:szCs w:val="24"/>
          <w:lang w:val="fr-FR"/>
        </w:rPr>
        <w:t xml:space="preserve">experts du transport des marchandises dangereuses </w:t>
      </w:r>
      <w:r w:rsidR="00184159">
        <w:rPr>
          <w:b/>
          <w:bCs/>
          <w:sz w:val="24"/>
          <w:szCs w:val="24"/>
          <w:lang w:val="fr-FR"/>
        </w:rPr>
        <w:br/>
      </w:r>
      <w:r w:rsidRPr="0031470E">
        <w:rPr>
          <w:b/>
          <w:bCs/>
          <w:sz w:val="24"/>
          <w:szCs w:val="24"/>
          <w:lang w:val="fr-FR"/>
        </w:rPr>
        <w:t xml:space="preserve">et du Système général harmonisé de classification </w:t>
      </w:r>
      <w:r w:rsidR="00184159">
        <w:rPr>
          <w:b/>
          <w:bCs/>
          <w:sz w:val="24"/>
          <w:szCs w:val="24"/>
          <w:lang w:val="fr-FR"/>
        </w:rPr>
        <w:br/>
      </w:r>
      <w:r w:rsidRPr="0031470E">
        <w:rPr>
          <w:b/>
          <w:bCs/>
          <w:sz w:val="24"/>
          <w:szCs w:val="24"/>
          <w:lang w:val="fr-FR"/>
        </w:rPr>
        <w:t>et d</w:t>
      </w:r>
      <w:r>
        <w:rPr>
          <w:b/>
          <w:bCs/>
          <w:sz w:val="24"/>
          <w:szCs w:val="24"/>
          <w:lang w:val="fr-FR"/>
        </w:rPr>
        <w:t>’</w:t>
      </w:r>
      <w:r w:rsidRPr="0031470E">
        <w:rPr>
          <w:b/>
          <w:bCs/>
          <w:sz w:val="24"/>
          <w:szCs w:val="24"/>
          <w:lang w:val="fr-FR"/>
        </w:rPr>
        <w:t>étiquetage des produits chimiques</w:t>
      </w:r>
    </w:p>
    <w:p w14:paraId="76B711BB" w14:textId="77777777" w:rsidR="0089164C" w:rsidRPr="00184159" w:rsidRDefault="0089164C" w:rsidP="0089164C">
      <w:pPr>
        <w:spacing w:before="120"/>
        <w:rPr>
          <w:b/>
          <w:color w:val="000000"/>
          <w:lang w:val="fr-FR"/>
        </w:rPr>
      </w:pPr>
      <w:r w:rsidRPr="00184159">
        <w:rPr>
          <w:b/>
          <w:bCs/>
          <w:lang w:val="fr-FR"/>
        </w:rPr>
        <w:t>Sous-Comité d’experts du transport des marchandises dangereuses</w:t>
      </w:r>
    </w:p>
    <w:p w14:paraId="68303262" w14:textId="77777777" w:rsidR="0089164C" w:rsidRPr="00184159" w:rsidRDefault="0089164C" w:rsidP="0089164C">
      <w:pPr>
        <w:spacing w:before="120"/>
        <w:rPr>
          <w:b/>
          <w:lang w:val="fr-FR"/>
        </w:rPr>
      </w:pPr>
      <w:r w:rsidRPr="00184159">
        <w:rPr>
          <w:b/>
          <w:bCs/>
          <w:lang w:val="fr-FR"/>
        </w:rPr>
        <w:t>Soixante-deuxième session</w:t>
      </w:r>
    </w:p>
    <w:p w14:paraId="1C09D8C2" w14:textId="77777777" w:rsidR="0089164C" w:rsidRPr="00184159" w:rsidRDefault="0089164C" w:rsidP="0089164C">
      <w:pPr>
        <w:rPr>
          <w:lang w:val="fr-FR"/>
        </w:rPr>
      </w:pPr>
      <w:r w:rsidRPr="00184159">
        <w:rPr>
          <w:lang w:val="fr-FR"/>
        </w:rPr>
        <w:t>Genève, 3-7 juillet 2023</w:t>
      </w:r>
    </w:p>
    <w:p w14:paraId="40CD4752" w14:textId="77777777" w:rsidR="0089164C" w:rsidRPr="0031470E" w:rsidRDefault="0089164C" w:rsidP="0089164C">
      <w:pPr>
        <w:rPr>
          <w:lang w:val="fr-FR"/>
        </w:rPr>
      </w:pPr>
      <w:r w:rsidRPr="0031470E">
        <w:rPr>
          <w:lang w:val="fr-FR"/>
        </w:rPr>
        <w:t>Point 3 de l</w:t>
      </w:r>
      <w:r>
        <w:rPr>
          <w:lang w:val="fr-FR"/>
        </w:rPr>
        <w:t>’</w:t>
      </w:r>
      <w:r w:rsidRPr="0031470E">
        <w:rPr>
          <w:lang w:val="fr-FR"/>
        </w:rPr>
        <w:t>ordre du jour provisoire</w:t>
      </w:r>
    </w:p>
    <w:p w14:paraId="1E35DB26" w14:textId="77777777" w:rsidR="0089164C" w:rsidRPr="0031470E" w:rsidRDefault="0089164C" w:rsidP="0089164C">
      <w:pPr>
        <w:rPr>
          <w:b/>
          <w:bCs/>
          <w:lang w:val="fr-FR"/>
        </w:rPr>
      </w:pPr>
      <w:r w:rsidRPr="0031470E">
        <w:rPr>
          <w:b/>
          <w:bCs/>
          <w:lang w:val="fr-FR"/>
        </w:rPr>
        <w:t>Inscription, classement et emballage</w:t>
      </w:r>
    </w:p>
    <w:p w14:paraId="132509CA" w14:textId="3EAB84EC" w:rsidR="0089164C" w:rsidRPr="0031470E" w:rsidRDefault="0089164C" w:rsidP="00184159">
      <w:pPr>
        <w:pStyle w:val="HCh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</w:r>
      <w:r w:rsidRPr="00184159">
        <w:t>Proposition</w:t>
      </w:r>
      <w:r w:rsidRPr="0031470E">
        <w:rPr>
          <w:lang w:val="fr-FR"/>
        </w:rPr>
        <w:t xml:space="preserve"> visant à ajouter la classe 8 en tant que danger subsidiaire pour les Nos</w:t>
      </w:r>
      <w:r w:rsidR="00184159">
        <w:rPr>
          <w:lang w:val="fr-FR"/>
        </w:rPr>
        <w:t> </w:t>
      </w:r>
      <w:r w:rsidRPr="0031470E">
        <w:rPr>
          <w:lang w:val="fr-FR"/>
        </w:rPr>
        <w:t>ONU 1040, 1041 et 3300</w:t>
      </w:r>
    </w:p>
    <w:p w14:paraId="0EF53AB7" w14:textId="1B11FFAC" w:rsidR="0089164C" w:rsidRPr="0031470E" w:rsidRDefault="0089164C" w:rsidP="00184159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Communication de l</w:t>
      </w:r>
      <w:r>
        <w:rPr>
          <w:lang w:val="fr-FR"/>
        </w:rPr>
        <w:t>’</w:t>
      </w:r>
      <w:r w:rsidRPr="0031470E">
        <w:rPr>
          <w:lang w:val="fr-FR"/>
        </w:rPr>
        <w:t>expert de l</w:t>
      </w:r>
      <w:r>
        <w:rPr>
          <w:lang w:val="fr-FR"/>
        </w:rPr>
        <w:t>’</w:t>
      </w:r>
      <w:r w:rsidRPr="0031470E">
        <w:rPr>
          <w:lang w:val="fr-FR"/>
        </w:rPr>
        <w:t>Allemagne</w:t>
      </w:r>
      <w:r w:rsidR="00184159" w:rsidRPr="00184159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70DA3806" w14:textId="77777777" w:rsidR="0089164C" w:rsidRPr="0031470E" w:rsidRDefault="0089164C" w:rsidP="00184159">
      <w:pPr>
        <w:pStyle w:val="HCh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</w:r>
      <w:r w:rsidRPr="00184159">
        <w:t>Introduction</w:t>
      </w:r>
    </w:p>
    <w:p w14:paraId="7EA42B32" w14:textId="7191CCAC" w:rsidR="0089164C" w:rsidRPr="00184159" w:rsidRDefault="0089164C" w:rsidP="00184159">
      <w:pPr>
        <w:pStyle w:val="SingleTxtG"/>
      </w:pPr>
      <w:r w:rsidRPr="0031470E">
        <w:rPr>
          <w:lang w:val="fr-FR"/>
        </w:rPr>
        <w:t>1.</w:t>
      </w:r>
      <w:r w:rsidRPr="0031470E">
        <w:rPr>
          <w:lang w:val="fr-FR"/>
        </w:rPr>
        <w:tab/>
      </w:r>
      <w:r w:rsidRPr="00184159">
        <w:t>Selon le Règlement type, le No ONU 1040 (OXYDE D’ÉTHYLÈNE, ou OXYDE D’ÉTHYLÈNE AVEC DE L’AZOTE jusqu’à une pression totale de 1</w:t>
      </w:r>
      <w:r w:rsidR="00184159">
        <w:t> </w:t>
      </w:r>
      <w:r w:rsidRPr="00184159">
        <w:t>MPa (10 bar) à 50</w:t>
      </w:r>
      <w:r w:rsidR="00184159">
        <w:t> </w:t>
      </w:r>
      <w:r w:rsidRPr="00184159">
        <w:t>°C) est classé dans la division 2.3 (gaz toxiques) et présente le danger subsidiaire 2.1 (inflammable).</w:t>
      </w:r>
    </w:p>
    <w:p w14:paraId="7B1A2874" w14:textId="6475AE12" w:rsidR="0089164C" w:rsidRPr="00184159" w:rsidRDefault="0089164C" w:rsidP="00184159">
      <w:pPr>
        <w:pStyle w:val="SingleTxtG"/>
      </w:pPr>
      <w:r w:rsidRPr="00184159">
        <w:t>2.</w:t>
      </w:r>
      <w:r w:rsidRPr="00184159">
        <w:tab/>
        <w:t>Une nouvelle classification harmonisée de l’oxyde d’éthylène présentant des propriétés corrosives, entrée en vigueur le 9</w:t>
      </w:r>
      <w:r w:rsidR="00184159">
        <w:t> </w:t>
      </w:r>
      <w:r w:rsidRPr="00184159">
        <w:t>septembre 2021, a été publiée dans le cadre de la quatorzième adaptation au progrès technique de l’annexe</w:t>
      </w:r>
      <w:r w:rsidR="00184159">
        <w:t> </w:t>
      </w:r>
      <w:r w:rsidRPr="00184159">
        <w:t>VI du règlement (CE) n</w:t>
      </w:r>
      <w:r w:rsidRPr="00184159">
        <w:rPr>
          <w:vertAlign w:val="superscript"/>
        </w:rPr>
        <w:t>o</w:t>
      </w:r>
      <w:r w:rsidRPr="00184159">
        <w:t> 1272/2008 du Parlement européen et du Conseil relatif à la classification, à l’étiquetage et à l’emballage des substances et des mélanges. Le classement dans la classe</w:t>
      </w:r>
      <w:r w:rsidR="00184159">
        <w:t> </w:t>
      </w:r>
      <w:r w:rsidRPr="00184159">
        <w:t>8 a été proposé dans le document informel INF.25 de la soixantième session du Sous-Comité d’experts.</w:t>
      </w:r>
    </w:p>
    <w:p w14:paraId="358EDDC2" w14:textId="5595DD38" w:rsidR="0089164C" w:rsidRPr="0031470E" w:rsidRDefault="0089164C" w:rsidP="00184159">
      <w:pPr>
        <w:pStyle w:val="SingleTxtG"/>
        <w:rPr>
          <w:lang w:val="fr-FR"/>
        </w:rPr>
      </w:pPr>
      <w:r w:rsidRPr="00184159">
        <w:t>3.</w:t>
      </w:r>
      <w:r w:rsidRPr="00184159">
        <w:tab/>
        <w:t>Après avoir pris connaissance des observations des Pays-Bas à la soixantième session du Sous-Comité d’experts, l’expert de l’Allemagne a présenté un document de travail (ST/SG/AC.10/C.3/2022/54) pour la soixante et unième session. Ce document portait également</w:t>
      </w:r>
      <w:r>
        <w:rPr>
          <w:lang w:val="fr-FR"/>
        </w:rPr>
        <w:t xml:space="preserve"> sur</w:t>
      </w:r>
      <w:r w:rsidRPr="0031470E">
        <w:rPr>
          <w:lang w:val="fr-FR"/>
        </w:rPr>
        <w:t xml:space="preserve"> le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>3300 OXYDE D</w:t>
      </w:r>
      <w:r>
        <w:rPr>
          <w:lang w:val="fr-FR"/>
        </w:rPr>
        <w:t>’</w:t>
      </w:r>
      <w:r w:rsidRPr="0031470E">
        <w:rPr>
          <w:lang w:val="fr-FR"/>
        </w:rPr>
        <w:t>ÉTHYLÈNE ET DIOXYDE DE CARBONE EN MÉLANGE contenant au plus 87</w:t>
      </w:r>
      <w:r w:rsidR="00184159">
        <w:rPr>
          <w:lang w:val="fr-FR"/>
        </w:rPr>
        <w:t> </w:t>
      </w:r>
      <w:r w:rsidRPr="0031470E">
        <w:rPr>
          <w:lang w:val="fr-FR"/>
        </w:rPr>
        <w:t>%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 xml:space="preserve">éthylène </w:t>
      </w:r>
      <w:r>
        <w:rPr>
          <w:lang w:val="fr-FR"/>
        </w:rPr>
        <w:t xml:space="preserve">et comprenait une </w:t>
      </w:r>
      <w:r w:rsidRPr="0031470E">
        <w:rPr>
          <w:lang w:val="fr-FR"/>
        </w:rPr>
        <w:t>formule de renseignements concernant les propriétés de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éthylène.</w:t>
      </w:r>
    </w:p>
    <w:p w14:paraId="44DE1971" w14:textId="5F43D166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4.</w:t>
      </w:r>
      <w:r w:rsidRPr="0031470E">
        <w:rPr>
          <w:lang w:val="fr-FR"/>
        </w:rPr>
        <w:tab/>
      </w:r>
      <w:r w:rsidRPr="00184159">
        <w:t>Ayant</w:t>
      </w:r>
      <w:r>
        <w:rPr>
          <w:lang w:val="fr-FR"/>
        </w:rPr>
        <w:t xml:space="preserve"> à l’esprit les</w:t>
      </w:r>
      <w:r w:rsidRPr="0031470E">
        <w:rPr>
          <w:lang w:val="fr-FR"/>
        </w:rPr>
        <w:t xml:space="preserve"> questions soulevées dans le cadre de la soixante et unième session du Sous-Comité, l</w:t>
      </w:r>
      <w:r>
        <w:rPr>
          <w:lang w:val="fr-FR"/>
        </w:rPr>
        <w:t>’</w:t>
      </w:r>
      <w:r w:rsidRPr="0031470E">
        <w:rPr>
          <w:lang w:val="fr-FR"/>
        </w:rPr>
        <w:t>expert de l</w:t>
      </w:r>
      <w:r>
        <w:rPr>
          <w:lang w:val="fr-FR"/>
        </w:rPr>
        <w:t>’</w:t>
      </w:r>
      <w:r w:rsidRPr="0031470E">
        <w:rPr>
          <w:lang w:val="fr-FR"/>
        </w:rPr>
        <w:t>Allemagne a élaboré une proposition actualisée dans laquelle il fournit des informations détaillées sur la corrosivité de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éthylène. Il est apparu clairement que les Nos</w:t>
      </w:r>
      <w:r w:rsidR="00184159">
        <w:rPr>
          <w:lang w:val="fr-FR"/>
        </w:rPr>
        <w:t> </w:t>
      </w:r>
      <w:r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1040 et 3300 </w:t>
      </w:r>
      <w:r>
        <w:rPr>
          <w:lang w:val="fr-FR"/>
        </w:rPr>
        <w:t xml:space="preserve">n’étaient </w:t>
      </w:r>
      <w:r w:rsidRPr="0031470E">
        <w:rPr>
          <w:lang w:val="fr-FR"/>
        </w:rPr>
        <w:t>pas les seuls à porter sur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éthylène. Compte tenu de l</w:t>
      </w:r>
      <w:r>
        <w:rPr>
          <w:lang w:val="fr-FR"/>
        </w:rPr>
        <w:t>’</w:t>
      </w:r>
      <w:r w:rsidRPr="0031470E">
        <w:rPr>
          <w:lang w:val="fr-FR"/>
        </w:rPr>
        <w:t>observation formulée par l</w:t>
      </w:r>
      <w:r>
        <w:rPr>
          <w:lang w:val="fr-FR"/>
        </w:rPr>
        <w:t>’</w:t>
      </w:r>
      <w:r w:rsidRPr="0031470E">
        <w:rPr>
          <w:lang w:val="fr-FR"/>
        </w:rPr>
        <w:t>expert de la Suède, la présente proposition s</w:t>
      </w:r>
      <w:r>
        <w:rPr>
          <w:lang w:val="fr-FR"/>
        </w:rPr>
        <w:t>’</w:t>
      </w:r>
      <w:r w:rsidRPr="0031470E">
        <w:rPr>
          <w:lang w:val="fr-FR"/>
        </w:rPr>
        <w:t>applique également au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1041 </w:t>
      </w:r>
      <w:r>
        <w:rPr>
          <w:lang w:val="fr-FR"/>
        </w:rPr>
        <w:t>(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ET DIOXYDE DE CARBONE EN MÉLANGE contenant plus de 9</w:t>
      </w:r>
      <w:r w:rsidR="00184159">
        <w:rPr>
          <w:lang w:val="fr-FR"/>
        </w:rPr>
        <w:t> </w:t>
      </w:r>
      <w:r w:rsidRPr="0031470E">
        <w:rPr>
          <w:lang w:val="fr-FR"/>
        </w:rPr>
        <w:t>% mais pas plus de 87</w:t>
      </w:r>
      <w:r w:rsidR="00184159">
        <w:rPr>
          <w:lang w:val="fr-FR"/>
        </w:rPr>
        <w:t> </w:t>
      </w:r>
      <w:r w:rsidRPr="0031470E">
        <w:rPr>
          <w:lang w:val="fr-FR"/>
        </w:rPr>
        <w:t>%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</w:t>
      </w:r>
      <w:r>
        <w:rPr>
          <w:lang w:val="fr-FR"/>
        </w:rPr>
        <w:t>)</w:t>
      </w:r>
      <w:r w:rsidRPr="0031470E">
        <w:rPr>
          <w:lang w:val="fr-FR"/>
        </w:rPr>
        <w:t>.</w:t>
      </w:r>
    </w:p>
    <w:p w14:paraId="1782E636" w14:textId="77777777" w:rsidR="0089164C" w:rsidRPr="0031470E" w:rsidRDefault="0089164C" w:rsidP="00184159">
      <w:pPr>
        <w:pStyle w:val="HChG"/>
        <w:rPr>
          <w:lang w:val="fr-FR"/>
        </w:rPr>
      </w:pPr>
      <w:r w:rsidRPr="0031470E">
        <w:rPr>
          <w:lang w:val="fr-FR"/>
        </w:rPr>
        <w:lastRenderedPageBreak/>
        <w:tab/>
      </w:r>
      <w:r w:rsidRPr="0031470E">
        <w:rPr>
          <w:lang w:val="fr-FR"/>
        </w:rPr>
        <w:tab/>
      </w:r>
      <w:r w:rsidRPr="0031470E">
        <w:rPr>
          <w:lang w:val="fr-FR"/>
        </w:rPr>
        <w:tab/>
        <w:t>Contexte</w:t>
      </w:r>
    </w:p>
    <w:p w14:paraId="13C65726" w14:textId="24063AC3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5.</w:t>
      </w:r>
      <w:r w:rsidRPr="0031470E">
        <w:rPr>
          <w:lang w:val="fr-FR"/>
        </w:rPr>
        <w:tab/>
        <w:t>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éthylène, dont le numéro CAS est 75-21-8, figure actuellement sous le numéro index 603-023-00-X dans l</w:t>
      </w:r>
      <w:r>
        <w:rPr>
          <w:lang w:val="fr-FR"/>
        </w:rPr>
        <w:t>’</w:t>
      </w:r>
      <w:r w:rsidRPr="0031470E">
        <w:rPr>
          <w:lang w:val="fr-FR"/>
        </w:rPr>
        <w:t>annexe</w:t>
      </w:r>
      <w:r w:rsidR="00184159">
        <w:rPr>
          <w:lang w:val="fr-FR"/>
        </w:rPr>
        <w:t> </w:t>
      </w:r>
      <w:r w:rsidRPr="0031470E">
        <w:rPr>
          <w:lang w:val="fr-FR"/>
        </w:rPr>
        <w:t>VI du règlement (CE) n</w:t>
      </w:r>
      <w:r w:rsidRPr="0031470E">
        <w:rPr>
          <w:vertAlign w:val="superscript"/>
          <w:lang w:val="fr-FR"/>
        </w:rPr>
        <w:t>o</w:t>
      </w:r>
      <w:r w:rsidRPr="0031470E">
        <w:rPr>
          <w:lang w:val="fr-FR"/>
        </w:rPr>
        <w:t> 1272/2008 relatif à la classification, à l</w:t>
      </w:r>
      <w:r>
        <w:rPr>
          <w:lang w:val="fr-FR"/>
        </w:rPr>
        <w:t>’</w:t>
      </w:r>
      <w:r w:rsidRPr="0031470E">
        <w:rPr>
          <w:lang w:val="fr-FR"/>
        </w:rPr>
        <w:t>étiquetage et à l</w:t>
      </w:r>
      <w:r>
        <w:rPr>
          <w:lang w:val="fr-FR"/>
        </w:rPr>
        <w:t>’</w:t>
      </w:r>
      <w:r w:rsidRPr="0031470E">
        <w:rPr>
          <w:lang w:val="fr-FR"/>
        </w:rPr>
        <w:t>emballage des substances et des mélanges, et est classé comme</w:t>
      </w:r>
      <w:r w:rsidR="00184159">
        <w:rPr>
          <w:lang w:val="fr-FR"/>
        </w:rPr>
        <w:t xml:space="preserve"> </w:t>
      </w:r>
      <w:r w:rsidRPr="0031470E">
        <w:rPr>
          <w:lang w:val="fr-FR"/>
        </w:rPr>
        <w:t>suit :</w:t>
      </w:r>
    </w:p>
    <w:p w14:paraId="3B0A02C1" w14:textId="77777777" w:rsidR="0089164C" w:rsidRPr="00BA5F8D" w:rsidRDefault="0089164C" w:rsidP="00184159">
      <w:pPr>
        <w:pStyle w:val="SingleTxtG"/>
        <w:ind w:left="1701"/>
        <w:rPr>
          <w:lang w:val="en-US"/>
        </w:rPr>
      </w:pPr>
      <w:r w:rsidRPr="00BA5F8D">
        <w:rPr>
          <w:lang w:val="en-US"/>
        </w:rPr>
        <w:t xml:space="preserve">Flam. Gas 1, H220 </w:t>
      </w:r>
    </w:p>
    <w:p w14:paraId="0A187790" w14:textId="77777777" w:rsidR="0089164C" w:rsidRPr="00BA5F8D" w:rsidRDefault="0089164C" w:rsidP="00184159">
      <w:pPr>
        <w:pStyle w:val="SingleTxtG"/>
        <w:ind w:left="1701"/>
        <w:rPr>
          <w:lang w:val="en-US"/>
        </w:rPr>
      </w:pPr>
      <w:r w:rsidRPr="00BA5F8D">
        <w:rPr>
          <w:lang w:val="en-US"/>
        </w:rPr>
        <w:t>Acute Tox. 3 (*), H331</w:t>
      </w:r>
    </w:p>
    <w:p w14:paraId="67AF93CB" w14:textId="77777777" w:rsidR="0089164C" w:rsidRPr="0031470E" w:rsidRDefault="0089164C" w:rsidP="00184159">
      <w:pPr>
        <w:pStyle w:val="SingleTxtG"/>
        <w:rPr>
          <w:lang w:val="fr-FR"/>
        </w:rPr>
      </w:pPr>
      <w:r w:rsidRPr="00184159">
        <w:t>Selon</w:t>
      </w:r>
      <w:r w:rsidRPr="0031470E">
        <w:rPr>
          <w:lang w:val="fr-FR"/>
        </w:rPr>
        <w:t xml:space="preserve"> le Règlement type, ce produit satisfait aux critères de classement en tant que marchandise dangereuse relevant de la division 2.3 de la classe 2 et assortie du danger subsidiaire 2.1.</w:t>
      </w:r>
    </w:p>
    <w:p w14:paraId="55C5D3B2" w14:textId="77777777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6.</w:t>
      </w:r>
      <w:r w:rsidRPr="0031470E">
        <w:rPr>
          <w:lang w:val="fr-FR"/>
        </w:rPr>
        <w:tab/>
        <w:t>Avec l</w:t>
      </w:r>
      <w:r>
        <w:rPr>
          <w:lang w:val="fr-FR"/>
        </w:rPr>
        <w:t>’</w:t>
      </w:r>
      <w:r w:rsidRPr="0031470E">
        <w:rPr>
          <w:lang w:val="fr-FR"/>
        </w:rPr>
        <w:t xml:space="preserve">entrée en vigueur de la quatorzième adaptation au progrès technique, les modifications suivantes ont été ajoutées (en </w:t>
      </w:r>
      <w:r w:rsidRPr="0031470E">
        <w:rPr>
          <w:i/>
          <w:iCs/>
          <w:lang w:val="fr-FR"/>
        </w:rPr>
        <w:t>italique</w:t>
      </w:r>
      <w:r w:rsidRPr="0031470E">
        <w:rPr>
          <w:lang w:val="fr-FR"/>
        </w:rPr>
        <w:t>) concernant le classement de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 :</w:t>
      </w:r>
    </w:p>
    <w:p w14:paraId="215744A8" w14:textId="77777777" w:rsidR="0089164C" w:rsidRPr="0031470E" w:rsidRDefault="0089164C" w:rsidP="0089164C">
      <w:pPr>
        <w:pStyle w:val="SingleTxtG"/>
        <w:ind w:left="1701"/>
        <w:rPr>
          <w:u w:val="single"/>
          <w:lang w:val="fr-FR"/>
        </w:rPr>
      </w:pPr>
      <w:r w:rsidRPr="0031470E">
        <w:rPr>
          <w:lang w:val="fr-FR"/>
        </w:rPr>
        <w:t>Acute Tox. 3, H331</w:t>
      </w:r>
    </w:p>
    <w:p w14:paraId="2BF1B793" w14:textId="77777777" w:rsidR="0089164C" w:rsidRPr="0031470E" w:rsidRDefault="0089164C" w:rsidP="0089164C">
      <w:pPr>
        <w:pStyle w:val="SingleTxtG"/>
        <w:ind w:left="1701"/>
        <w:rPr>
          <w:i/>
          <w:lang w:val="fr-FR"/>
        </w:rPr>
      </w:pPr>
      <w:r w:rsidRPr="0031470E">
        <w:rPr>
          <w:i/>
          <w:iCs/>
          <w:lang w:val="fr-FR"/>
        </w:rPr>
        <w:t>Acute Tox. 3,</w:t>
      </w:r>
      <w:r w:rsidRPr="0031470E">
        <w:rPr>
          <w:lang w:val="fr-FR"/>
        </w:rPr>
        <w:t xml:space="preserve"> </w:t>
      </w:r>
      <w:r w:rsidRPr="0031470E">
        <w:rPr>
          <w:i/>
          <w:iCs/>
          <w:lang w:val="fr-FR"/>
        </w:rPr>
        <w:t>H301</w:t>
      </w:r>
    </w:p>
    <w:p w14:paraId="731C545F" w14:textId="77777777" w:rsidR="0089164C" w:rsidRPr="0031470E" w:rsidRDefault="0089164C" w:rsidP="0089164C">
      <w:pPr>
        <w:pStyle w:val="SingleTxtG"/>
        <w:ind w:left="1701"/>
        <w:rPr>
          <w:i/>
          <w:lang w:val="fr-FR"/>
        </w:rPr>
      </w:pPr>
      <w:r w:rsidRPr="0031470E">
        <w:rPr>
          <w:i/>
          <w:iCs/>
          <w:lang w:val="fr-FR"/>
        </w:rPr>
        <w:t>Skin Corr. 1, H314</w:t>
      </w:r>
    </w:p>
    <w:p w14:paraId="20DDB5C7" w14:textId="77777777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7.</w:t>
      </w:r>
      <w:r w:rsidRPr="0031470E">
        <w:rPr>
          <w:lang w:val="fr-FR"/>
        </w:rPr>
        <w:tab/>
        <w:t>Selon le document « Opinion proposing harmonised classification and labelling at EU level of ethylene oxide » (Avis proposant une classification et un étiquetage harmonisés au niveau de l</w:t>
      </w:r>
      <w:r>
        <w:rPr>
          <w:lang w:val="fr-FR"/>
        </w:rPr>
        <w:t>’</w:t>
      </w:r>
      <w:r w:rsidRPr="0031470E">
        <w:rPr>
          <w:lang w:val="fr-FR"/>
        </w:rPr>
        <w:t>UE de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éthylène), publié en 2017 par le Comité d</w:t>
      </w:r>
      <w:r>
        <w:rPr>
          <w:lang w:val="fr-FR"/>
        </w:rPr>
        <w:t>’</w:t>
      </w:r>
      <w:r w:rsidRPr="0031470E">
        <w:rPr>
          <w:lang w:val="fr-FR"/>
        </w:rPr>
        <w:t>évaluation des risques (CER) de l</w:t>
      </w:r>
      <w:r>
        <w:rPr>
          <w:lang w:val="fr-FR"/>
        </w:rPr>
        <w:t>’</w:t>
      </w:r>
      <w:r w:rsidRPr="0031470E">
        <w:rPr>
          <w:lang w:val="fr-FR"/>
        </w:rPr>
        <w:t>Agence européenne des produits chimiques (ECHA),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liquide peut provoquer de graves lésions cutanées. Étant donné qu</w:t>
      </w:r>
      <w:r>
        <w:rPr>
          <w:lang w:val="fr-FR"/>
        </w:rPr>
        <w:t>’</w:t>
      </w:r>
      <w:r w:rsidRPr="0031470E">
        <w:rPr>
          <w:lang w:val="fr-FR"/>
        </w:rPr>
        <w:t>il n</w:t>
      </w:r>
      <w:r>
        <w:rPr>
          <w:lang w:val="fr-FR"/>
        </w:rPr>
        <w:t>’</w:t>
      </w:r>
      <w:r w:rsidRPr="0031470E">
        <w:rPr>
          <w:lang w:val="fr-FR"/>
        </w:rPr>
        <w:t>existe pas d</w:t>
      </w:r>
      <w:r>
        <w:rPr>
          <w:lang w:val="fr-FR"/>
        </w:rPr>
        <w:t>’</w:t>
      </w:r>
      <w:r w:rsidRPr="0031470E">
        <w:rPr>
          <w:lang w:val="fr-FR"/>
        </w:rPr>
        <w:t>essais reconnus permettant de déterminer la corrosivité des gaz, le classement doit être fondé sur des données obtenues sur des êtres humains et des essais réalisés sur la peau d</w:t>
      </w:r>
      <w:r>
        <w:rPr>
          <w:lang w:val="fr-FR"/>
        </w:rPr>
        <w:t>’</w:t>
      </w:r>
      <w:r w:rsidRPr="0031470E">
        <w:rPr>
          <w:lang w:val="fr-FR"/>
        </w:rPr>
        <w:t>animaux (tous deux après contact avec des solutions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éthylène).</w:t>
      </w:r>
    </w:p>
    <w:p w14:paraId="7493511B" w14:textId="77777777" w:rsidR="0089164C" w:rsidRPr="0031470E" w:rsidRDefault="0089164C" w:rsidP="00184159">
      <w:pPr>
        <w:pStyle w:val="SingleTxtG"/>
        <w:ind w:firstLine="567"/>
        <w:rPr>
          <w:rFonts w:cstheme="minorHAnsi"/>
          <w:lang w:val="fr-FR"/>
        </w:rPr>
      </w:pPr>
      <w:r w:rsidRPr="0031470E">
        <w:rPr>
          <w:lang w:val="fr-FR"/>
        </w:rPr>
        <w:t xml:space="preserve">Données obtenues sur des êtres humains : </w:t>
      </w:r>
    </w:p>
    <w:p w14:paraId="529B7364" w14:textId="7BE0F7DE" w:rsidR="0089164C" w:rsidRPr="00184159" w:rsidRDefault="0089164C" w:rsidP="00184159">
      <w:pPr>
        <w:pStyle w:val="Bullet1G"/>
      </w:pPr>
      <w:r w:rsidRPr="0031470E">
        <w:rPr>
          <w:lang w:val="fr-FR"/>
        </w:rPr>
        <w:t>Une série de solutions aqueuses contenant 1 à 90</w:t>
      </w:r>
      <w:r w:rsidR="00184159">
        <w:rPr>
          <w:lang w:val="fr-FR"/>
        </w:rPr>
        <w:t> </w:t>
      </w:r>
      <w:r w:rsidRPr="0031470E">
        <w:rPr>
          <w:lang w:val="fr-FR"/>
        </w:rPr>
        <w:t>%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 xml:space="preserve">éthylène ont été </w:t>
      </w:r>
      <w:r w:rsidRPr="00184159">
        <w:t>appliquées sur la peau humaine (Sexton et al., 1950). La solution à 50</w:t>
      </w:r>
      <w:r w:rsidR="00184159">
        <w:t> </w:t>
      </w:r>
      <w:r w:rsidRPr="00184159">
        <w:t>% a provoqué les réactions cutanées les plus graves, car les solutions plus concentrées s’évaporaient rapidement, empêchant ainsi tout contact prolongé avec la peau ;</w:t>
      </w:r>
    </w:p>
    <w:p w14:paraId="30A6A376" w14:textId="528700D6" w:rsidR="0089164C" w:rsidRPr="0031470E" w:rsidRDefault="0089164C" w:rsidP="00184159">
      <w:pPr>
        <w:pStyle w:val="Bullet1G"/>
        <w:rPr>
          <w:rFonts w:cstheme="minorHAnsi"/>
          <w:lang w:val="fr-FR"/>
        </w:rPr>
      </w:pPr>
      <w:r w:rsidRPr="00184159">
        <w:t>Des effets corrosifs tels que des lésions cutanées progressives, des brûlures, des douleurs, des érythèmes, des rougeurs, des lésions du tissu sous-cutané, la formation de cicatrices et l’apparition de cloques ont également été observés à des degrés divers après une exposition à des matériaux et dispositifs médicaux dans le cadre d’études de cas (Alomar et al., 1981, Hanifin et al., 1971, Cardenas-Camarena et al., 1998, et Karacalar</w:t>
      </w:r>
      <w:r w:rsidRPr="0031470E">
        <w:rPr>
          <w:lang w:val="fr-FR"/>
        </w:rPr>
        <w:t xml:space="preserve"> et al., 2000). Ces matériaux et dispositifs, qui </w:t>
      </w:r>
      <w:r>
        <w:rPr>
          <w:lang w:val="fr-FR"/>
        </w:rPr>
        <w:t>avaient</w:t>
      </w:r>
      <w:r w:rsidRPr="0031470E">
        <w:rPr>
          <w:lang w:val="fr-FR"/>
        </w:rPr>
        <w:t xml:space="preserve"> été stérilisés à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éthylène, n</w:t>
      </w:r>
      <w:r>
        <w:rPr>
          <w:lang w:val="fr-FR"/>
        </w:rPr>
        <w:t xml:space="preserve">’avaient </w:t>
      </w:r>
      <w:r w:rsidRPr="0031470E">
        <w:rPr>
          <w:lang w:val="fr-FR"/>
        </w:rPr>
        <w:t>pas été suffisamment exposés à l</w:t>
      </w:r>
      <w:r>
        <w:rPr>
          <w:lang w:val="fr-FR"/>
        </w:rPr>
        <w:t>’</w:t>
      </w:r>
      <w:r w:rsidRPr="0031470E">
        <w:rPr>
          <w:lang w:val="fr-FR"/>
        </w:rPr>
        <w:t>air par la suite</w:t>
      </w:r>
      <w:r>
        <w:rPr>
          <w:lang w:val="fr-FR"/>
        </w:rPr>
        <w:t> ;</w:t>
      </w:r>
    </w:p>
    <w:p w14:paraId="03D9C16F" w14:textId="3ACF7E37" w:rsidR="0089164C" w:rsidRPr="0031470E" w:rsidRDefault="0089164C" w:rsidP="0089164C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rFonts w:cstheme="minorHAnsi"/>
          <w:lang w:val="fr-FR"/>
        </w:rPr>
      </w:pPr>
      <w:r w:rsidRPr="0031470E">
        <w:rPr>
          <w:lang w:val="fr-FR"/>
        </w:rPr>
        <w:t>•</w:t>
      </w:r>
      <w:r w:rsidRPr="0031470E">
        <w:rPr>
          <w:lang w:val="fr-FR"/>
        </w:rPr>
        <w:tab/>
        <w:t>L</w:t>
      </w:r>
      <w:r>
        <w:rPr>
          <w:lang w:val="fr-FR"/>
        </w:rPr>
        <w:t>’</w:t>
      </w:r>
      <w:r w:rsidRPr="0031470E">
        <w:rPr>
          <w:lang w:val="fr-FR"/>
        </w:rPr>
        <w:t>exposition de grandes surfaces de peau humaine à une solution aqueuse d</w:t>
      </w:r>
      <w:r>
        <w:rPr>
          <w:lang w:val="fr-FR"/>
        </w:rPr>
        <w:t>’</w:t>
      </w:r>
      <w:r w:rsidRPr="0031470E">
        <w:rPr>
          <w:lang w:val="fr-FR"/>
        </w:rPr>
        <w:t xml:space="preserve">oxyde </w:t>
      </w:r>
      <w:r w:rsidRPr="00184159">
        <w:t>d’éthylène contenant 1</w:t>
      </w:r>
      <w:r w:rsidR="00184159">
        <w:t> </w:t>
      </w:r>
      <w:r w:rsidRPr="00184159">
        <w:t>% de ce composé (la plus faible concentration éprouvée) pendant environ 2 heures a provoqué de graves cloques 12 à 14</w:t>
      </w:r>
      <w:r w:rsidR="00184159">
        <w:t> </w:t>
      </w:r>
      <w:r w:rsidRPr="00184159">
        <w:t>heures après l’exposition</w:t>
      </w:r>
      <w:r w:rsidRPr="0031470E">
        <w:rPr>
          <w:lang w:val="fr-FR"/>
        </w:rPr>
        <w:t xml:space="preserve"> (Sexton et al., 1949).</w:t>
      </w:r>
    </w:p>
    <w:p w14:paraId="53DE7173" w14:textId="77777777" w:rsidR="0089164C" w:rsidRPr="0031470E" w:rsidRDefault="0089164C" w:rsidP="00184159">
      <w:pPr>
        <w:pStyle w:val="SingleTxtG"/>
        <w:ind w:firstLine="567"/>
        <w:rPr>
          <w:rStyle w:val="rynqvb"/>
          <w:lang w:val="fr-FR"/>
        </w:rPr>
      </w:pPr>
      <w:r w:rsidRPr="0031470E">
        <w:rPr>
          <w:lang w:val="fr-FR"/>
        </w:rPr>
        <w:t>Données provenant d</w:t>
      </w:r>
      <w:r>
        <w:rPr>
          <w:lang w:val="fr-FR"/>
        </w:rPr>
        <w:t>’</w:t>
      </w:r>
      <w:r w:rsidRPr="0031470E">
        <w:rPr>
          <w:lang w:val="fr-FR"/>
        </w:rPr>
        <w:t>essais réalisés sur des animaux :</w:t>
      </w:r>
    </w:p>
    <w:p w14:paraId="17B3367A" w14:textId="3AFA0C82" w:rsidR="0089164C" w:rsidRPr="00184159" w:rsidRDefault="0089164C" w:rsidP="00184159">
      <w:pPr>
        <w:pStyle w:val="Bullet1G"/>
      </w:pPr>
      <w:r w:rsidRPr="00184159">
        <w:t>La peau de lapins blancs de Nouvelle-Zélande a été exposée à 0,5 ml d’oxyde d’éthylène non dilué pendant quatre heures, et des hémorragies sous-cutanées et des brûlures chimiques ont été observées immédiatement après l’exposition et vingt</w:t>
      </w:r>
      <w:r w:rsidR="0026306E">
        <w:noBreakHyphen/>
      </w:r>
      <w:r w:rsidRPr="00184159">
        <w:t>quatre et soixante</w:t>
      </w:r>
      <w:r w:rsidR="0026306E">
        <w:noBreakHyphen/>
      </w:r>
      <w:r w:rsidRPr="00184159">
        <w:t>douze heures après celle-ci (Celanese et al., 1972) ;</w:t>
      </w:r>
    </w:p>
    <w:p w14:paraId="513D96CC" w14:textId="5D37E676" w:rsidR="0089164C" w:rsidRPr="0031470E" w:rsidRDefault="0089164C" w:rsidP="00184159">
      <w:pPr>
        <w:pStyle w:val="Bullet1G"/>
        <w:rPr>
          <w:lang w:val="fr-FR"/>
        </w:rPr>
      </w:pPr>
      <w:r w:rsidRPr="00184159">
        <w:t>Des peaux de lapins ont été exposées à des solutions aqueuses d’oxyde d’éthylène contenant</w:t>
      </w:r>
      <w:r w:rsidRPr="0031470E">
        <w:rPr>
          <w:lang w:val="fr-FR"/>
        </w:rPr>
        <w:t xml:space="preserve"> 10 % et 50 % de ce composé, pendant moins de soixante minutes (Hollingsworth et al.</w:t>
      </w:r>
      <w:r>
        <w:rPr>
          <w:lang w:val="fr-FR"/>
        </w:rPr>
        <w:t>,</w:t>
      </w:r>
      <w:r w:rsidRPr="0031470E">
        <w:rPr>
          <w:lang w:val="fr-FR"/>
        </w:rPr>
        <w:t xml:space="preserve"> 1956). Chez les animaux exposés à ce produit pendant au moins six minutes, une hyperémie et un œdème ont été observés.</w:t>
      </w:r>
    </w:p>
    <w:p w14:paraId="42CEFDF4" w14:textId="14F644AD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lastRenderedPageBreak/>
        <w:t>8.</w:t>
      </w:r>
      <w:r w:rsidRPr="0031470E">
        <w:rPr>
          <w:lang w:val="fr-FR"/>
        </w:rPr>
        <w:tab/>
        <w:t>Sur la base des données disponibles, on peut affirmer que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éthylène, même à de faibles concentrations, est corrosif pour la peau. Les données ne permettant pas de différencier nettement les sous-catégories, le CER en a déduit que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 xml:space="preserve">éthylène devrait être classé </w:t>
      </w:r>
      <w:r>
        <w:rPr>
          <w:lang w:val="fr-FR"/>
        </w:rPr>
        <w:t>dans</w:t>
      </w:r>
      <w:r w:rsidRPr="0031470E">
        <w:rPr>
          <w:lang w:val="fr-FR"/>
        </w:rPr>
        <w:t xml:space="preserve"> la catégorie</w:t>
      </w:r>
      <w:r w:rsidR="00184159">
        <w:rPr>
          <w:lang w:val="fr-FR"/>
        </w:rPr>
        <w:t> </w:t>
      </w:r>
      <w:r w:rsidRPr="0031470E">
        <w:rPr>
          <w:lang w:val="fr-FR"/>
        </w:rPr>
        <w:t>1 de corrosion/irritation cutanée «</w:t>
      </w:r>
      <w:r w:rsidR="00184159">
        <w:rPr>
          <w:lang w:val="fr-FR"/>
        </w:rPr>
        <w:t> </w:t>
      </w:r>
      <w:r w:rsidRPr="0031470E">
        <w:rPr>
          <w:lang w:val="fr-FR"/>
        </w:rPr>
        <w:t>Skin Corr.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», avec la mention de danger H314 (sans sous-catégorisation). </w:t>
      </w:r>
    </w:p>
    <w:p w14:paraId="19F15E6C" w14:textId="37F1C8FC" w:rsidR="0089164C" w:rsidRPr="0031470E" w:rsidRDefault="0089164C" w:rsidP="00184159">
      <w:pPr>
        <w:pStyle w:val="SingleTxtG"/>
        <w:rPr>
          <w:rStyle w:val="rynqvb"/>
          <w:lang w:val="fr-FR"/>
        </w:rPr>
      </w:pPr>
      <w:r w:rsidRPr="0031470E">
        <w:rPr>
          <w:lang w:val="fr-FR"/>
        </w:rPr>
        <w:t>9.</w:t>
      </w:r>
      <w:r w:rsidRPr="0031470E">
        <w:rPr>
          <w:lang w:val="fr-FR"/>
        </w:rPr>
        <w:tab/>
        <w:t>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peut s</w:t>
      </w:r>
      <w:r>
        <w:rPr>
          <w:lang w:val="fr-FR"/>
        </w:rPr>
        <w:t>’</w:t>
      </w:r>
      <w:r w:rsidRPr="0031470E">
        <w:rPr>
          <w:lang w:val="fr-FR"/>
        </w:rPr>
        <w:t>échapper des réservoirs en cas d</w:t>
      </w:r>
      <w:r>
        <w:rPr>
          <w:lang w:val="fr-FR"/>
        </w:rPr>
        <w:t>’</w:t>
      </w:r>
      <w:r w:rsidRPr="0031470E">
        <w:rPr>
          <w:lang w:val="fr-FR"/>
        </w:rPr>
        <w:t>accident ou de fuite des bouchons et peut, au contact de la peau, provoquer des engelures qui présentent des symptômes semblables à ceux des brûlures chimiques (décrites au paragraphe</w:t>
      </w:r>
      <w:r w:rsidR="00184159">
        <w:rPr>
          <w:lang w:val="fr-FR"/>
        </w:rPr>
        <w:t> </w:t>
      </w:r>
      <w:r w:rsidRPr="0031470E">
        <w:rPr>
          <w:lang w:val="fr-FR"/>
        </w:rPr>
        <w:t>7 ci-dessus). Dans les deux cas, des lésions cutanées irréversibles peuvent survenir.</w:t>
      </w:r>
    </w:p>
    <w:p w14:paraId="5BC01479" w14:textId="4CF445D3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10.</w:t>
      </w:r>
      <w:r w:rsidRPr="0031470E">
        <w:rPr>
          <w:lang w:val="fr-FR"/>
        </w:rPr>
        <w:tab/>
        <w:t>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est transporté sous forme de gaz liquéfié. Les données présentées au paragraphe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7 ci-dessus portent sur des solutions. Par conséquent, en cas de contact direct de </w:t>
      </w:r>
      <w:r>
        <w:rPr>
          <w:lang w:val="fr-FR"/>
        </w:rPr>
        <w:t xml:space="preserve">solutions plus concentrées </w:t>
      </w:r>
      <w:r w:rsidRPr="0031470E">
        <w:rPr>
          <w:lang w:val="fr-FR"/>
        </w:rPr>
        <w:t>avec la peau, aussi bref soit-il, il faut s</w:t>
      </w:r>
      <w:r>
        <w:rPr>
          <w:lang w:val="fr-FR"/>
        </w:rPr>
        <w:t>’</w:t>
      </w:r>
      <w:r w:rsidRPr="0031470E">
        <w:rPr>
          <w:lang w:val="fr-FR"/>
        </w:rPr>
        <w:t>attendre à des réactions plus sévères entraînant des lésions cutanées irréversibles répondant aux critères du 2.8.1 du Règlement type (classe</w:t>
      </w:r>
      <w:r w:rsidR="00184159">
        <w:rPr>
          <w:lang w:val="fr-FR"/>
        </w:rPr>
        <w:t> </w:t>
      </w:r>
      <w:r w:rsidRPr="0031470E">
        <w:rPr>
          <w:lang w:val="fr-FR"/>
        </w:rPr>
        <w:t>8, catégorie</w:t>
      </w:r>
      <w:r w:rsidR="00184159">
        <w:rPr>
          <w:lang w:val="fr-FR"/>
        </w:rPr>
        <w:t> </w:t>
      </w:r>
      <w:r w:rsidRPr="0031470E">
        <w:rPr>
          <w:lang w:val="fr-FR"/>
        </w:rPr>
        <w:t>1 de corrosion/irritation cutanée «</w:t>
      </w:r>
      <w:r w:rsidR="00184159">
        <w:rPr>
          <w:lang w:val="fr-FR"/>
        </w:rPr>
        <w:t> </w:t>
      </w:r>
      <w:r w:rsidRPr="0031470E">
        <w:rPr>
          <w:lang w:val="fr-FR"/>
        </w:rPr>
        <w:t>Skin Corr.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») </w:t>
      </w:r>
    </w:p>
    <w:p w14:paraId="72DE4B7B" w14:textId="677F3213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11.</w:t>
      </w:r>
      <w:r w:rsidRPr="0031470E">
        <w:rPr>
          <w:lang w:val="fr-FR"/>
        </w:rPr>
        <w:tab/>
        <w:t>Cela correspond à la division 2.3 de la Liste des marchandises dangereuses, avec les risques subsidiaires 2.1 et 8 pour les Nos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>1040 et 3300. Le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>1041 est classé dans la division 2.1 et présente le danger subsidiaire 8.</w:t>
      </w:r>
    </w:p>
    <w:p w14:paraId="5502B29B" w14:textId="77777777" w:rsidR="0089164C" w:rsidRPr="0031470E" w:rsidRDefault="0089164C" w:rsidP="00184159">
      <w:pPr>
        <w:pStyle w:val="HChG"/>
        <w:rPr>
          <w:rFonts w:eastAsia="Times New Roman"/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</w:r>
      <w:r w:rsidRPr="0031470E">
        <w:rPr>
          <w:lang w:val="fr-FR"/>
        </w:rPr>
        <w:tab/>
        <w:t>Proposition</w:t>
      </w:r>
    </w:p>
    <w:p w14:paraId="638AC723" w14:textId="17CF6291" w:rsidR="0089164C" w:rsidRPr="0031470E" w:rsidRDefault="0089164C" w:rsidP="00184159">
      <w:pPr>
        <w:pStyle w:val="SingleTxtG"/>
        <w:rPr>
          <w:lang w:val="fr-FR"/>
        </w:rPr>
      </w:pPr>
      <w:r w:rsidRPr="0031470E">
        <w:rPr>
          <w:lang w:val="fr-FR"/>
        </w:rPr>
        <w:t>12.</w:t>
      </w:r>
      <w:r w:rsidRPr="0031470E">
        <w:rPr>
          <w:lang w:val="fr-FR"/>
        </w:rPr>
        <w:tab/>
        <w:t>Étant donné que l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satisfait aux critères de la classe 8, et dans le cadre de l</w:t>
      </w:r>
      <w:r>
        <w:rPr>
          <w:lang w:val="fr-FR"/>
        </w:rPr>
        <w:t>’</w:t>
      </w:r>
      <w:r w:rsidRPr="0031470E">
        <w:rPr>
          <w:lang w:val="fr-FR"/>
        </w:rPr>
        <w:t>harmonisation de la classification du Système général harmonisé de classification et d</w:t>
      </w:r>
      <w:r>
        <w:rPr>
          <w:lang w:val="fr-FR"/>
        </w:rPr>
        <w:t>’</w:t>
      </w:r>
      <w:r w:rsidRPr="0031470E">
        <w:rPr>
          <w:lang w:val="fr-FR"/>
        </w:rPr>
        <w:t>étiquetage des produits chimiques avec les textes réglementaires régissant le transport des marchandises dangereuses, l</w:t>
      </w:r>
      <w:r>
        <w:rPr>
          <w:lang w:val="fr-FR"/>
        </w:rPr>
        <w:t>’</w:t>
      </w:r>
      <w:r w:rsidRPr="0031470E">
        <w:rPr>
          <w:lang w:val="fr-FR"/>
        </w:rPr>
        <w:t>Allemagne propose de modifier le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1040 </w:t>
      </w:r>
      <w:r>
        <w:rPr>
          <w:lang w:val="fr-FR"/>
        </w:rPr>
        <w:t>(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ÉTHYLÈNE, ou OXYDE D</w:t>
      </w:r>
      <w:r>
        <w:rPr>
          <w:lang w:val="fr-FR"/>
        </w:rPr>
        <w:t>’</w:t>
      </w:r>
      <w:r w:rsidRPr="0031470E">
        <w:rPr>
          <w:lang w:val="fr-FR"/>
        </w:rPr>
        <w:t>ÉTHYLÈNE AVEC DE L</w:t>
      </w:r>
      <w:r>
        <w:rPr>
          <w:lang w:val="fr-FR"/>
        </w:rPr>
        <w:t>’</w:t>
      </w:r>
      <w:r w:rsidRPr="0031470E">
        <w:rPr>
          <w:lang w:val="fr-FR"/>
        </w:rPr>
        <w:t>AZOTE jusqu</w:t>
      </w:r>
      <w:r>
        <w:rPr>
          <w:lang w:val="fr-FR"/>
        </w:rPr>
        <w:t>’</w:t>
      </w:r>
      <w:r w:rsidRPr="0031470E">
        <w:rPr>
          <w:lang w:val="fr-FR"/>
        </w:rPr>
        <w:t>à une pression totale de 1</w:t>
      </w:r>
      <w:r w:rsidR="00184159">
        <w:rPr>
          <w:lang w:val="fr-FR"/>
        </w:rPr>
        <w:t> </w:t>
      </w:r>
      <w:r w:rsidRPr="0031470E">
        <w:rPr>
          <w:lang w:val="fr-FR"/>
        </w:rPr>
        <w:t>MPa (10 bar) à 50</w:t>
      </w:r>
      <w:r w:rsidR="00184159">
        <w:rPr>
          <w:lang w:val="fr-FR"/>
        </w:rPr>
        <w:t> </w:t>
      </w:r>
      <w:r w:rsidRPr="0031470E">
        <w:rPr>
          <w:lang w:val="fr-FR"/>
        </w:rPr>
        <w:t>°C</w:t>
      </w:r>
      <w:r>
        <w:rPr>
          <w:lang w:val="fr-FR"/>
        </w:rPr>
        <w:t>)</w:t>
      </w:r>
      <w:r w:rsidRPr="0031470E">
        <w:rPr>
          <w:lang w:val="fr-FR"/>
        </w:rPr>
        <w:t>, le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1041 </w:t>
      </w:r>
      <w:r>
        <w:rPr>
          <w:lang w:val="fr-FR"/>
        </w:rPr>
        <w:t>(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ET DIOXYDE DE CARBONE EN MÉLANGE contenant plus de 9</w:t>
      </w:r>
      <w:r w:rsidR="00184159">
        <w:rPr>
          <w:lang w:val="fr-FR"/>
        </w:rPr>
        <w:t> </w:t>
      </w:r>
      <w:r w:rsidRPr="0031470E">
        <w:rPr>
          <w:lang w:val="fr-FR"/>
        </w:rPr>
        <w:t>% mais pas plus de 87</w:t>
      </w:r>
      <w:r w:rsidR="00184159">
        <w:rPr>
          <w:lang w:val="fr-FR"/>
        </w:rPr>
        <w:t> </w:t>
      </w:r>
      <w:r w:rsidRPr="0031470E">
        <w:rPr>
          <w:lang w:val="fr-FR"/>
        </w:rPr>
        <w:t>%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</w:t>
      </w:r>
      <w:r>
        <w:rPr>
          <w:lang w:val="fr-FR"/>
        </w:rPr>
        <w:t>)</w:t>
      </w:r>
      <w:r w:rsidRPr="0031470E">
        <w:rPr>
          <w:lang w:val="fr-FR"/>
        </w:rPr>
        <w:t>, et le No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 xml:space="preserve">3300 </w:t>
      </w:r>
      <w:r>
        <w:rPr>
          <w:lang w:val="fr-FR"/>
        </w:rPr>
        <w:t>(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ET DIOXYDE DE CARBONE EN MÉLANGE contenant au plus 87</w:t>
      </w:r>
      <w:r w:rsidR="00184159">
        <w:rPr>
          <w:lang w:val="fr-FR"/>
        </w:rPr>
        <w:t> </w:t>
      </w:r>
      <w:r w:rsidRPr="0031470E">
        <w:rPr>
          <w:lang w:val="fr-FR"/>
        </w:rPr>
        <w:t>%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</w:t>
      </w:r>
      <w:r>
        <w:rPr>
          <w:lang w:val="fr-FR"/>
        </w:rPr>
        <w:t>)</w:t>
      </w:r>
      <w:r w:rsidRPr="0031470E">
        <w:rPr>
          <w:lang w:val="fr-FR"/>
        </w:rPr>
        <w:t>, comme suit</w:t>
      </w:r>
      <w:r w:rsidR="00184159">
        <w:rPr>
          <w:lang w:val="fr-FR"/>
        </w:rPr>
        <w:t xml:space="preserve"> </w:t>
      </w:r>
      <w:r w:rsidRPr="0031470E">
        <w:rPr>
          <w:lang w:val="fr-FR"/>
        </w:rPr>
        <w:t xml:space="preserve">(les modifications figurent en caractères </w:t>
      </w:r>
      <w:r w:rsidRPr="006142EA">
        <w:rPr>
          <w:u w:val="single"/>
          <w:lang w:val="fr-FR"/>
        </w:rPr>
        <w:t>soulignés</w:t>
      </w:r>
      <w:r w:rsidRPr="0031470E">
        <w:rPr>
          <w:lang w:val="fr-FR"/>
        </w:rPr>
        <w:t xml:space="preserve"> pour les ajouts et </w:t>
      </w:r>
      <w:r w:rsidRPr="006142EA">
        <w:rPr>
          <w:strike/>
          <w:lang w:val="fr-FR"/>
        </w:rPr>
        <w:t>biffés</w:t>
      </w:r>
      <w:r w:rsidRPr="0031470E">
        <w:rPr>
          <w:lang w:val="fr-FR"/>
        </w:rPr>
        <w:t xml:space="preserve"> pour les suppressions)</w:t>
      </w:r>
      <w:r w:rsidR="00184159">
        <w:rPr>
          <w:lang w:val="fr-FR"/>
        </w:rPr>
        <w:t> </w:t>
      </w:r>
      <w:r w:rsidRPr="0031470E">
        <w:rPr>
          <w:lang w:val="fr-FR"/>
        </w:rPr>
        <w:t>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1"/>
        <w:gridCol w:w="634"/>
        <w:gridCol w:w="829"/>
        <w:gridCol w:w="877"/>
        <w:gridCol w:w="857"/>
        <w:gridCol w:w="391"/>
        <w:gridCol w:w="387"/>
        <w:gridCol w:w="854"/>
        <w:gridCol w:w="833"/>
        <w:gridCol w:w="1363"/>
        <w:gridCol w:w="833"/>
      </w:tblGrid>
      <w:tr w:rsidR="0089164C" w:rsidRPr="00BA5F8D" w14:paraId="650ADEEA" w14:textId="77777777" w:rsidTr="00441950">
        <w:trPr>
          <w:trHeight w:val="556"/>
          <w:tblHeader/>
          <w:jc w:val="center"/>
        </w:trPr>
        <w:tc>
          <w:tcPr>
            <w:tcW w:w="1771" w:type="dxa"/>
            <w:vMerge w:val="restart"/>
            <w:vAlign w:val="center"/>
          </w:tcPr>
          <w:p w14:paraId="39818997" w14:textId="77777777" w:rsidR="0089164C" w:rsidRPr="00BA5F8D" w:rsidRDefault="0089164C" w:rsidP="00BA5F8D">
            <w:pPr>
              <w:pStyle w:val="SingleTxtG"/>
              <w:spacing w:before="80" w:after="80" w:line="200" w:lineRule="exact"/>
              <w:ind w:left="0" w:right="-6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bookmarkStart w:id="0" w:name="_Hlk35434631"/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No ONU </w:t>
            </w:r>
          </w:p>
          <w:p w14:paraId="39883AAD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-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Nom et description </w:t>
            </w:r>
          </w:p>
        </w:tc>
        <w:tc>
          <w:tcPr>
            <w:tcW w:w="634" w:type="dxa"/>
            <w:vMerge w:val="restart"/>
          </w:tcPr>
          <w:p w14:paraId="3A3FCA00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0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Classe ou division </w:t>
            </w:r>
          </w:p>
        </w:tc>
        <w:tc>
          <w:tcPr>
            <w:tcW w:w="829" w:type="dxa"/>
            <w:vMerge w:val="restart"/>
          </w:tcPr>
          <w:p w14:paraId="3C3542F5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Danger subsidiaire </w:t>
            </w:r>
          </w:p>
        </w:tc>
        <w:tc>
          <w:tcPr>
            <w:tcW w:w="877" w:type="dxa"/>
            <w:vMerge w:val="restart"/>
          </w:tcPr>
          <w:p w14:paraId="62568C7D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Groupe d’emballage </w:t>
            </w:r>
          </w:p>
        </w:tc>
        <w:tc>
          <w:tcPr>
            <w:tcW w:w="857" w:type="dxa"/>
            <w:vMerge w:val="restart"/>
          </w:tcPr>
          <w:p w14:paraId="2D588F4C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Dispositions spéciales </w:t>
            </w:r>
          </w:p>
        </w:tc>
        <w:tc>
          <w:tcPr>
            <w:tcW w:w="778" w:type="dxa"/>
            <w:gridSpan w:val="2"/>
            <w:vMerge w:val="restart"/>
          </w:tcPr>
          <w:p w14:paraId="397E2210" w14:textId="7906114B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Quantités limitées </w:t>
            </w:r>
            <w:r w:rsidR="00184159" w:rsidRPr="00BA5F8D">
              <w:rPr>
                <w:i/>
                <w:iCs/>
                <w:sz w:val="16"/>
                <w:szCs w:val="16"/>
                <w:lang w:val="fr-FR"/>
              </w:rPr>
              <w:br/>
            </w: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et quantités exceptées </w:t>
            </w:r>
          </w:p>
        </w:tc>
        <w:tc>
          <w:tcPr>
            <w:tcW w:w="1687" w:type="dxa"/>
            <w:gridSpan w:val="2"/>
          </w:tcPr>
          <w:p w14:paraId="36ED9648" w14:textId="1B3FC8C6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Emballages </w:t>
            </w:r>
            <w:r w:rsidR="00184159" w:rsidRPr="00BA5F8D">
              <w:rPr>
                <w:i/>
                <w:iCs/>
                <w:sz w:val="16"/>
                <w:szCs w:val="16"/>
                <w:lang w:val="fr-FR"/>
              </w:rPr>
              <w:br/>
            </w: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et GRV </w:t>
            </w:r>
          </w:p>
        </w:tc>
        <w:tc>
          <w:tcPr>
            <w:tcW w:w="2196" w:type="dxa"/>
            <w:gridSpan w:val="2"/>
          </w:tcPr>
          <w:p w14:paraId="53AB1329" w14:textId="6CABF0BF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Citernes mobiles </w:t>
            </w:r>
            <w:r w:rsidR="00184159" w:rsidRPr="00BA5F8D">
              <w:rPr>
                <w:i/>
                <w:iCs/>
                <w:sz w:val="16"/>
                <w:szCs w:val="16"/>
                <w:lang w:val="fr-FR"/>
              </w:rPr>
              <w:br/>
            </w: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et conteneurs pour vrac </w:t>
            </w:r>
          </w:p>
        </w:tc>
      </w:tr>
      <w:tr w:rsidR="0089164C" w:rsidRPr="00BA5F8D" w14:paraId="0D6E5F40" w14:textId="77777777" w:rsidTr="00441950">
        <w:trPr>
          <w:trHeight w:val="502"/>
          <w:tblHeader/>
          <w:jc w:val="center"/>
        </w:trPr>
        <w:tc>
          <w:tcPr>
            <w:tcW w:w="1771" w:type="dxa"/>
            <w:vMerge/>
            <w:vAlign w:val="center"/>
          </w:tcPr>
          <w:p w14:paraId="6D169ABC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-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634" w:type="dxa"/>
            <w:vMerge/>
            <w:vAlign w:val="center"/>
          </w:tcPr>
          <w:p w14:paraId="173B1570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0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829" w:type="dxa"/>
            <w:vMerge/>
            <w:vAlign w:val="center"/>
          </w:tcPr>
          <w:p w14:paraId="50B215F8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877" w:type="dxa"/>
            <w:vMerge/>
          </w:tcPr>
          <w:p w14:paraId="5B01B258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857" w:type="dxa"/>
            <w:vMerge/>
          </w:tcPr>
          <w:p w14:paraId="6B23BF58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778" w:type="dxa"/>
            <w:gridSpan w:val="2"/>
            <w:vMerge/>
          </w:tcPr>
          <w:p w14:paraId="557089F4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5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854" w:type="dxa"/>
          </w:tcPr>
          <w:p w14:paraId="59694090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6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Instructions d’emballage </w:t>
            </w:r>
          </w:p>
        </w:tc>
        <w:tc>
          <w:tcPr>
            <w:tcW w:w="833" w:type="dxa"/>
          </w:tcPr>
          <w:p w14:paraId="35DEB5DF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6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Dispositions spéciales </w:t>
            </w:r>
          </w:p>
        </w:tc>
        <w:tc>
          <w:tcPr>
            <w:tcW w:w="1363" w:type="dxa"/>
          </w:tcPr>
          <w:p w14:paraId="3BF3F285" w14:textId="7AF2D412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6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Instructions </w:t>
            </w:r>
            <w:r w:rsidR="00441950" w:rsidRPr="00BA5F8D">
              <w:rPr>
                <w:i/>
                <w:iCs/>
                <w:sz w:val="16"/>
                <w:szCs w:val="16"/>
                <w:lang w:val="fr-FR"/>
              </w:rPr>
              <w:br/>
            </w: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de transport </w:t>
            </w:r>
          </w:p>
        </w:tc>
        <w:tc>
          <w:tcPr>
            <w:tcW w:w="833" w:type="dxa"/>
          </w:tcPr>
          <w:p w14:paraId="18ABAF3C" w14:textId="77777777" w:rsidR="0089164C" w:rsidRPr="00BA5F8D" w:rsidRDefault="0089164C" w:rsidP="00184159">
            <w:pPr>
              <w:pStyle w:val="SingleTxtG"/>
              <w:spacing w:before="80" w:after="80" w:line="200" w:lineRule="exact"/>
              <w:ind w:left="0" w:right="6"/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  <w:lang w:val="fr-FR"/>
              </w:rPr>
            </w:pPr>
            <w:r w:rsidRPr="00BA5F8D">
              <w:rPr>
                <w:i/>
                <w:iCs/>
                <w:sz w:val="16"/>
                <w:szCs w:val="16"/>
                <w:lang w:val="fr-FR"/>
              </w:rPr>
              <w:t xml:space="preserve">Dispositions spéciales </w:t>
            </w:r>
          </w:p>
        </w:tc>
      </w:tr>
      <w:bookmarkEnd w:id="0"/>
      <w:tr w:rsidR="0089164C" w:rsidRPr="00BA5F8D" w14:paraId="1EF2E665" w14:textId="77777777" w:rsidTr="00184159">
        <w:trPr>
          <w:trHeight w:val="900"/>
          <w:jc w:val="center"/>
        </w:trPr>
        <w:tc>
          <w:tcPr>
            <w:tcW w:w="1771" w:type="dxa"/>
            <w:vAlign w:val="center"/>
          </w:tcPr>
          <w:p w14:paraId="5E48D48B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-5"/>
              <w:contextualSpacing/>
              <w:jc w:val="center"/>
              <w:rPr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 xml:space="preserve">1040 </w:t>
            </w:r>
          </w:p>
          <w:p w14:paraId="2B0EBE7A" w14:textId="2D13A6FB" w:rsidR="0089164C" w:rsidRPr="00BA5F8D" w:rsidRDefault="0089164C" w:rsidP="00BA5F8D">
            <w:pPr>
              <w:pStyle w:val="SingleTxtG"/>
              <w:spacing w:before="60" w:after="60" w:line="220" w:lineRule="atLeast"/>
              <w:ind w:left="0" w:right="-6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i/>
                <w:iCs/>
                <w:sz w:val="18"/>
                <w:szCs w:val="18"/>
                <w:lang w:val="fr-FR"/>
              </w:rPr>
              <w:t xml:space="preserve">OXYDE D’ÉTHYLÈNE, 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br/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 xml:space="preserve">ou OXYDE D’ÉTHYLÈNE 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br/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 xml:space="preserve">AVEC DE L’AZOTE jusqu’à une pression totale de 1 MPa 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br/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(10 bar) à 50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t> </w:t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°C</w:t>
            </w:r>
          </w:p>
        </w:tc>
        <w:tc>
          <w:tcPr>
            <w:tcW w:w="634" w:type="dxa"/>
            <w:vAlign w:val="center"/>
          </w:tcPr>
          <w:p w14:paraId="6FAE09F6" w14:textId="237E76C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0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2</w:t>
            </w:r>
            <w:r w:rsidR="00017612">
              <w:rPr>
                <w:sz w:val="18"/>
                <w:szCs w:val="18"/>
                <w:lang w:val="fr-FR"/>
              </w:rPr>
              <w:t>.</w:t>
            </w:r>
            <w:r w:rsidRPr="00BA5F8D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829" w:type="dxa"/>
            <w:vAlign w:val="center"/>
          </w:tcPr>
          <w:p w14:paraId="02C112B0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 xml:space="preserve">2.1, </w:t>
            </w:r>
            <w:r w:rsidRPr="00BA5F8D">
              <w:rPr>
                <w:sz w:val="18"/>
                <w:szCs w:val="18"/>
                <w:u w:val="single"/>
                <w:lang w:val="fr-FR"/>
              </w:rPr>
              <w:t>8</w:t>
            </w:r>
          </w:p>
        </w:tc>
        <w:tc>
          <w:tcPr>
            <w:tcW w:w="877" w:type="dxa"/>
            <w:vAlign w:val="center"/>
          </w:tcPr>
          <w:p w14:paraId="43F6A834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vAlign w:val="center"/>
          </w:tcPr>
          <w:p w14:paraId="689FAA8F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342</w:t>
            </w:r>
          </w:p>
        </w:tc>
        <w:tc>
          <w:tcPr>
            <w:tcW w:w="391" w:type="dxa"/>
            <w:vAlign w:val="center"/>
          </w:tcPr>
          <w:p w14:paraId="505F0E5C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387" w:type="dxa"/>
            <w:vAlign w:val="center"/>
          </w:tcPr>
          <w:p w14:paraId="69B6B42A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E0</w:t>
            </w:r>
          </w:p>
        </w:tc>
        <w:tc>
          <w:tcPr>
            <w:tcW w:w="854" w:type="dxa"/>
            <w:vAlign w:val="center"/>
          </w:tcPr>
          <w:p w14:paraId="212A99CF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P200</w:t>
            </w:r>
          </w:p>
        </w:tc>
        <w:tc>
          <w:tcPr>
            <w:tcW w:w="833" w:type="dxa"/>
            <w:vAlign w:val="center"/>
          </w:tcPr>
          <w:p w14:paraId="7A5B58E9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1363" w:type="dxa"/>
            <w:vAlign w:val="center"/>
          </w:tcPr>
          <w:p w14:paraId="1D6EE420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trike/>
                <w:sz w:val="18"/>
                <w:szCs w:val="18"/>
                <w:u w:val="single"/>
                <w:lang w:val="fr-FR"/>
              </w:rPr>
            </w:pPr>
            <w:r w:rsidRPr="00BA5F8D">
              <w:rPr>
                <w:strike/>
                <w:sz w:val="18"/>
                <w:szCs w:val="18"/>
                <w:u w:val="single"/>
                <w:lang w:val="fr-FR"/>
              </w:rPr>
              <w:t>T50</w:t>
            </w:r>
          </w:p>
        </w:tc>
        <w:tc>
          <w:tcPr>
            <w:tcW w:w="833" w:type="dxa"/>
            <w:vAlign w:val="center"/>
          </w:tcPr>
          <w:p w14:paraId="42324E4E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trike/>
                <w:sz w:val="18"/>
                <w:szCs w:val="18"/>
                <w:u w:val="single"/>
                <w:lang w:val="fr-FR"/>
              </w:rPr>
            </w:pPr>
            <w:r w:rsidRPr="00BA5F8D">
              <w:rPr>
                <w:strike/>
                <w:sz w:val="18"/>
                <w:szCs w:val="18"/>
                <w:u w:val="single"/>
                <w:lang w:val="fr-FR"/>
              </w:rPr>
              <w:t>TP20</w:t>
            </w:r>
          </w:p>
        </w:tc>
      </w:tr>
      <w:tr w:rsidR="0089164C" w:rsidRPr="00BA5F8D" w14:paraId="4D1B8B20" w14:textId="77777777" w:rsidTr="00184159">
        <w:trPr>
          <w:trHeight w:val="900"/>
          <w:jc w:val="center"/>
        </w:trPr>
        <w:tc>
          <w:tcPr>
            <w:tcW w:w="1771" w:type="dxa"/>
            <w:vAlign w:val="center"/>
          </w:tcPr>
          <w:p w14:paraId="677D8549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-5"/>
              <w:contextualSpacing/>
              <w:jc w:val="center"/>
              <w:rPr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 xml:space="preserve">1041 </w:t>
            </w:r>
          </w:p>
          <w:p w14:paraId="556F1E21" w14:textId="78E6C441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-5"/>
              <w:contextualSpacing/>
              <w:jc w:val="center"/>
              <w:rPr>
                <w:sz w:val="18"/>
                <w:szCs w:val="18"/>
                <w:lang w:val="fr-FR"/>
              </w:rPr>
            </w:pPr>
            <w:r w:rsidRPr="00BA5F8D">
              <w:rPr>
                <w:i/>
                <w:iCs/>
                <w:sz w:val="18"/>
                <w:szCs w:val="18"/>
                <w:lang w:val="fr-FR"/>
              </w:rPr>
              <w:t xml:space="preserve">OXYDE D’ÉTHYLÈNE 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br/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ET DIOXYDE DE CARBONE EN MÉLANGE contenant plus de 9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t> </w:t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 xml:space="preserve">% mais 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br/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pas plus de 87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t> </w:t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% d’oxyde d’éthylène</w:t>
            </w:r>
          </w:p>
        </w:tc>
        <w:tc>
          <w:tcPr>
            <w:tcW w:w="634" w:type="dxa"/>
            <w:vAlign w:val="center"/>
          </w:tcPr>
          <w:p w14:paraId="22E3C550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0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2.1</w:t>
            </w:r>
          </w:p>
        </w:tc>
        <w:tc>
          <w:tcPr>
            <w:tcW w:w="829" w:type="dxa"/>
            <w:vAlign w:val="center"/>
          </w:tcPr>
          <w:p w14:paraId="17154211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u w:val="single"/>
                <w:lang w:val="fr-FR"/>
              </w:rPr>
              <w:t>8</w:t>
            </w:r>
          </w:p>
        </w:tc>
        <w:tc>
          <w:tcPr>
            <w:tcW w:w="877" w:type="dxa"/>
            <w:vAlign w:val="center"/>
          </w:tcPr>
          <w:p w14:paraId="25943BE7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vAlign w:val="center"/>
          </w:tcPr>
          <w:p w14:paraId="42CAC976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789F84B6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387" w:type="dxa"/>
            <w:vAlign w:val="center"/>
          </w:tcPr>
          <w:p w14:paraId="1AB339F3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E0</w:t>
            </w:r>
          </w:p>
        </w:tc>
        <w:tc>
          <w:tcPr>
            <w:tcW w:w="854" w:type="dxa"/>
            <w:vAlign w:val="center"/>
          </w:tcPr>
          <w:p w14:paraId="68C2CE41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P200</w:t>
            </w:r>
          </w:p>
        </w:tc>
        <w:tc>
          <w:tcPr>
            <w:tcW w:w="833" w:type="dxa"/>
            <w:vAlign w:val="center"/>
          </w:tcPr>
          <w:p w14:paraId="146F8F8C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1363" w:type="dxa"/>
            <w:vAlign w:val="center"/>
          </w:tcPr>
          <w:p w14:paraId="16E2B1F9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trike/>
                <w:sz w:val="18"/>
                <w:szCs w:val="18"/>
                <w:u w:val="single"/>
                <w:lang w:val="fr-FR"/>
              </w:rPr>
            </w:pPr>
            <w:r w:rsidRPr="00BA5F8D">
              <w:rPr>
                <w:strike/>
                <w:sz w:val="18"/>
                <w:szCs w:val="18"/>
                <w:u w:val="single"/>
                <w:lang w:val="fr-FR"/>
              </w:rPr>
              <w:t>T50</w:t>
            </w:r>
          </w:p>
        </w:tc>
        <w:tc>
          <w:tcPr>
            <w:tcW w:w="833" w:type="dxa"/>
            <w:vAlign w:val="center"/>
          </w:tcPr>
          <w:p w14:paraId="11D25535" w14:textId="77777777" w:rsidR="0089164C" w:rsidRPr="00BA5F8D" w:rsidRDefault="0089164C" w:rsidP="00441950">
            <w:pPr>
              <w:pStyle w:val="SingleTxtG"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</w:tr>
      <w:tr w:rsidR="0089164C" w:rsidRPr="00441950" w14:paraId="19E24FAB" w14:textId="77777777" w:rsidTr="00184159">
        <w:trPr>
          <w:trHeight w:val="900"/>
          <w:jc w:val="center"/>
        </w:trPr>
        <w:tc>
          <w:tcPr>
            <w:tcW w:w="1771" w:type="dxa"/>
            <w:vAlign w:val="center"/>
          </w:tcPr>
          <w:p w14:paraId="34B51F4C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-5"/>
              <w:contextualSpacing/>
              <w:jc w:val="center"/>
              <w:rPr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lastRenderedPageBreak/>
              <w:t xml:space="preserve">3300 </w:t>
            </w:r>
          </w:p>
          <w:p w14:paraId="237E63D4" w14:textId="6F17135F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-5"/>
              <w:contextualSpacing/>
              <w:jc w:val="center"/>
              <w:rPr>
                <w:rFonts w:eastAsia="Times New Roman"/>
                <w:i/>
                <w:iCs/>
                <w:sz w:val="18"/>
                <w:szCs w:val="18"/>
                <w:lang w:val="fr-FR"/>
              </w:rPr>
            </w:pPr>
            <w:r w:rsidRPr="00BA5F8D">
              <w:rPr>
                <w:i/>
                <w:iCs/>
                <w:sz w:val="18"/>
                <w:szCs w:val="18"/>
                <w:lang w:val="fr-FR"/>
              </w:rPr>
              <w:t>OXYDE D’ÉTHYLÈNE ET DIOXYDE DE CARBONE EN MÉLANGE contenant plus de 87</w:t>
            </w:r>
            <w:r w:rsidR="00441950" w:rsidRPr="00BA5F8D">
              <w:rPr>
                <w:i/>
                <w:iCs/>
                <w:sz w:val="18"/>
                <w:szCs w:val="18"/>
                <w:lang w:val="fr-FR"/>
              </w:rPr>
              <w:t> </w:t>
            </w:r>
            <w:r w:rsidRPr="00BA5F8D">
              <w:rPr>
                <w:i/>
                <w:iCs/>
                <w:sz w:val="18"/>
                <w:szCs w:val="18"/>
                <w:lang w:val="fr-FR"/>
              </w:rPr>
              <w:t>% d’oxyde d’éthylène</w:t>
            </w:r>
          </w:p>
        </w:tc>
        <w:tc>
          <w:tcPr>
            <w:tcW w:w="634" w:type="dxa"/>
            <w:vAlign w:val="center"/>
          </w:tcPr>
          <w:p w14:paraId="42C87EDA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0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2.3</w:t>
            </w:r>
          </w:p>
        </w:tc>
        <w:tc>
          <w:tcPr>
            <w:tcW w:w="829" w:type="dxa"/>
            <w:vAlign w:val="center"/>
          </w:tcPr>
          <w:p w14:paraId="20B74BF0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 xml:space="preserve">2.1, </w:t>
            </w:r>
            <w:r w:rsidRPr="00BA5F8D">
              <w:rPr>
                <w:sz w:val="18"/>
                <w:szCs w:val="18"/>
                <w:u w:val="single"/>
                <w:lang w:val="fr-FR"/>
              </w:rPr>
              <w:t>8</w:t>
            </w:r>
          </w:p>
        </w:tc>
        <w:tc>
          <w:tcPr>
            <w:tcW w:w="877" w:type="dxa"/>
            <w:vAlign w:val="center"/>
          </w:tcPr>
          <w:p w14:paraId="32E8E864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vAlign w:val="center"/>
          </w:tcPr>
          <w:p w14:paraId="2C2812A1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391" w:type="dxa"/>
            <w:vAlign w:val="center"/>
          </w:tcPr>
          <w:p w14:paraId="185F7D36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387" w:type="dxa"/>
            <w:vAlign w:val="center"/>
          </w:tcPr>
          <w:p w14:paraId="2253487A" w14:textId="77777777" w:rsidR="0089164C" w:rsidRPr="00BA5F8D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E0</w:t>
            </w:r>
          </w:p>
        </w:tc>
        <w:tc>
          <w:tcPr>
            <w:tcW w:w="854" w:type="dxa"/>
            <w:vAlign w:val="center"/>
          </w:tcPr>
          <w:p w14:paraId="70102B36" w14:textId="77777777" w:rsidR="0089164C" w:rsidRPr="00441950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  <w:r w:rsidRPr="00BA5F8D">
              <w:rPr>
                <w:sz w:val="18"/>
                <w:szCs w:val="18"/>
                <w:lang w:val="fr-FR"/>
              </w:rPr>
              <w:t>P200</w:t>
            </w:r>
          </w:p>
        </w:tc>
        <w:tc>
          <w:tcPr>
            <w:tcW w:w="833" w:type="dxa"/>
            <w:vAlign w:val="center"/>
          </w:tcPr>
          <w:p w14:paraId="3756ADFB" w14:textId="77777777" w:rsidR="0089164C" w:rsidRPr="00441950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1363" w:type="dxa"/>
            <w:vAlign w:val="center"/>
          </w:tcPr>
          <w:p w14:paraId="135D374D" w14:textId="77777777" w:rsidR="0089164C" w:rsidRPr="00441950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vAlign w:val="center"/>
          </w:tcPr>
          <w:p w14:paraId="7A1F3287" w14:textId="77777777" w:rsidR="0089164C" w:rsidRPr="00441950" w:rsidRDefault="0089164C" w:rsidP="00441950">
            <w:pPr>
              <w:pStyle w:val="SingleTxtG"/>
              <w:keepNext/>
              <w:spacing w:before="60" w:after="60" w:line="220" w:lineRule="atLeast"/>
              <w:ind w:left="0" w:right="5"/>
              <w:contextualSpacing/>
              <w:jc w:val="center"/>
              <w:rPr>
                <w:rFonts w:eastAsia="Times New Roman"/>
                <w:sz w:val="18"/>
                <w:szCs w:val="18"/>
                <w:lang w:val="fr-FR"/>
              </w:rPr>
            </w:pPr>
          </w:p>
        </w:tc>
      </w:tr>
    </w:tbl>
    <w:p w14:paraId="1A1718E2" w14:textId="77777777" w:rsidR="0089164C" w:rsidRPr="00441950" w:rsidRDefault="0089164C" w:rsidP="00441950">
      <w:pPr>
        <w:pStyle w:val="HChG"/>
      </w:pPr>
      <w:r w:rsidRPr="00441950">
        <w:rPr>
          <w:sz w:val="18"/>
          <w:szCs w:val="18"/>
          <w:lang w:val="fr-FR"/>
        </w:rPr>
        <w:tab/>
      </w:r>
      <w:r w:rsidRPr="00441950">
        <w:rPr>
          <w:sz w:val="18"/>
          <w:szCs w:val="18"/>
          <w:lang w:val="fr-FR"/>
        </w:rPr>
        <w:tab/>
      </w:r>
      <w:r w:rsidRPr="00441950">
        <w:t xml:space="preserve">Mesure à prendre par le Sous-Comité </w:t>
      </w:r>
    </w:p>
    <w:p w14:paraId="03224DB4" w14:textId="77777777" w:rsidR="0089164C" w:rsidRPr="00184159" w:rsidRDefault="0089164C" w:rsidP="00184159">
      <w:pPr>
        <w:pStyle w:val="SingleTxtG"/>
      </w:pPr>
      <w:r w:rsidRPr="0031470E">
        <w:rPr>
          <w:lang w:val="fr-FR"/>
        </w:rPr>
        <w:t>13.</w:t>
      </w:r>
      <w:r w:rsidRPr="00184159">
        <w:tab/>
        <w:t>Le Sous-Comité est invité à examiner la présente proposition et à lui donner la suite qu’il jugera appropriée.</w:t>
      </w:r>
    </w:p>
    <w:p w14:paraId="560B9D53" w14:textId="347E22E4" w:rsidR="0089164C" w:rsidRPr="0031470E" w:rsidRDefault="0089164C" w:rsidP="00184159">
      <w:pPr>
        <w:pStyle w:val="SingleTxtG"/>
        <w:rPr>
          <w:lang w:val="fr-FR"/>
        </w:rPr>
      </w:pPr>
      <w:r w:rsidRPr="00184159">
        <w:t>14.</w:t>
      </w:r>
      <w:r w:rsidRPr="00184159">
        <w:tab/>
        <w:t>Il convient en outre de noter que la proposition appuie l’objectif de développement durable n</w:t>
      </w:r>
      <w:r w:rsidRPr="00184159">
        <w:rPr>
          <w:vertAlign w:val="superscript"/>
        </w:rPr>
        <w:t>o</w:t>
      </w:r>
      <w:r w:rsidR="00184159">
        <w:t> </w:t>
      </w:r>
      <w:r w:rsidRPr="00184159">
        <w:t>3 (Permettre à tous de vivre en bonne santé et promouvoir le bien-être de tous à tout âge) du Programme</w:t>
      </w:r>
      <w:r w:rsidRPr="0031470E">
        <w:rPr>
          <w:lang w:val="fr-FR"/>
        </w:rPr>
        <w:t xml:space="preserve"> de développement durable à l</w:t>
      </w:r>
      <w:r>
        <w:rPr>
          <w:lang w:val="fr-FR"/>
        </w:rPr>
        <w:t>’</w:t>
      </w:r>
      <w:r w:rsidRPr="0031470E">
        <w:rPr>
          <w:lang w:val="fr-FR"/>
        </w:rPr>
        <w:t>horizon 2030 en favorisant la sécurité d</w:t>
      </w:r>
      <w:r>
        <w:rPr>
          <w:lang w:val="fr-FR"/>
        </w:rPr>
        <w:t>u</w:t>
      </w:r>
      <w:r w:rsidRPr="0031470E">
        <w:rPr>
          <w:lang w:val="fr-FR"/>
        </w:rPr>
        <w:t xml:space="preserve"> transport des Nos</w:t>
      </w:r>
      <w:r w:rsidR="00184159">
        <w:rPr>
          <w:lang w:val="fr-FR"/>
        </w:rPr>
        <w:t> </w:t>
      </w:r>
      <w:r w:rsidRPr="0031470E">
        <w:rPr>
          <w:lang w:val="fr-FR"/>
        </w:rPr>
        <w:t>ONU</w:t>
      </w:r>
      <w:r w:rsidR="00184159">
        <w:rPr>
          <w:lang w:val="fr-FR"/>
        </w:rPr>
        <w:t> </w:t>
      </w:r>
      <w:r w:rsidRPr="0031470E">
        <w:rPr>
          <w:lang w:val="fr-FR"/>
        </w:rPr>
        <w:t>1040, 1041 et 3300.</w:t>
      </w:r>
    </w:p>
    <w:p w14:paraId="169F5612" w14:textId="77777777" w:rsidR="0089164C" w:rsidRPr="0031470E" w:rsidRDefault="0089164C" w:rsidP="0089164C">
      <w:pPr>
        <w:suppressAutoHyphens w:val="0"/>
        <w:kinsoku/>
        <w:overflowPunct/>
        <w:autoSpaceDE/>
        <w:autoSpaceDN/>
        <w:adjustRightInd/>
        <w:snapToGrid/>
        <w:spacing w:after="120"/>
        <w:contextualSpacing/>
        <w:rPr>
          <w:u w:val="single"/>
          <w:lang w:val="fr-FR"/>
        </w:rPr>
      </w:pPr>
      <w:r w:rsidRPr="0031470E">
        <w:rPr>
          <w:u w:val="single"/>
          <w:lang w:val="fr-FR"/>
        </w:rPr>
        <w:br w:type="page"/>
      </w:r>
    </w:p>
    <w:p w14:paraId="79B59DA5" w14:textId="77777777" w:rsidR="0089164C" w:rsidRPr="00BA5F8D" w:rsidRDefault="0089164C" w:rsidP="00BA5F8D">
      <w:pPr>
        <w:pStyle w:val="HChG"/>
      </w:pPr>
      <w:r w:rsidRPr="0031470E">
        <w:rPr>
          <w:lang w:val="fr-FR"/>
        </w:rPr>
        <w:lastRenderedPageBreak/>
        <w:t>Annexe</w:t>
      </w:r>
    </w:p>
    <w:p w14:paraId="476DAA1E" w14:textId="37439313" w:rsidR="0089164C" w:rsidRPr="0031470E" w:rsidRDefault="0089164C" w:rsidP="00BA5F8D">
      <w:pPr>
        <w:pStyle w:val="HCh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Formule de renseignements à communiquer à l</w:t>
      </w:r>
      <w:r>
        <w:rPr>
          <w:lang w:val="fr-FR"/>
        </w:rPr>
        <w:t>’</w:t>
      </w:r>
      <w:r w:rsidRPr="0031470E">
        <w:rPr>
          <w:lang w:val="fr-FR"/>
        </w:rPr>
        <w:t xml:space="preserve">ONU </w:t>
      </w:r>
      <w:r w:rsidR="00BA5F8D">
        <w:rPr>
          <w:lang w:val="fr-FR"/>
        </w:rPr>
        <w:br/>
      </w:r>
      <w:r w:rsidRPr="0031470E">
        <w:rPr>
          <w:lang w:val="fr-FR"/>
        </w:rPr>
        <w:t>en vue du classement ou du reclassement d</w:t>
      </w:r>
      <w:r>
        <w:rPr>
          <w:lang w:val="fr-FR"/>
        </w:rPr>
        <w:t>’</w:t>
      </w:r>
      <w:r w:rsidRPr="0031470E">
        <w:rPr>
          <w:lang w:val="fr-FR"/>
        </w:rPr>
        <w:t>une matière</w:t>
      </w:r>
    </w:p>
    <w:p w14:paraId="55241F62" w14:textId="45CC039B" w:rsidR="0089164C" w:rsidRPr="0031470E" w:rsidRDefault="0089164C" w:rsidP="00BA5F8D">
      <w:pPr>
        <w:pStyle w:val="SingleTxtG"/>
        <w:tabs>
          <w:tab w:val="left" w:pos="6663"/>
        </w:tabs>
        <w:rPr>
          <w:lang w:val="fr-FR"/>
        </w:rPr>
      </w:pPr>
      <w:r w:rsidRPr="0031470E">
        <w:rPr>
          <w:lang w:val="fr-FR"/>
        </w:rPr>
        <w:t>Soumise par l</w:t>
      </w:r>
      <w:r>
        <w:rPr>
          <w:lang w:val="fr-FR"/>
        </w:rPr>
        <w:t>’</w:t>
      </w:r>
      <w:r w:rsidRPr="0031470E">
        <w:rPr>
          <w:lang w:val="fr-FR"/>
        </w:rPr>
        <w:t xml:space="preserve">Allemagne </w:t>
      </w:r>
      <w:r w:rsidRPr="0031470E">
        <w:rPr>
          <w:lang w:val="fr-FR"/>
        </w:rPr>
        <w:tab/>
        <w:t>Date : 09 février 2023</w:t>
      </w:r>
    </w:p>
    <w:p w14:paraId="65D4CE50" w14:textId="77777777" w:rsidR="0089164C" w:rsidRPr="0031470E" w:rsidRDefault="0089164C" w:rsidP="00BA5F8D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Fournir tous les renseignements pertinents, y compris les sources des principales données relatives au classement. Les données doivent se rapporter au produit tel qu</w:t>
      </w:r>
      <w:r>
        <w:rPr>
          <w:lang w:val="fr-FR"/>
        </w:rPr>
        <w:t>’</w:t>
      </w:r>
      <w:r w:rsidRPr="0031470E">
        <w:rPr>
          <w:lang w:val="fr-FR"/>
        </w:rPr>
        <w:t>il est présenté au transport. Indiquer les méthodes d</w:t>
      </w:r>
      <w:r>
        <w:rPr>
          <w:lang w:val="fr-FR"/>
        </w:rPr>
        <w:t>’</w:t>
      </w:r>
      <w:r w:rsidRPr="0031470E">
        <w:rPr>
          <w:lang w:val="fr-FR"/>
        </w:rPr>
        <w:t>essai. Répondre à toutes les questions − le cas échéant, répondre « non connu » ou « sans objet ». Si les renseignements ne sont pas disponibles sous la forme requise, fournir toute autre information dont on dispose, avec les commentaires nécessaires. Biffer les mentions inutiles.</w:t>
      </w:r>
    </w:p>
    <w:p w14:paraId="2FFBB97E" w14:textId="77777777" w:rsidR="0089164C" w:rsidRPr="0031470E" w:rsidRDefault="0089164C" w:rsidP="00BA5F8D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Section 1. IDENTIFICATION DE LA MATIÈRE</w:t>
      </w:r>
    </w:p>
    <w:p w14:paraId="6707D5DC" w14:textId="1C6DBB20" w:rsidR="0089164C" w:rsidRPr="00BA5F8D" w:rsidRDefault="0089164C" w:rsidP="00BA5F8D">
      <w:pPr>
        <w:pStyle w:val="SingleTxtG"/>
      </w:pPr>
      <w:r w:rsidRPr="0031470E">
        <w:rPr>
          <w:lang w:val="fr-FR"/>
        </w:rPr>
        <w:t>1.</w:t>
      </w:r>
      <w:r w:rsidRPr="00BA5F8D">
        <w:t>1</w:t>
      </w:r>
      <w:r w:rsidRPr="00BA5F8D">
        <w:tab/>
        <w:t>Nom chimique</w:t>
      </w:r>
      <w:r w:rsidR="00BA5F8D">
        <w:t> </w:t>
      </w:r>
      <w:r w:rsidRPr="00BA5F8D">
        <w:t xml:space="preserve">: Oxyde d’éthylène </w:t>
      </w:r>
    </w:p>
    <w:p w14:paraId="32A456E1" w14:textId="67DADACF" w:rsidR="0089164C" w:rsidRPr="00BA5F8D" w:rsidRDefault="0089164C" w:rsidP="00BA5F8D">
      <w:pPr>
        <w:pStyle w:val="SingleTxtG"/>
      </w:pPr>
      <w:r w:rsidRPr="00BA5F8D">
        <w:t>1.2</w:t>
      </w:r>
      <w:r w:rsidRPr="00BA5F8D">
        <w:tab/>
        <w:t>Formule chimique</w:t>
      </w:r>
      <w:r w:rsidR="00BA5F8D">
        <w:t> </w:t>
      </w:r>
      <w:r w:rsidRPr="00BA5F8D">
        <w:t>: C</w:t>
      </w:r>
      <w:r w:rsidRPr="00017612">
        <w:rPr>
          <w:vertAlign w:val="subscript"/>
        </w:rPr>
        <w:t>2</w:t>
      </w:r>
      <w:r w:rsidRPr="00BA5F8D">
        <w:t>H</w:t>
      </w:r>
      <w:r w:rsidRPr="00017612">
        <w:rPr>
          <w:vertAlign w:val="subscript"/>
        </w:rPr>
        <w:t>4</w:t>
      </w:r>
      <w:r w:rsidRPr="00BA5F8D">
        <w:t>O</w:t>
      </w:r>
    </w:p>
    <w:p w14:paraId="65A5B62D" w14:textId="420790FC" w:rsidR="0089164C" w:rsidRPr="00BA5F8D" w:rsidRDefault="0089164C" w:rsidP="00BA5F8D">
      <w:pPr>
        <w:pStyle w:val="SingleTxtG"/>
      </w:pPr>
      <w:r w:rsidRPr="00BA5F8D">
        <w:t>1.3</w:t>
      </w:r>
      <w:r w:rsidRPr="00BA5F8D">
        <w:tab/>
        <w:t>Autres noms/synonymes</w:t>
      </w:r>
      <w:r w:rsidR="00BA5F8D">
        <w:t> </w:t>
      </w:r>
      <w:r w:rsidRPr="00BA5F8D">
        <w:t>: oxirane</w:t>
      </w:r>
    </w:p>
    <w:p w14:paraId="214ABE48" w14:textId="32BC2DFD" w:rsidR="0089164C" w:rsidRPr="00BA5F8D" w:rsidRDefault="0089164C" w:rsidP="00BA5F8D">
      <w:pPr>
        <w:pStyle w:val="SingleTxtG"/>
      </w:pPr>
      <w:r w:rsidRPr="00BA5F8D">
        <w:t xml:space="preserve">1.4.1 </w:t>
      </w:r>
      <w:r w:rsidRPr="00BA5F8D">
        <w:tab/>
        <w:t>Numéro ONU</w:t>
      </w:r>
      <w:r w:rsidR="00BA5F8D">
        <w:t> </w:t>
      </w:r>
      <w:r w:rsidRPr="00BA5F8D">
        <w:t>: ONU 1040/ONU 1041/ONU 3300</w:t>
      </w:r>
    </w:p>
    <w:p w14:paraId="4B729324" w14:textId="3834FEA0" w:rsidR="0089164C" w:rsidRPr="00BA5F8D" w:rsidRDefault="0089164C" w:rsidP="00BA5F8D">
      <w:pPr>
        <w:pStyle w:val="SingleTxtG"/>
      </w:pPr>
      <w:r w:rsidRPr="00BA5F8D">
        <w:t>1.4.2</w:t>
      </w:r>
      <w:r w:rsidRPr="00BA5F8D">
        <w:tab/>
        <w:t>Numéro CAS</w:t>
      </w:r>
      <w:r w:rsidR="00BA5F8D">
        <w:t> </w:t>
      </w:r>
      <w:r w:rsidRPr="00BA5F8D">
        <w:t>: 75-21-8</w:t>
      </w:r>
    </w:p>
    <w:p w14:paraId="0583B4C2" w14:textId="77777777" w:rsidR="0089164C" w:rsidRPr="0031470E" w:rsidRDefault="0089164C" w:rsidP="00BA5F8D">
      <w:pPr>
        <w:pStyle w:val="SingleTxtG"/>
        <w:rPr>
          <w:lang w:val="fr-FR"/>
        </w:rPr>
      </w:pPr>
      <w:r w:rsidRPr="00BA5F8D">
        <w:t>1.5</w:t>
      </w:r>
      <w:r w:rsidRPr="00BA5F8D">
        <w:tab/>
        <w:t>Classement</w:t>
      </w:r>
      <w:r w:rsidRPr="0031470E">
        <w:rPr>
          <w:lang w:val="fr-FR"/>
        </w:rPr>
        <w:t xml:space="preserve"> proposé dans les Recommandations</w:t>
      </w:r>
      <w:r>
        <w:rPr>
          <w:lang w:val="fr-FR"/>
        </w:rPr>
        <w:t> :</w:t>
      </w:r>
    </w:p>
    <w:p w14:paraId="28BA2070" w14:textId="5F8FEF83" w:rsidR="0089164C" w:rsidRPr="0031470E" w:rsidRDefault="0089164C" w:rsidP="00BA5F8D">
      <w:pPr>
        <w:pStyle w:val="SingleTxtG"/>
        <w:ind w:left="1701"/>
        <w:rPr>
          <w:lang w:val="fr-FR"/>
        </w:rPr>
      </w:pPr>
      <w:r w:rsidRPr="0031470E">
        <w:rPr>
          <w:lang w:val="fr-FR"/>
        </w:rPr>
        <w:t>CLASSE 2.3 (2.1, 8)/CLASSE 2.1(8)/CLASSE 2.3 (2.1, 8)</w:t>
      </w:r>
    </w:p>
    <w:p w14:paraId="077B37BE" w14:textId="4780B584" w:rsidR="0089164C" w:rsidRPr="0031470E" w:rsidRDefault="0089164C" w:rsidP="00BA5F8D">
      <w:pPr>
        <w:pStyle w:val="SingleTxtG"/>
        <w:rPr>
          <w:lang w:val="fr-FR"/>
        </w:rPr>
      </w:pPr>
      <w:r w:rsidRPr="0031470E">
        <w:rPr>
          <w:lang w:val="fr-FR"/>
        </w:rPr>
        <w:t>1.5.1</w:t>
      </w:r>
      <w:r w:rsidRPr="0031470E">
        <w:rPr>
          <w:lang w:val="fr-FR"/>
        </w:rPr>
        <w:tab/>
        <w:t>Désignation officielle de transport (cf. 3.1.21) :</w:t>
      </w:r>
    </w:p>
    <w:p w14:paraId="1D161957" w14:textId="59776F89" w:rsidR="0089164C" w:rsidRPr="0031470E" w:rsidRDefault="0089164C" w:rsidP="0089164C">
      <w:pPr>
        <w:pStyle w:val="SingleTxtG"/>
        <w:ind w:left="1701"/>
        <w:rPr>
          <w:i/>
          <w:iCs/>
          <w:lang w:val="fr-FR"/>
        </w:rPr>
      </w:pPr>
      <w:r w:rsidRPr="0031470E">
        <w:rPr>
          <w:i/>
          <w:iCs/>
          <w:lang w:val="fr-FR"/>
        </w:rPr>
        <w:t>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ÉTHYLÈNE, ou 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 AVEC DE L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AZOTE jusqu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à une pression totale de 1 MPa (10 bar) à 50</w:t>
      </w:r>
      <w:r w:rsidR="00BA5F8D">
        <w:rPr>
          <w:i/>
          <w:iCs/>
          <w:lang w:val="fr-FR"/>
        </w:rPr>
        <w:t> </w:t>
      </w:r>
      <w:r w:rsidRPr="0031470E">
        <w:rPr>
          <w:i/>
          <w:iCs/>
          <w:lang w:val="fr-FR"/>
        </w:rPr>
        <w:t>°C</w:t>
      </w:r>
    </w:p>
    <w:p w14:paraId="73D6E39D" w14:textId="51E1D20E" w:rsidR="0089164C" w:rsidRPr="0031470E" w:rsidRDefault="0089164C" w:rsidP="0089164C">
      <w:pPr>
        <w:pStyle w:val="SingleTxtG"/>
        <w:ind w:left="1701"/>
        <w:rPr>
          <w:i/>
          <w:iCs/>
          <w:lang w:val="fr-FR"/>
        </w:rPr>
      </w:pPr>
      <w:r w:rsidRPr="0031470E">
        <w:rPr>
          <w:i/>
          <w:iCs/>
          <w:lang w:val="fr-FR"/>
        </w:rPr>
        <w:t>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 ET DIOXYDE DE CARBONE EN MÉLANGE contenant plus de 9</w:t>
      </w:r>
      <w:r w:rsidR="00BA5F8D">
        <w:rPr>
          <w:i/>
          <w:iCs/>
          <w:lang w:val="fr-FR"/>
        </w:rPr>
        <w:t> </w:t>
      </w:r>
      <w:r w:rsidRPr="0031470E">
        <w:rPr>
          <w:i/>
          <w:iCs/>
          <w:lang w:val="fr-FR"/>
        </w:rPr>
        <w:t>% mais pas plus de 87</w:t>
      </w:r>
      <w:r w:rsidR="00BA5F8D">
        <w:rPr>
          <w:i/>
          <w:iCs/>
          <w:lang w:val="fr-FR"/>
        </w:rPr>
        <w:t> </w:t>
      </w:r>
      <w:r w:rsidRPr="0031470E">
        <w:rPr>
          <w:i/>
          <w:iCs/>
          <w:lang w:val="fr-FR"/>
        </w:rPr>
        <w:t>%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</w:t>
      </w:r>
      <w:r w:rsidRPr="0031470E">
        <w:rPr>
          <w:lang w:val="fr-FR"/>
        </w:rPr>
        <w:t xml:space="preserve"> </w:t>
      </w:r>
    </w:p>
    <w:p w14:paraId="15E6E30B" w14:textId="535C0C1D" w:rsidR="0089164C" w:rsidRPr="0031470E" w:rsidRDefault="0089164C" w:rsidP="0089164C">
      <w:pPr>
        <w:pStyle w:val="SingleTxtG"/>
        <w:ind w:left="1701"/>
        <w:rPr>
          <w:i/>
          <w:iCs/>
          <w:lang w:val="fr-FR"/>
        </w:rPr>
      </w:pPr>
      <w:r w:rsidRPr="0031470E">
        <w:rPr>
          <w:i/>
          <w:iCs/>
          <w:lang w:val="fr-FR"/>
        </w:rPr>
        <w:t>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 ET DIOXYDE DE CARBONE EN MÉLANGE contenant plus de 87</w:t>
      </w:r>
      <w:r w:rsidR="00BA5F8D">
        <w:rPr>
          <w:i/>
          <w:iCs/>
          <w:lang w:val="fr-FR"/>
        </w:rPr>
        <w:t> </w:t>
      </w:r>
      <w:r w:rsidRPr="0031470E">
        <w:rPr>
          <w:i/>
          <w:iCs/>
          <w:lang w:val="fr-FR"/>
        </w:rPr>
        <w:t>%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oxyde d</w:t>
      </w:r>
      <w:r>
        <w:rPr>
          <w:i/>
          <w:iCs/>
          <w:lang w:val="fr-FR"/>
        </w:rPr>
        <w:t>’</w:t>
      </w:r>
      <w:r w:rsidRPr="0031470E">
        <w:rPr>
          <w:i/>
          <w:iCs/>
          <w:lang w:val="fr-FR"/>
        </w:rPr>
        <w:t>éthylène</w:t>
      </w:r>
    </w:p>
    <w:p w14:paraId="55A0CAC7" w14:textId="7847A9B6" w:rsidR="0089164C" w:rsidRPr="006E2EA3" w:rsidRDefault="0089164C" w:rsidP="00BA5F8D">
      <w:pPr>
        <w:pStyle w:val="SingleTxtG"/>
        <w:rPr>
          <w:lang w:val="en-US"/>
        </w:rPr>
      </w:pPr>
      <w:r w:rsidRPr="006E2EA3">
        <w:rPr>
          <w:lang w:val="en-US"/>
        </w:rPr>
        <w:t>1.5.2</w:t>
      </w:r>
      <w:r w:rsidRPr="006E2EA3">
        <w:rPr>
          <w:lang w:val="en-US"/>
        </w:rPr>
        <w:tab/>
        <w:t>No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ONU 1040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classe/division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2.3</w:t>
      </w:r>
      <w:r w:rsidRPr="006E2EA3">
        <w:rPr>
          <w:lang w:val="en-US"/>
        </w:rPr>
        <w:tab/>
        <w:t>Danger(s) subsidiaire(s) : 2.1, 8</w:t>
      </w:r>
    </w:p>
    <w:p w14:paraId="14900D76" w14:textId="0409D157" w:rsidR="0089164C" w:rsidRPr="006E2EA3" w:rsidRDefault="0089164C" w:rsidP="00BA5F8D">
      <w:pPr>
        <w:pStyle w:val="SingleTxtG"/>
        <w:ind w:left="1701"/>
        <w:rPr>
          <w:lang w:val="en-US"/>
        </w:rPr>
      </w:pPr>
      <w:r w:rsidRPr="006E2EA3">
        <w:rPr>
          <w:lang w:val="en-US"/>
        </w:rPr>
        <w:t>No ONU 1041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classe/division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2.1</w:t>
      </w:r>
      <w:r w:rsidRPr="006E2EA3">
        <w:rPr>
          <w:lang w:val="en-US"/>
        </w:rPr>
        <w:tab/>
        <w:t>Danger(s) subsidiaire(s)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8</w:t>
      </w:r>
    </w:p>
    <w:p w14:paraId="7561212F" w14:textId="1F9C37C0" w:rsidR="0089164C" w:rsidRPr="006E2EA3" w:rsidRDefault="0089164C" w:rsidP="00BA5F8D">
      <w:pPr>
        <w:pStyle w:val="SingleTxtG"/>
        <w:ind w:left="1701"/>
        <w:rPr>
          <w:lang w:val="en-US"/>
        </w:rPr>
      </w:pPr>
      <w:r w:rsidRPr="006E2EA3">
        <w:rPr>
          <w:lang w:val="en-US"/>
        </w:rPr>
        <w:t>No ONU 3300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classe/division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2.3</w:t>
      </w:r>
      <w:r w:rsidRPr="006E2EA3">
        <w:rPr>
          <w:lang w:val="en-US"/>
        </w:rPr>
        <w:tab/>
        <w:t>Danger(s) subsidiaire(s)</w:t>
      </w:r>
      <w:r w:rsidR="00BA5F8D" w:rsidRPr="006E2EA3">
        <w:rPr>
          <w:lang w:val="en-US"/>
        </w:rPr>
        <w:t> </w:t>
      </w:r>
      <w:r w:rsidRPr="006E2EA3">
        <w:rPr>
          <w:lang w:val="en-US"/>
        </w:rPr>
        <w:t>: 2.1, 8</w:t>
      </w:r>
    </w:p>
    <w:p w14:paraId="2A43068E" w14:textId="6C26B734" w:rsidR="0089164C" w:rsidRPr="0031470E" w:rsidRDefault="0089164C" w:rsidP="0089164C">
      <w:pPr>
        <w:pStyle w:val="SingleTxtG"/>
        <w:rPr>
          <w:lang w:val="fr-FR"/>
        </w:rPr>
      </w:pPr>
      <w:r w:rsidRPr="006E2EA3">
        <w:rPr>
          <w:lang w:val="fr-FR"/>
        </w:rPr>
        <w:t>1.5.3</w:t>
      </w:r>
      <w:r w:rsidRPr="0031470E">
        <w:rPr>
          <w:lang w:val="fr-FR"/>
        </w:rPr>
        <w:tab/>
        <w:t>Dispositions spéciales proposées, le cas échéant</w:t>
      </w:r>
      <w:r w:rsidR="00BA5F8D">
        <w:rPr>
          <w:lang w:val="fr-FR"/>
        </w:rPr>
        <w:t> </w:t>
      </w:r>
      <w:r w:rsidRPr="0031470E">
        <w:rPr>
          <w:lang w:val="fr-FR"/>
        </w:rPr>
        <w:t>: 342/néant/néant</w:t>
      </w:r>
    </w:p>
    <w:p w14:paraId="685F4070" w14:textId="77777777" w:rsidR="0089164C" w:rsidRPr="0031470E" w:rsidRDefault="0089164C" w:rsidP="00BA5F8D">
      <w:pPr>
        <w:pStyle w:val="SingleTxtG"/>
        <w:ind w:left="1701"/>
        <w:rPr>
          <w:lang w:val="fr-FR"/>
        </w:rPr>
      </w:pPr>
      <w:r w:rsidRPr="0031470E">
        <w:rPr>
          <w:lang w:val="fr-FR"/>
        </w:rPr>
        <w:t>Quantités limitées et quantités exceptées : 0, E0</w:t>
      </w:r>
    </w:p>
    <w:p w14:paraId="2937F423" w14:textId="2637B15A" w:rsidR="0089164C" w:rsidRPr="0031470E" w:rsidRDefault="0089164C" w:rsidP="0089164C">
      <w:pPr>
        <w:pStyle w:val="SingleTxtG"/>
        <w:ind w:left="1701"/>
        <w:rPr>
          <w:lang w:val="fr-FR"/>
        </w:rPr>
      </w:pPr>
      <w:r w:rsidRPr="0031470E">
        <w:rPr>
          <w:lang w:val="fr-FR"/>
        </w:rPr>
        <w:t>Dispositions spéciales d</w:t>
      </w:r>
      <w:r>
        <w:rPr>
          <w:lang w:val="fr-FR"/>
        </w:rPr>
        <w:t>’</w:t>
      </w:r>
      <w:r w:rsidRPr="0031470E">
        <w:rPr>
          <w:lang w:val="fr-FR"/>
        </w:rPr>
        <w:t>emballage</w:t>
      </w:r>
      <w:r w:rsidR="00BA5F8D">
        <w:rPr>
          <w:lang w:val="en-US"/>
        </w:rPr>
        <w:t> </w:t>
      </w:r>
      <w:r w:rsidRPr="0031470E">
        <w:rPr>
          <w:lang w:val="fr-FR"/>
        </w:rPr>
        <w:t>: néant</w:t>
      </w:r>
    </w:p>
    <w:p w14:paraId="629DA852" w14:textId="77777777" w:rsidR="0089164C" w:rsidRPr="0031470E" w:rsidRDefault="0089164C" w:rsidP="0089164C">
      <w:pPr>
        <w:pStyle w:val="SingleTxtG"/>
        <w:ind w:left="1701"/>
        <w:rPr>
          <w:lang w:val="fr-FR"/>
        </w:rPr>
      </w:pPr>
      <w:r w:rsidRPr="0031470E">
        <w:rPr>
          <w:lang w:val="fr-FR"/>
        </w:rPr>
        <w:t>Citernes mobiles et conteneurs pour vrac :</w:t>
      </w:r>
    </w:p>
    <w:p w14:paraId="554F482D" w14:textId="77777777" w:rsidR="0089164C" w:rsidRPr="0031470E" w:rsidRDefault="0089164C" w:rsidP="0089164C">
      <w:pPr>
        <w:pStyle w:val="SingleTxtG"/>
        <w:ind w:left="2268"/>
        <w:rPr>
          <w:lang w:val="fr-FR"/>
        </w:rPr>
      </w:pPr>
      <w:r w:rsidRPr="0031470E">
        <w:rPr>
          <w:lang w:val="fr-FR"/>
        </w:rPr>
        <w:t>Instructions de transport : néant</w:t>
      </w:r>
    </w:p>
    <w:p w14:paraId="5D90BFE3" w14:textId="05A4EC95" w:rsidR="0089164C" w:rsidRPr="0031470E" w:rsidRDefault="0089164C" w:rsidP="0089164C">
      <w:pPr>
        <w:pStyle w:val="SingleTxtG"/>
        <w:ind w:left="2268"/>
        <w:rPr>
          <w:lang w:val="fr-FR"/>
        </w:rPr>
      </w:pPr>
      <w:r w:rsidRPr="0031470E">
        <w:rPr>
          <w:lang w:val="fr-FR"/>
        </w:rPr>
        <w:t>Dispositions spéciales</w:t>
      </w:r>
      <w:r w:rsidR="00BA5F8D">
        <w:rPr>
          <w:lang w:val="fr-FR"/>
        </w:rPr>
        <w:t> </w:t>
      </w:r>
      <w:r w:rsidRPr="0031470E">
        <w:rPr>
          <w:lang w:val="fr-FR"/>
        </w:rPr>
        <w:t>: néant</w:t>
      </w:r>
    </w:p>
    <w:p w14:paraId="151E43A1" w14:textId="2314C149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1.5.4</w:t>
      </w:r>
      <w:r w:rsidRPr="0031470E">
        <w:rPr>
          <w:lang w:val="fr-FR"/>
        </w:rPr>
        <w:tab/>
        <w:t>Méthode d</w:t>
      </w:r>
      <w:r>
        <w:rPr>
          <w:lang w:val="fr-FR"/>
        </w:rPr>
        <w:t>’</w:t>
      </w:r>
      <w:r w:rsidRPr="0031470E">
        <w:rPr>
          <w:lang w:val="fr-FR"/>
        </w:rPr>
        <w:t>emballage proposée : P200</w:t>
      </w:r>
    </w:p>
    <w:p w14:paraId="45153B00" w14:textId="77777777" w:rsidR="0089164C" w:rsidRPr="0031470E" w:rsidRDefault="0089164C" w:rsidP="00BA5F8D">
      <w:pPr>
        <w:pStyle w:val="H1G"/>
        <w:rPr>
          <w:lang w:val="fr-FR"/>
        </w:rPr>
      </w:pPr>
      <w:r w:rsidRPr="0031470E">
        <w:rPr>
          <w:lang w:val="fr-FR"/>
        </w:rPr>
        <w:lastRenderedPageBreak/>
        <w:tab/>
      </w:r>
      <w:r w:rsidRPr="0031470E">
        <w:rPr>
          <w:lang w:val="fr-FR"/>
        </w:rPr>
        <w:tab/>
        <w:t xml:space="preserve">Section 2. PROPRIÉTÉS PHYSIQUES </w:t>
      </w:r>
    </w:p>
    <w:p w14:paraId="5A853BBA" w14:textId="77777777" w:rsidR="0089164C" w:rsidRPr="00BA5F8D" w:rsidRDefault="0089164C" w:rsidP="00BA5F8D">
      <w:pPr>
        <w:pStyle w:val="SingleTxtG"/>
        <w:keepNext/>
      </w:pPr>
      <w:r w:rsidRPr="00BA5F8D">
        <w:t>2.1</w:t>
      </w:r>
      <w:r w:rsidRPr="00BA5F8D">
        <w:tab/>
        <w:t>Point ou plage de fusion : -111-112 °C</w:t>
      </w:r>
    </w:p>
    <w:p w14:paraId="44512869" w14:textId="77777777" w:rsidR="0089164C" w:rsidRPr="00BA5F8D" w:rsidRDefault="0089164C" w:rsidP="00BA5F8D">
      <w:pPr>
        <w:pStyle w:val="SingleTxtG"/>
        <w:keepNext/>
      </w:pPr>
      <w:r w:rsidRPr="00BA5F8D">
        <w:t>2.2</w:t>
      </w:r>
      <w:r w:rsidRPr="00BA5F8D">
        <w:tab/>
        <w:t>Point ou plage d’ébullition : 10-12 °C</w:t>
      </w:r>
    </w:p>
    <w:p w14:paraId="788815D0" w14:textId="0E409F28" w:rsidR="0089164C" w:rsidRPr="00BA5F8D" w:rsidRDefault="0089164C" w:rsidP="00BA5F8D">
      <w:pPr>
        <w:pStyle w:val="SingleTxtG"/>
        <w:keepNext/>
      </w:pPr>
      <w:r w:rsidRPr="00BA5F8D">
        <w:t>2.3</w:t>
      </w:r>
      <w:r w:rsidRPr="00BA5F8D">
        <w:tab/>
        <w:t>Densité relative/masse volumique :</w:t>
      </w:r>
    </w:p>
    <w:p w14:paraId="17B9CC51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1.5 (air=1)</w:t>
      </w:r>
    </w:p>
    <w:p w14:paraId="4DE00DBA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2.4</w:t>
      </w:r>
      <w:r w:rsidRPr="0031470E">
        <w:rPr>
          <w:lang w:val="fr-FR"/>
        </w:rPr>
        <w:tab/>
        <w:t>Pression de vapeur à :</w:t>
      </w:r>
    </w:p>
    <w:p w14:paraId="277B6B4B" w14:textId="77777777" w:rsidR="0089164C" w:rsidRPr="0031470E" w:rsidRDefault="0089164C" w:rsidP="0089164C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20 °C 146 kPa</w:t>
      </w:r>
    </w:p>
    <w:p w14:paraId="44CFE41A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2.5</w:t>
      </w:r>
      <w:r w:rsidRPr="0031470E">
        <w:rPr>
          <w:lang w:val="fr-FR"/>
        </w:rPr>
        <w:tab/>
        <w:t>Viscosité à 20 °C</w:t>
      </w:r>
      <w:r w:rsidRPr="006E2EA3">
        <w:rPr>
          <w:sz w:val="18"/>
          <w:szCs w:val="18"/>
          <w:vertAlign w:val="superscript"/>
          <w:lang w:val="fr-FR"/>
        </w:rPr>
        <w:t>2</w:t>
      </w:r>
      <w:r w:rsidRPr="0031470E">
        <w:rPr>
          <w:lang w:val="fr-FR"/>
        </w:rPr>
        <w:t> : ___ m</w:t>
      </w:r>
      <w:r w:rsidRPr="006E2EA3">
        <w:rPr>
          <w:sz w:val="18"/>
          <w:szCs w:val="18"/>
          <w:vertAlign w:val="superscript"/>
          <w:lang w:val="fr-FR"/>
        </w:rPr>
        <w:t>2</w:t>
      </w:r>
      <w:r w:rsidRPr="0031470E">
        <w:rPr>
          <w:lang w:val="fr-FR"/>
        </w:rPr>
        <w:t>/s</w:t>
      </w:r>
    </w:p>
    <w:p w14:paraId="766E9AB3" w14:textId="37C384D2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2.6</w:t>
      </w:r>
      <w:r w:rsidRPr="0031470E">
        <w:rPr>
          <w:lang w:val="fr-FR"/>
        </w:rPr>
        <w:tab/>
        <w:t>Solubilité dans l</w:t>
      </w:r>
      <w:r>
        <w:rPr>
          <w:lang w:val="fr-FR"/>
        </w:rPr>
        <w:t>’</w:t>
      </w:r>
      <w:r w:rsidRPr="0031470E">
        <w:rPr>
          <w:lang w:val="fr-FR"/>
        </w:rPr>
        <w:t>eau à 20</w:t>
      </w:r>
      <w:r w:rsidR="00BA5F8D">
        <w:rPr>
          <w:lang w:val="fr-FR"/>
        </w:rPr>
        <w:t> </w:t>
      </w:r>
      <w:r w:rsidRPr="0031470E">
        <w:rPr>
          <w:lang w:val="fr-FR"/>
        </w:rPr>
        <w:t>°C : miscible</w:t>
      </w:r>
    </w:p>
    <w:p w14:paraId="0C31BC64" w14:textId="723823F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2.7</w:t>
      </w:r>
      <w:r w:rsidRPr="0031470E">
        <w:rPr>
          <w:lang w:val="fr-FR"/>
        </w:rPr>
        <w:tab/>
        <w:t>État physique à 20</w:t>
      </w:r>
      <w:r w:rsidR="00BA5F8D">
        <w:rPr>
          <w:lang w:val="fr-FR"/>
        </w:rPr>
        <w:t> </w:t>
      </w:r>
      <w:r w:rsidRPr="0031470E">
        <w:rPr>
          <w:lang w:val="fr-FR"/>
        </w:rPr>
        <w:t>°C : (cf. 2.2.1.1</w:t>
      </w:r>
      <w:r w:rsidRPr="00BA5F8D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Pr="0031470E">
        <w:rPr>
          <w:lang w:val="fr-FR"/>
        </w:rPr>
        <w:tab/>
        <w:t>solide/liquide/gazeux</w:t>
      </w:r>
      <w:r w:rsidRPr="00BA5F8D">
        <w:rPr>
          <w:sz w:val="18"/>
          <w:szCs w:val="18"/>
          <w:vertAlign w:val="superscript"/>
          <w:lang w:val="fr-FR"/>
        </w:rPr>
        <w:t>2</w:t>
      </w:r>
    </w:p>
    <w:p w14:paraId="6B150970" w14:textId="77777777" w:rsidR="0089164C" w:rsidRPr="0031470E" w:rsidRDefault="0089164C" w:rsidP="0089164C">
      <w:pPr>
        <w:pStyle w:val="SingleTxtG"/>
        <w:ind w:left="1701" w:hanging="567"/>
        <w:rPr>
          <w:lang w:val="fr-FR"/>
        </w:rPr>
      </w:pPr>
      <w:r w:rsidRPr="0031470E">
        <w:rPr>
          <w:lang w:val="fr-FR"/>
        </w:rPr>
        <w:t>2.8</w:t>
      </w:r>
      <w:r w:rsidRPr="0031470E">
        <w:rPr>
          <w:lang w:val="fr-FR"/>
        </w:rPr>
        <w:tab/>
        <w:t>Aspect aux températures de transport normales, couleur, odeur, etc. : incolore, odeur éthérée</w:t>
      </w:r>
    </w:p>
    <w:p w14:paraId="211807F9" w14:textId="77777777" w:rsidR="0089164C" w:rsidRPr="0031470E" w:rsidRDefault="0089164C" w:rsidP="006E2EA3">
      <w:pPr>
        <w:pStyle w:val="SingleTxtG"/>
        <w:ind w:left="1701" w:hanging="567"/>
        <w:rPr>
          <w:lang w:val="fr-FR"/>
        </w:rPr>
      </w:pPr>
      <w:r w:rsidRPr="0031470E">
        <w:rPr>
          <w:lang w:val="fr-FR"/>
        </w:rPr>
        <w:t>2.9</w:t>
      </w:r>
      <w:r w:rsidRPr="0031470E">
        <w:rPr>
          <w:lang w:val="fr-FR"/>
        </w:rPr>
        <w:tab/>
        <w:t>Autres propriétés physiques pertinentes : soluble dans le benzène, l</w:t>
      </w:r>
      <w:r>
        <w:rPr>
          <w:lang w:val="fr-FR"/>
        </w:rPr>
        <w:t>’</w:t>
      </w:r>
      <w:r w:rsidRPr="0031470E">
        <w:rPr>
          <w:lang w:val="fr-FR"/>
        </w:rPr>
        <w:t>acétone, l</w:t>
      </w:r>
      <w:r>
        <w:rPr>
          <w:lang w:val="fr-FR"/>
        </w:rPr>
        <w:t>’</w:t>
      </w:r>
      <w:r w:rsidRPr="0031470E">
        <w:rPr>
          <w:lang w:val="fr-FR"/>
        </w:rPr>
        <w:t>éthanol et l</w:t>
      </w:r>
      <w:r>
        <w:rPr>
          <w:lang w:val="fr-FR"/>
        </w:rPr>
        <w:t>’</w:t>
      </w:r>
      <w:r w:rsidRPr="0031470E">
        <w:rPr>
          <w:lang w:val="fr-FR"/>
        </w:rPr>
        <w:t>éther</w:t>
      </w:r>
    </w:p>
    <w:p w14:paraId="31F69FB8" w14:textId="77777777" w:rsidR="0089164C" w:rsidRPr="0031470E" w:rsidRDefault="0089164C" w:rsidP="00BA5F8D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 xml:space="preserve">Section 3. INFLAMMABILITÉ </w:t>
      </w:r>
    </w:p>
    <w:p w14:paraId="5D5A1B87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3.1</w:t>
      </w:r>
      <w:r w:rsidRPr="0031470E">
        <w:rPr>
          <w:lang w:val="fr-FR"/>
        </w:rPr>
        <w:tab/>
        <w:t>Vapeurs inflammables</w:t>
      </w:r>
    </w:p>
    <w:p w14:paraId="64DEE108" w14:textId="78B91E9C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3.1.1</w:t>
      </w:r>
      <w:r w:rsidRPr="0031470E">
        <w:rPr>
          <w:lang w:val="fr-FR"/>
        </w:rPr>
        <w:tab/>
        <w:t>Point d</w:t>
      </w:r>
      <w:r>
        <w:rPr>
          <w:lang w:val="fr-FR"/>
        </w:rPr>
        <w:t>’</w:t>
      </w:r>
      <w:r w:rsidRPr="0031470E">
        <w:rPr>
          <w:lang w:val="fr-FR"/>
        </w:rPr>
        <w:t>éclair (cf. 2.3.3</w:t>
      </w:r>
      <w:r w:rsidRPr="0031470E">
        <w:rPr>
          <w:vertAlign w:val="superscript"/>
          <w:lang w:val="fr-FR"/>
        </w:rPr>
        <w:t>1</w:t>
      </w:r>
      <w:r w:rsidRPr="0031470E">
        <w:rPr>
          <w:lang w:val="fr-FR"/>
        </w:rPr>
        <w:t>) : -18 °C creuset ouvert/creuset fermé</w:t>
      </w:r>
    </w:p>
    <w:p w14:paraId="556BEBB0" w14:textId="7C57E774" w:rsidR="0089164C" w:rsidRPr="0031470E" w:rsidRDefault="0089164C" w:rsidP="00BA5F8D">
      <w:pPr>
        <w:pStyle w:val="SingleTxtG"/>
        <w:ind w:left="1701"/>
        <w:rPr>
          <w:lang w:val="fr-FR"/>
        </w:rPr>
      </w:pPr>
      <w:r w:rsidRPr="0031470E">
        <w:rPr>
          <w:lang w:val="fr-FR"/>
        </w:rPr>
        <w:t>Point d</w:t>
      </w:r>
      <w:r>
        <w:rPr>
          <w:lang w:val="fr-FR"/>
        </w:rPr>
        <w:t>’</w:t>
      </w:r>
      <w:r w:rsidRPr="0031470E">
        <w:rPr>
          <w:lang w:val="fr-FR"/>
        </w:rPr>
        <w:t>éclair (cf. 2.3.3</w:t>
      </w:r>
      <w:r w:rsidRPr="0031470E">
        <w:rPr>
          <w:vertAlign w:val="superscript"/>
          <w:lang w:val="fr-FR"/>
        </w:rPr>
        <w:t>1</w:t>
      </w:r>
      <w:r w:rsidRPr="0031470E">
        <w:rPr>
          <w:lang w:val="fr-FR"/>
        </w:rPr>
        <w:t>) : -29 °C creuset ouvert/creuset fermé</w:t>
      </w:r>
    </w:p>
    <w:p w14:paraId="283D9B7A" w14:textId="1CE6EA05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3.1.2</w:t>
      </w:r>
      <w:r w:rsidRPr="0031470E">
        <w:rPr>
          <w:lang w:val="fr-FR"/>
        </w:rPr>
        <w:tab/>
        <w:t>La matière entretient-elle une combustion ? (cf. 2.3.1.3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</w:r>
      <w:r w:rsidR="0026306E">
        <w:rPr>
          <w:lang w:val="fr-FR"/>
        </w:rPr>
        <w:tab/>
      </w:r>
      <w:r w:rsidRPr="0031470E">
        <w:rPr>
          <w:lang w:val="fr-FR"/>
        </w:rPr>
        <w:t>oui/non</w:t>
      </w:r>
    </w:p>
    <w:p w14:paraId="5E82574F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3.2</w:t>
      </w:r>
      <w:r w:rsidRPr="0031470E">
        <w:rPr>
          <w:lang w:val="fr-FR"/>
        </w:rPr>
        <w:tab/>
        <w:t>Température d</w:t>
      </w:r>
      <w:r>
        <w:rPr>
          <w:lang w:val="fr-FR"/>
        </w:rPr>
        <w:t>’</w:t>
      </w:r>
      <w:r w:rsidRPr="0031470E">
        <w:rPr>
          <w:lang w:val="fr-FR"/>
        </w:rPr>
        <w:t>auto-inflammation : 429 °C</w:t>
      </w:r>
    </w:p>
    <w:p w14:paraId="495C502F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3.3</w:t>
      </w:r>
      <w:r w:rsidRPr="0031470E">
        <w:rPr>
          <w:lang w:val="fr-FR"/>
        </w:rPr>
        <w:tab/>
        <w:t>Limites d</w:t>
      </w:r>
      <w:r>
        <w:rPr>
          <w:lang w:val="fr-FR"/>
        </w:rPr>
        <w:t>’</w:t>
      </w:r>
      <w:r w:rsidRPr="0031470E">
        <w:rPr>
          <w:lang w:val="fr-FR"/>
        </w:rPr>
        <w:t>inflammabilité (LII/LSI) : ___ %</w:t>
      </w:r>
    </w:p>
    <w:p w14:paraId="757CF6C9" w14:textId="25BE9F03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3.4</w:t>
      </w:r>
      <w:r w:rsidRPr="0031470E">
        <w:rPr>
          <w:lang w:val="fr-FR"/>
        </w:rPr>
        <w:tab/>
        <w:t>La matière est-elle une matière solide inflammable ? (cf. 2.4.2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="0026306E">
        <w:rPr>
          <w:lang w:val="fr-FR"/>
        </w:rPr>
        <w:tab/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56146372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3.4.1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>affirmative, donner des précisions ___</w:t>
      </w:r>
    </w:p>
    <w:p w14:paraId="6737F1F1" w14:textId="77777777" w:rsidR="0089164C" w:rsidRPr="0031470E" w:rsidRDefault="0089164C" w:rsidP="00BA5F8D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</w:r>
      <w:r w:rsidRPr="00BA5F8D">
        <w:t>Section</w:t>
      </w:r>
      <w:r w:rsidRPr="0031470E">
        <w:rPr>
          <w:lang w:val="fr-FR"/>
        </w:rPr>
        <w:t xml:space="preserve"> 4. PROPRIÉTÉS CHIMIQUES</w:t>
      </w:r>
    </w:p>
    <w:p w14:paraId="6849891C" w14:textId="17015E9B" w:rsidR="0089164C" w:rsidRPr="0031470E" w:rsidRDefault="0089164C" w:rsidP="006E2EA3">
      <w:pPr>
        <w:pStyle w:val="SingleTxtG"/>
        <w:ind w:left="1701" w:hanging="567"/>
        <w:rPr>
          <w:lang w:val="fr-FR"/>
        </w:rPr>
      </w:pPr>
      <w:r w:rsidRPr="0031470E">
        <w:rPr>
          <w:lang w:val="fr-FR"/>
        </w:rPr>
        <w:t>4.1</w:t>
      </w:r>
      <w:r w:rsidRPr="0031470E">
        <w:rPr>
          <w:lang w:val="fr-FR"/>
        </w:rPr>
        <w:tab/>
        <w:t>La matière nécessite-t-elle une inhibition/stabilisation ou un autre traitement (transport sous atmosphère d</w:t>
      </w:r>
      <w:r>
        <w:rPr>
          <w:lang w:val="fr-FR"/>
        </w:rPr>
        <w:t>’</w:t>
      </w:r>
      <w:r w:rsidRPr="0031470E">
        <w:rPr>
          <w:lang w:val="fr-FR"/>
        </w:rPr>
        <w:t>azote par exemple) pour empêcher des réactions dangereuses</w:t>
      </w:r>
      <w:r w:rsidR="00BA5F8D">
        <w:rPr>
          <w:lang w:val="fr-FR"/>
        </w:rPr>
        <w:t> </w:t>
      </w:r>
      <w:r w:rsidRPr="0031470E">
        <w:rPr>
          <w:lang w:val="fr-FR"/>
        </w:rPr>
        <w:t xml:space="preserve">?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681DD9DA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Dans l</w:t>
      </w:r>
      <w:r>
        <w:rPr>
          <w:lang w:val="fr-FR"/>
        </w:rPr>
        <w:t>’</w:t>
      </w:r>
      <w:r w:rsidRPr="0031470E">
        <w:rPr>
          <w:lang w:val="fr-FR"/>
        </w:rPr>
        <w:t>affirmative, indiquer :</w:t>
      </w:r>
    </w:p>
    <w:p w14:paraId="5C3B6280" w14:textId="22DBE030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4.1.1</w:t>
      </w:r>
      <w:r w:rsidRPr="0031470E">
        <w:rPr>
          <w:lang w:val="fr-FR"/>
        </w:rPr>
        <w:tab/>
        <w:t>L</w:t>
      </w:r>
      <w:r>
        <w:rPr>
          <w:lang w:val="fr-FR"/>
        </w:rPr>
        <w:t>’</w:t>
      </w:r>
      <w:r w:rsidRPr="0031470E">
        <w:rPr>
          <w:lang w:val="fr-FR"/>
        </w:rPr>
        <w:t xml:space="preserve">inhibiteur/le stabilisant utilisé : ___ </w:t>
      </w:r>
    </w:p>
    <w:p w14:paraId="6D3EAE53" w14:textId="68344416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4.1.2</w:t>
      </w:r>
      <w:r w:rsidRPr="0031470E">
        <w:rPr>
          <w:lang w:val="fr-FR"/>
        </w:rPr>
        <w:tab/>
        <w:t xml:space="preserve">Autre méthode : ___ </w:t>
      </w:r>
    </w:p>
    <w:p w14:paraId="18B2A097" w14:textId="3824F81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4.1.3</w:t>
      </w:r>
      <w:r w:rsidRPr="0031470E">
        <w:rPr>
          <w:lang w:val="fr-FR"/>
        </w:rPr>
        <w:tab/>
        <w:t>Durée d</w:t>
      </w:r>
      <w:r>
        <w:rPr>
          <w:lang w:val="fr-FR"/>
        </w:rPr>
        <w:t>’</w:t>
      </w:r>
      <w:r w:rsidRPr="0031470E">
        <w:rPr>
          <w:lang w:val="fr-FR"/>
        </w:rPr>
        <w:t xml:space="preserve">efficacité à 55 °C : ___ </w:t>
      </w:r>
    </w:p>
    <w:p w14:paraId="17C76CD7" w14:textId="7D4EDDCD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4.1.4</w:t>
      </w:r>
      <w:r w:rsidRPr="0031470E">
        <w:rPr>
          <w:lang w:val="fr-FR"/>
        </w:rPr>
        <w:tab/>
        <w:t xml:space="preserve">Conditions dans lesquelles la méthode est inefficace ___ </w:t>
      </w:r>
    </w:p>
    <w:p w14:paraId="58A73F7B" w14:textId="2F677811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4.2</w:t>
      </w:r>
      <w:r w:rsidRPr="0031470E">
        <w:rPr>
          <w:lang w:val="fr-FR"/>
        </w:rPr>
        <w:tab/>
        <w:t>La matière est-elle une matière explosible au sens du paragraphe 2.1.1.1</w:t>
      </w:r>
      <w:r w:rsidR="0026306E">
        <w:rPr>
          <w:lang w:val="fr-FR"/>
        </w:rPr>
        <w:t> </w:t>
      </w:r>
      <w:r w:rsidRPr="0031470E">
        <w:rPr>
          <w:lang w:val="fr-FR"/>
        </w:rPr>
        <w:t>? (2.1</w:t>
      </w:r>
      <w:r w:rsidRPr="00BA5F8D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233B478C" w14:textId="559FF1F0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4.2.1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343494FC" w14:textId="5B37614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4.3</w:t>
      </w:r>
      <w:r w:rsidRPr="0031470E">
        <w:rPr>
          <w:lang w:val="fr-FR"/>
        </w:rPr>
        <w:tab/>
        <w:t>La matière est-elle une matière explosible désensibilisée</w:t>
      </w:r>
      <w:r w:rsidR="00BA5F8D">
        <w:rPr>
          <w:lang w:val="fr-FR"/>
        </w:rPr>
        <w:t> </w:t>
      </w:r>
      <w:r w:rsidRPr="0031470E">
        <w:rPr>
          <w:lang w:val="fr-FR"/>
        </w:rPr>
        <w:t>? (cf.</w:t>
      </w:r>
      <w:r w:rsidR="0026306E">
        <w:rPr>
          <w:lang w:val="fr-FR"/>
        </w:rPr>
        <w:t> </w:t>
      </w:r>
      <w:r w:rsidRPr="0031470E">
        <w:rPr>
          <w:lang w:val="fr-FR"/>
        </w:rPr>
        <w:t>2.4.2.4</w:t>
      </w:r>
      <w:r w:rsidRPr="00BA5F8D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60445A31" w14:textId="741176C0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4.3.1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3944F10D" w14:textId="570C832E" w:rsidR="0089164C" w:rsidRPr="0031470E" w:rsidRDefault="0089164C" w:rsidP="00BA5F8D">
      <w:pPr>
        <w:pStyle w:val="SingleTxtG"/>
        <w:keepNext/>
        <w:rPr>
          <w:lang w:val="fr-FR"/>
        </w:rPr>
      </w:pPr>
      <w:r w:rsidRPr="0031470E">
        <w:rPr>
          <w:lang w:val="fr-FR"/>
        </w:rPr>
        <w:lastRenderedPageBreak/>
        <w:t>4.4</w:t>
      </w:r>
      <w:r w:rsidRPr="0031470E">
        <w:rPr>
          <w:lang w:val="fr-FR"/>
        </w:rPr>
        <w:tab/>
        <w:t>La matière est-elle une matière autoréactive</w:t>
      </w:r>
      <w:r w:rsidR="00BA5F8D">
        <w:rPr>
          <w:lang w:val="fr-FR"/>
        </w:rPr>
        <w:t> </w:t>
      </w:r>
      <w:r w:rsidRPr="0031470E">
        <w:rPr>
          <w:lang w:val="fr-FR"/>
        </w:rPr>
        <w:t>? (cf. 2.4.1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24E0651A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 xml:space="preserve">Si oui, indiquer : </w:t>
      </w:r>
    </w:p>
    <w:p w14:paraId="4F936711" w14:textId="701229D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4.4.1</w:t>
      </w:r>
      <w:r w:rsidRPr="0031470E">
        <w:rPr>
          <w:lang w:val="fr-FR"/>
        </w:rPr>
        <w:tab/>
        <w:t xml:space="preserve">La case de sortie du diagramme de décision ___ </w:t>
      </w:r>
    </w:p>
    <w:p w14:paraId="64E5E219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Quelle est la température de décomposition auto-accélérée (TDAA) (point de décomposition exothermique) pour un colis de 50 kg ?  °C</w:t>
      </w:r>
    </w:p>
    <w:p w14:paraId="621FBAA3" w14:textId="28927148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La température doit-elle être régulée ? (cf. 2.4.2.3.4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</w:r>
      <w:r w:rsidR="006E2EA3">
        <w:rPr>
          <w:lang w:val="fr-FR"/>
        </w:rPr>
        <w:tab/>
      </w:r>
      <w:r w:rsidRPr="0031470E">
        <w:rPr>
          <w:lang w:val="fr-FR"/>
        </w:rPr>
        <w:t>oui/</w:t>
      </w:r>
      <w:r w:rsidRPr="0031470E">
        <w:rPr>
          <w:u w:val="single"/>
          <w:lang w:val="fr-FR"/>
        </w:rPr>
        <w:t>non</w:t>
      </w:r>
    </w:p>
    <w:p w14:paraId="7647EC15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4.4.2 </w:t>
      </w:r>
      <w:r w:rsidRPr="0031470E">
        <w:rPr>
          <w:lang w:val="fr-FR"/>
        </w:rPr>
        <w:tab/>
        <w:t>Température de régulation proposée pour un colis de 50 kg ___ °C</w:t>
      </w:r>
    </w:p>
    <w:p w14:paraId="4038DEE9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4.4.3 </w:t>
      </w:r>
      <w:r w:rsidRPr="0031470E">
        <w:rPr>
          <w:lang w:val="fr-FR"/>
        </w:rPr>
        <w:tab/>
        <w:t>Température critique proposée pour un colis de 50 kg ___ °C</w:t>
      </w:r>
    </w:p>
    <w:p w14:paraId="60CC5F18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4.5</w:t>
      </w:r>
      <w:r w:rsidRPr="0031470E">
        <w:rPr>
          <w:lang w:val="fr-FR"/>
        </w:rPr>
        <w:tab/>
        <w:t>La matière est-elle pyrophorique ? (cf. 2.4.3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1B68FC61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4.5.1 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25A6D4DB" w14:textId="769C3DAE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4.6</w:t>
      </w:r>
      <w:r w:rsidRPr="0031470E">
        <w:rPr>
          <w:lang w:val="fr-FR"/>
        </w:rPr>
        <w:tab/>
        <w:t>La matière est-elle sujette à l</w:t>
      </w:r>
      <w:r>
        <w:rPr>
          <w:lang w:val="fr-FR"/>
        </w:rPr>
        <w:t>’</w:t>
      </w:r>
      <w:r w:rsidRPr="0031470E">
        <w:rPr>
          <w:lang w:val="fr-FR"/>
        </w:rPr>
        <w:t>auto-échauffement ? (cf. 2.4.3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0C409134" w14:textId="64CA3099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4.6.1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240F41D9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4.7</w:t>
      </w:r>
      <w:r w:rsidRPr="0031470E">
        <w:rPr>
          <w:lang w:val="fr-FR"/>
        </w:rPr>
        <w:tab/>
        <w:t>La matière est-elle un peroxyde organique ? (cf. 2.5.1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785DE005" w14:textId="1BB54A56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Si oui, indiquer</w:t>
      </w:r>
      <w:r w:rsidR="0026306E">
        <w:rPr>
          <w:lang w:val="fr-FR"/>
        </w:rPr>
        <w:t> </w:t>
      </w:r>
      <w:r w:rsidRPr="0031470E">
        <w:rPr>
          <w:lang w:val="fr-FR"/>
        </w:rPr>
        <w:t>:</w:t>
      </w:r>
    </w:p>
    <w:p w14:paraId="446816E1" w14:textId="21056B25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4.7.1</w:t>
      </w:r>
      <w:r w:rsidRPr="0031470E">
        <w:rPr>
          <w:lang w:val="fr-FR"/>
        </w:rPr>
        <w:tab/>
        <w:t xml:space="preserve">La case de sortie du diagramme de décision ___ </w:t>
      </w:r>
    </w:p>
    <w:p w14:paraId="68428157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Quelle est la température de décomposition auto-accélérée (TDAA) (point de décomposition exothermique) pour un colis de 50 kg ? ___ °C</w:t>
      </w:r>
    </w:p>
    <w:p w14:paraId="5A68CB02" w14:textId="77777777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La température doit-elle être régulée ? (cf. 2.5.3.4.1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0140F4DB" w14:textId="67EC3871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4.7.2</w:t>
      </w:r>
      <w:r w:rsidRPr="0031470E">
        <w:rPr>
          <w:lang w:val="fr-FR"/>
        </w:rPr>
        <w:tab/>
        <w:t xml:space="preserve">Température de régulation proposée pour un colis de 50 kg ___ °C </w:t>
      </w:r>
    </w:p>
    <w:p w14:paraId="33FE22F7" w14:textId="6C3E2442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4.7.3</w:t>
      </w:r>
      <w:r w:rsidRPr="0031470E">
        <w:rPr>
          <w:lang w:val="fr-FR"/>
        </w:rPr>
        <w:tab/>
        <w:t xml:space="preserve">Température critique proposée pour un colis de 50 kg ___ °C </w:t>
      </w:r>
    </w:p>
    <w:p w14:paraId="37903A6B" w14:textId="3ED322E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4.8</w:t>
      </w:r>
      <w:r w:rsidRPr="0031470E">
        <w:rPr>
          <w:lang w:val="fr-FR"/>
        </w:rPr>
        <w:tab/>
        <w:t>La matière dégage-t-elle des gaz inflammables au contact de l</w:t>
      </w:r>
      <w:r>
        <w:rPr>
          <w:lang w:val="fr-FR"/>
        </w:rPr>
        <w:t>’</w:t>
      </w:r>
      <w:r w:rsidRPr="0031470E">
        <w:rPr>
          <w:lang w:val="fr-FR"/>
        </w:rPr>
        <w:t>eau</w:t>
      </w:r>
      <w:r w:rsidR="0026306E">
        <w:rPr>
          <w:lang w:val="fr-FR"/>
        </w:rPr>
        <w:t> </w:t>
      </w:r>
      <w:r w:rsidRPr="0031470E">
        <w:rPr>
          <w:lang w:val="fr-FR"/>
        </w:rPr>
        <w:t>? (cf. 2.4.4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331DF44D" w14:textId="2701F6AF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4.8.1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1F31EC77" w14:textId="52F776B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4.9</w:t>
      </w:r>
      <w:r w:rsidRPr="0031470E">
        <w:rPr>
          <w:lang w:val="fr-FR"/>
        </w:rPr>
        <w:tab/>
        <w:t>La matière a-t-elle des propriétés comburantes ? (cf. 2.5.1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 xml:space="preserve">) </w:t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59495770" w14:textId="1161510C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4.9.1</w:t>
      </w:r>
      <w:r w:rsidRPr="0031470E">
        <w:rPr>
          <w:lang w:val="fr-FR"/>
        </w:rPr>
        <w:tab/>
        <w:t>Dans l</w:t>
      </w:r>
      <w:r>
        <w:rPr>
          <w:lang w:val="fr-FR"/>
        </w:rPr>
        <w:t>’</w:t>
      </w:r>
      <w:r w:rsidRPr="0031470E">
        <w:rPr>
          <w:lang w:val="fr-FR"/>
        </w:rPr>
        <w:t xml:space="preserve">affirmative, donner des précisions ___ </w:t>
      </w:r>
    </w:p>
    <w:p w14:paraId="6DAC4518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4.10</w:t>
      </w:r>
      <w:r w:rsidRPr="0031470E">
        <w:rPr>
          <w:lang w:val="fr-FR"/>
        </w:rPr>
        <w:tab/>
        <w:t>Action corrosive sur le matériau des emballages (cf. 2.8</w:t>
      </w:r>
      <w:r w:rsidRPr="0031470E">
        <w:rPr>
          <w:vertAlign w:val="superscript"/>
          <w:lang w:val="fr-FR"/>
        </w:rPr>
        <w:t>1</w:t>
      </w:r>
      <w:r w:rsidRPr="0031470E">
        <w:rPr>
          <w:lang w:val="fr-FR"/>
        </w:rPr>
        <w:t>) :</w:t>
      </w:r>
    </w:p>
    <w:p w14:paraId="04E388A8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4.10.1 </w:t>
      </w:r>
      <w:r w:rsidRPr="0031470E">
        <w:rPr>
          <w:lang w:val="fr-FR"/>
        </w:rPr>
        <w:tab/>
        <w:t>Acier doux ___ mm par an à ___ °C</w:t>
      </w:r>
    </w:p>
    <w:p w14:paraId="27FE4DE7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4.10.2 </w:t>
      </w:r>
      <w:r w:rsidRPr="0031470E">
        <w:rPr>
          <w:lang w:val="fr-FR"/>
        </w:rPr>
        <w:tab/>
        <w:t>Aluminium ___ mm par an à ___ °C</w:t>
      </w:r>
    </w:p>
    <w:p w14:paraId="61FF6B96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 xml:space="preserve">4.10.3 </w:t>
      </w:r>
      <w:r w:rsidRPr="0031470E">
        <w:rPr>
          <w:lang w:val="fr-FR"/>
        </w:rPr>
        <w:tab/>
        <w:t>Autres matériaux d</w:t>
      </w:r>
      <w:r>
        <w:rPr>
          <w:lang w:val="fr-FR"/>
        </w:rPr>
        <w:t>’</w:t>
      </w:r>
      <w:r w:rsidRPr="0031470E">
        <w:rPr>
          <w:lang w:val="fr-FR"/>
        </w:rPr>
        <w:t>emballage (à préciser) :</w:t>
      </w:r>
    </w:p>
    <w:p w14:paraId="1ECF3D13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___ mm par an à ___ °C</w:t>
      </w:r>
    </w:p>
    <w:p w14:paraId="0F66C4BE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___ mm par an à ___ °C</w:t>
      </w:r>
    </w:p>
    <w:p w14:paraId="74966165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4.11</w:t>
      </w:r>
      <w:r w:rsidRPr="0031470E">
        <w:rPr>
          <w:lang w:val="fr-FR"/>
        </w:rPr>
        <w:tab/>
        <w:t xml:space="preserve">Autres propriétés chimiques pertinentes : ___ </w:t>
      </w:r>
    </w:p>
    <w:p w14:paraId="48235E9F" w14:textId="77777777" w:rsidR="0089164C" w:rsidRPr="0031470E" w:rsidRDefault="0089164C" w:rsidP="0026306E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 xml:space="preserve">Section 5. EFFETS BIOLOGIQUES NOCIFS </w:t>
      </w:r>
    </w:p>
    <w:p w14:paraId="0FF1C837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5.1</w:t>
      </w:r>
      <w:r w:rsidRPr="0031470E">
        <w:rPr>
          <w:lang w:val="fr-FR"/>
        </w:rPr>
        <w:tab/>
        <w:t>DL</w:t>
      </w:r>
      <w:r w:rsidRPr="0031470E">
        <w:rPr>
          <w:vertAlign w:val="subscript"/>
          <w:lang w:val="fr-FR"/>
        </w:rPr>
        <w:t>50</w:t>
      </w:r>
      <w:r w:rsidRPr="0031470E">
        <w:rPr>
          <w:lang w:val="fr-FR"/>
        </w:rPr>
        <w:t xml:space="preserve"> à l</w:t>
      </w:r>
      <w:r>
        <w:rPr>
          <w:lang w:val="fr-FR"/>
        </w:rPr>
        <w:t>’</w:t>
      </w:r>
      <w:r w:rsidRPr="0031470E">
        <w:rPr>
          <w:lang w:val="fr-FR"/>
        </w:rPr>
        <w:t>ingestion : (cf. 2.6.2.1.1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 330 mg/kg p.c. pour les rats</w:t>
      </w:r>
    </w:p>
    <w:p w14:paraId="499AA046" w14:textId="45B688A3" w:rsidR="0089164C" w:rsidRPr="0031470E" w:rsidRDefault="0089164C" w:rsidP="0026306E">
      <w:pPr>
        <w:pStyle w:val="SingleTxtG"/>
        <w:ind w:left="3402"/>
        <w:rPr>
          <w:lang w:val="fr-FR"/>
        </w:rPr>
      </w:pPr>
      <w:r w:rsidRPr="0031470E">
        <w:rPr>
          <w:lang w:val="fr-FR"/>
        </w:rPr>
        <w:tab/>
        <w:t>280-365 mg/kg p.c. pour les souris</w:t>
      </w:r>
    </w:p>
    <w:p w14:paraId="4C038368" w14:textId="1F8829C1" w:rsidR="0089164C" w:rsidRPr="0031470E" w:rsidRDefault="0089164C" w:rsidP="0026306E">
      <w:pPr>
        <w:pStyle w:val="SingleTxtG"/>
        <w:ind w:left="3402"/>
        <w:rPr>
          <w:lang w:val="fr-FR"/>
        </w:rPr>
      </w:pPr>
      <w:r w:rsidRPr="0031470E">
        <w:rPr>
          <w:lang w:val="fr-FR"/>
        </w:rPr>
        <w:tab/>
        <w:t>270 mg/kg p.c. pour les cobayes</w:t>
      </w:r>
    </w:p>
    <w:p w14:paraId="3DD50ECA" w14:textId="74897886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5.2</w:t>
      </w:r>
      <w:r w:rsidRPr="0031470E">
        <w:rPr>
          <w:lang w:val="fr-FR"/>
        </w:rPr>
        <w:tab/>
        <w:t>DL</w:t>
      </w:r>
      <w:r w:rsidRPr="0031470E">
        <w:rPr>
          <w:vertAlign w:val="subscript"/>
          <w:lang w:val="fr-FR"/>
        </w:rPr>
        <w:t>50</w:t>
      </w:r>
      <w:r w:rsidRPr="0031470E">
        <w:rPr>
          <w:lang w:val="fr-FR"/>
        </w:rPr>
        <w:t xml:space="preserve"> à l</w:t>
      </w:r>
      <w:r>
        <w:rPr>
          <w:lang w:val="fr-FR"/>
        </w:rPr>
        <w:t>’</w:t>
      </w:r>
      <w:r w:rsidRPr="0031470E">
        <w:rPr>
          <w:lang w:val="fr-FR"/>
        </w:rPr>
        <w:t>absorption cutanée (cf. 2.6.2.1.21)</w:t>
      </w:r>
      <w:r w:rsidR="0026306E">
        <w:rPr>
          <w:lang w:val="fr-FR"/>
        </w:rPr>
        <w:t> </w:t>
      </w:r>
      <w:r w:rsidRPr="0031470E">
        <w:rPr>
          <w:lang w:val="fr-FR"/>
        </w:rPr>
        <w:t>: aucune donnée disponible</w:t>
      </w:r>
    </w:p>
    <w:p w14:paraId="31A52557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5.3</w:t>
      </w:r>
      <w:r w:rsidRPr="0031470E">
        <w:rPr>
          <w:lang w:val="fr-FR"/>
        </w:rPr>
        <w:tab/>
        <w:t>CL</w:t>
      </w:r>
      <w:r w:rsidRPr="0031470E">
        <w:rPr>
          <w:vertAlign w:val="subscript"/>
          <w:lang w:val="fr-FR"/>
        </w:rPr>
        <w:t>50</w:t>
      </w:r>
      <w:r w:rsidRPr="0031470E">
        <w:rPr>
          <w:lang w:val="fr-FR"/>
        </w:rPr>
        <w:t xml:space="preserve"> à l</w:t>
      </w:r>
      <w:r>
        <w:rPr>
          <w:lang w:val="fr-FR"/>
        </w:rPr>
        <w:t>’</w:t>
      </w:r>
      <w:r w:rsidRPr="0031470E">
        <w:rPr>
          <w:lang w:val="fr-FR"/>
        </w:rPr>
        <w:t>inhalation (2.6.2.1.3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 660 ppm, 4 h, souris femelles</w:t>
      </w:r>
    </w:p>
    <w:p w14:paraId="279638CC" w14:textId="0A10DDE9" w:rsidR="0089164C" w:rsidRPr="0031470E" w:rsidRDefault="0089164C" w:rsidP="0026306E">
      <w:pPr>
        <w:pStyle w:val="SingleTxtG"/>
        <w:ind w:left="3969"/>
        <w:rPr>
          <w:lang w:val="fr-FR"/>
        </w:rPr>
      </w:pPr>
      <w:r w:rsidRPr="0031470E">
        <w:rPr>
          <w:lang w:val="fr-FR"/>
        </w:rPr>
        <w:tab/>
        <w:t>1972 ppm, 4 h, rats mâles</w:t>
      </w:r>
    </w:p>
    <w:p w14:paraId="490DBACF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lastRenderedPageBreak/>
        <w:t>5.4</w:t>
      </w:r>
      <w:r w:rsidRPr="0031470E">
        <w:rPr>
          <w:lang w:val="fr-FR"/>
        </w:rPr>
        <w:tab/>
        <w:t>Concentration de vapeur saturée à 20 °C (cf. 2.6.2.2.4.3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 : ___ ml/m3</w:t>
      </w:r>
    </w:p>
    <w:p w14:paraId="2EC462BA" w14:textId="3E6114C2" w:rsidR="0089164C" w:rsidRPr="0031470E" w:rsidRDefault="0089164C" w:rsidP="006E2EA3">
      <w:pPr>
        <w:pStyle w:val="SingleTxtG"/>
        <w:ind w:left="1701" w:hanging="567"/>
        <w:rPr>
          <w:lang w:val="fr-FR"/>
        </w:rPr>
      </w:pPr>
      <w:r w:rsidRPr="0031470E">
        <w:rPr>
          <w:lang w:val="fr-FR"/>
        </w:rPr>
        <w:t>5.5</w:t>
      </w:r>
      <w:r w:rsidRPr="0031470E">
        <w:rPr>
          <w:lang w:val="fr-FR"/>
        </w:rPr>
        <w:tab/>
        <w:t>Résultats des essais cutanés (cf. 2.8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="0026306E">
        <w:rPr>
          <w:lang w:val="fr-FR"/>
        </w:rPr>
        <w:t> </w:t>
      </w:r>
      <w:r w:rsidRPr="0031470E">
        <w:rPr>
          <w:lang w:val="fr-FR"/>
        </w:rPr>
        <w:t>: 0,5</w:t>
      </w:r>
      <w:r w:rsidR="0026306E">
        <w:rPr>
          <w:lang w:val="fr-FR"/>
        </w:rPr>
        <w:t> </w:t>
      </w:r>
      <w:r w:rsidRPr="0031470E">
        <w:rPr>
          <w:lang w:val="fr-FR"/>
        </w:rPr>
        <w:t>ml d</w:t>
      </w:r>
      <w:r>
        <w:rPr>
          <w:lang w:val="fr-FR"/>
        </w:rPr>
        <w:t>’</w:t>
      </w:r>
      <w:r w:rsidRPr="0031470E">
        <w:rPr>
          <w:lang w:val="fr-FR"/>
        </w:rPr>
        <w:t>oxyde d</w:t>
      </w:r>
      <w:r>
        <w:rPr>
          <w:lang w:val="fr-FR"/>
        </w:rPr>
        <w:t>’</w:t>
      </w:r>
      <w:r w:rsidRPr="0031470E">
        <w:rPr>
          <w:lang w:val="fr-FR"/>
        </w:rPr>
        <w:t>éthylène non dilué, 4</w:t>
      </w:r>
      <w:r w:rsidR="0026306E">
        <w:rPr>
          <w:lang w:val="fr-FR"/>
        </w:rPr>
        <w:t> </w:t>
      </w:r>
      <w:r w:rsidRPr="0031470E">
        <w:rPr>
          <w:lang w:val="fr-FR"/>
        </w:rPr>
        <w:t>h d</w:t>
      </w:r>
      <w:r>
        <w:rPr>
          <w:lang w:val="fr-FR"/>
        </w:rPr>
        <w:t>’</w:t>
      </w:r>
      <w:r w:rsidRPr="0031470E">
        <w:rPr>
          <w:lang w:val="fr-FR"/>
        </w:rPr>
        <w:t>exposition, lapins &gt; hémorragies sous-cutanées et brûlures chimiques</w:t>
      </w:r>
      <w:r w:rsidR="00CC31B1">
        <w:rPr>
          <w:lang w:val="fr-FR"/>
        </w:rPr>
        <w:t> </w:t>
      </w:r>
      <w:r w:rsidRPr="0031470E">
        <w:rPr>
          <w:lang w:val="fr-FR"/>
        </w:rPr>
        <w:t>; solutions à 10 % et à 50 %, moins d</w:t>
      </w:r>
      <w:r>
        <w:rPr>
          <w:lang w:val="fr-FR"/>
        </w:rPr>
        <w:t>’</w:t>
      </w:r>
      <w:r w:rsidRPr="0031470E">
        <w:rPr>
          <w:lang w:val="fr-FR"/>
        </w:rPr>
        <w:t>une heure, lapins &gt; hyperémie et œdème</w:t>
      </w:r>
    </w:p>
    <w:p w14:paraId="3F0C5702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5.6</w:t>
      </w:r>
      <w:r w:rsidRPr="0031470E">
        <w:rPr>
          <w:lang w:val="fr-FR"/>
        </w:rPr>
        <w:tab/>
        <w:t xml:space="preserve">Autres données : ___ </w:t>
      </w:r>
    </w:p>
    <w:p w14:paraId="5772AE9C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5.7</w:t>
      </w:r>
      <w:r w:rsidRPr="0031470E">
        <w:rPr>
          <w:lang w:val="fr-FR"/>
        </w:rPr>
        <w:tab/>
        <w:t>Effets sur l</w:t>
      </w:r>
      <w:r>
        <w:rPr>
          <w:lang w:val="fr-FR"/>
        </w:rPr>
        <w:t>’</w:t>
      </w:r>
      <w:r w:rsidRPr="0031470E">
        <w:rPr>
          <w:lang w:val="fr-FR"/>
        </w:rPr>
        <w:t xml:space="preserve">homme : ___ </w:t>
      </w:r>
    </w:p>
    <w:p w14:paraId="65A16A11" w14:textId="77777777" w:rsidR="0089164C" w:rsidRPr="0031470E" w:rsidRDefault="0089164C" w:rsidP="0026306E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 xml:space="preserve">Section 6. INFORMATIONS COMPLÉMENTAIRES </w:t>
      </w:r>
    </w:p>
    <w:p w14:paraId="7C6EEE61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6.1</w:t>
      </w:r>
      <w:r w:rsidRPr="0031470E">
        <w:rPr>
          <w:lang w:val="fr-FR"/>
        </w:rPr>
        <w:tab/>
        <w:t>Mesures recommandées en cas d</w:t>
      </w:r>
      <w:r>
        <w:rPr>
          <w:lang w:val="fr-FR"/>
        </w:rPr>
        <w:t>’</w:t>
      </w:r>
      <w:r w:rsidRPr="0031470E">
        <w:rPr>
          <w:lang w:val="fr-FR"/>
        </w:rPr>
        <w:t>urgence</w:t>
      </w:r>
    </w:p>
    <w:p w14:paraId="46BC0822" w14:textId="3A7E5F1B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6.1.1</w:t>
      </w:r>
      <w:r w:rsidRPr="0031470E">
        <w:rPr>
          <w:lang w:val="fr-FR"/>
        </w:rPr>
        <w:tab/>
        <w:t>Incendie (indiquer les agents d</w:t>
      </w:r>
      <w:r>
        <w:rPr>
          <w:lang w:val="fr-FR"/>
        </w:rPr>
        <w:t>’</w:t>
      </w:r>
      <w:r w:rsidRPr="0031470E">
        <w:rPr>
          <w:lang w:val="fr-FR"/>
        </w:rPr>
        <w:t xml:space="preserve">extinction appropriés et ceux à ne pas utiliser) : ___ </w:t>
      </w:r>
    </w:p>
    <w:p w14:paraId="3690D4CC" w14:textId="1D1353BF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6.1.2</w:t>
      </w:r>
      <w:r w:rsidRPr="0031470E">
        <w:rPr>
          <w:lang w:val="fr-FR"/>
        </w:rPr>
        <w:tab/>
        <w:t xml:space="preserve">Fuite de matière : ___ </w:t>
      </w:r>
    </w:p>
    <w:p w14:paraId="6D4064C8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6.2</w:t>
      </w:r>
      <w:r w:rsidRPr="0031470E">
        <w:rPr>
          <w:lang w:val="fr-FR"/>
        </w:rPr>
        <w:tab/>
        <w:t>Est-il prévu de transporter la matière en :</w:t>
      </w:r>
    </w:p>
    <w:p w14:paraId="5A674238" w14:textId="7217C219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6.2.1</w:t>
      </w:r>
      <w:r w:rsidRPr="0031470E">
        <w:rPr>
          <w:lang w:val="fr-FR"/>
        </w:rPr>
        <w:tab/>
        <w:t>Conteneurs pour vrac (cf. 6.8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="0026306E">
        <w:rPr>
          <w:lang w:val="fr-FR"/>
        </w:rPr>
        <w:t> </w:t>
      </w:r>
      <w:r w:rsidRPr="0031470E">
        <w:rPr>
          <w:lang w:val="fr-FR"/>
        </w:rPr>
        <w:t xml:space="preserve">? </w:t>
      </w:r>
      <w:r w:rsidRPr="0031470E">
        <w:rPr>
          <w:lang w:val="fr-FR"/>
        </w:rPr>
        <w:tab/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46643808" w14:textId="44742FAA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6.2.2</w:t>
      </w:r>
      <w:r w:rsidRPr="0031470E">
        <w:rPr>
          <w:lang w:val="fr-FR"/>
        </w:rPr>
        <w:tab/>
        <w:t>Grands récipients pour vrac (cf. 6.5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="0026306E">
        <w:rPr>
          <w:lang w:val="fr-FR"/>
        </w:rPr>
        <w:t> </w:t>
      </w:r>
      <w:r w:rsidRPr="0031470E">
        <w:rPr>
          <w:lang w:val="fr-FR"/>
        </w:rPr>
        <w:t xml:space="preserve">? </w:t>
      </w:r>
      <w:r w:rsidRPr="0031470E">
        <w:rPr>
          <w:lang w:val="fr-FR"/>
        </w:rPr>
        <w:tab/>
      </w:r>
      <w:r w:rsidRPr="0031470E">
        <w:rPr>
          <w:u w:val="single"/>
          <w:lang w:val="fr-FR"/>
        </w:rPr>
        <w:t>oui</w:t>
      </w:r>
      <w:r w:rsidRPr="0031470E">
        <w:rPr>
          <w:lang w:val="fr-FR"/>
        </w:rPr>
        <w:t>/</w:t>
      </w:r>
      <w:r w:rsidRPr="0031470E">
        <w:rPr>
          <w:u w:val="single"/>
          <w:lang w:val="fr-FR"/>
        </w:rPr>
        <w:t>non</w:t>
      </w:r>
    </w:p>
    <w:p w14:paraId="0DC67502" w14:textId="4A5FCC5E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6.2.3</w:t>
      </w:r>
      <w:r w:rsidRPr="0031470E">
        <w:rPr>
          <w:lang w:val="fr-FR"/>
        </w:rPr>
        <w:tab/>
        <w:t>Citernes mobiles (cf. 6.7</w:t>
      </w:r>
      <w:r w:rsidRPr="0026306E">
        <w:rPr>
          <w:sz w:val="18"/>
          <w:szCs w:val="18"/>
          <w:vertAlign w:val="superscript"/>
          <w:lang w:val="fr-FR"/>
        </w:rPr>
        <w:t>1</w:t>
      </w:r>
      <w:r w:rsidRPr="0031470E">
        <w:rPr>
          <w:lang w:val="fr-FR"/>
        </w:rPr>
        <w:t>)</w:t>
      </w:r>
      <w:r w:rsidR="0026306E">
        <w:rPr>
          <w:lang w:val="fr-FR"/>
        </w:rPr>
        <w:t> </w:t>
      </w:r>
      <w:r w:rsidRPr="0031470E">
        <w:rPr>
          <w:lang w:val="fr-FR"/>
        </w:rPr>
        <w:t>?</w:t>
      </w:r>
      <w:r w:rsidRPr="0031470E">
        <w:rPr>
          <w:lang w:val="fr-FR"/>
        </w:rPr>
        <w:tab/>
      </w:r>
      <w:r w:rsidRPr="0031470E">
        <w:rPr>
          <w:lang w:val="fr-FR"/>
        </w:rPr>
        <w:tab/>
      </w:r>
      <w:r w:rsidRPr="0031470E">
        <w:rPr>
          <w:lang w:val="fr-FR"/>
        </w:rPr>
        <w:tab/>
        <w:t>oui/</w:t>
      </w:r>
      <w:r w:rsidRPr="0031470E">
        <w:rPr>
          <w:u w:val="single"/>
          <w:lang w:val="fr-FR"/>
        </w:rPr>
        <w:t>non</w:t>
      </w:r>
    </w:p>
    <w:p w14:paraId="118388FF" w14:textId="1C2D0890" w:rsidR="0089164C" w:rsidRPr="0031470E" w:rsidRDefault="0089164C" w:rsidP="006E2EA3">
      <w:pPr>
        <w:pStyle w:val="SingleTxtG"/>
        <w:ind w:firstLine="567"/>
        <w:rPr>
          <w:lang w:val="fr-FR"/>
        </w:rPr>
      </w:pPr>
      <w:r w:rsidRPr="0031470E">
        <w:rPr>
          <w:lang w:val="fr-FR"/>
        </w:rPr>
        <w:t>Si la réponse est affirmative, donner des précisions dans les sections 7, 8 ou 9 ci</w:t>
      </w:r>
      <w:r w:rsidR="006E2EA3">
        <w:rPr>
          <w:lang w:val="fr-FR"/>
        </w:rPr>
        <w:noBreakHyphen/>
      </w:r>
      <w:r w:rsidRPr="0031470E">
        <w:rPr>
          <w:lang w:val="fr-FR"/>
        </w:rPr>
        <w:t>dessous, respectivement.</w:t>
      </w:r>
    </w:p>
    <w:p w14:paraId="7E2B6C1C" w14:textId="1878EB7D" w:rsidR="0089164C" w:rsidRPr="0031470E" w:rsidRDefault="0089164C" w:rsidP="0026306E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Section 7. CONTENEURS POUR VRAC (à ne remplir que si</w:t>
      </w:r>
      <w:r w:rsidR="00CC31B1">
        <w:rPr>
          <w:lang w:val="fr-FR"/>
        </w:rPr>
        <w:t> </w:t>
      </w:r>
      <w:r w:rsidRPr="0031470E">
        <w:rPr>
          <w:lang w:val="fr-FR"/>
        </w:rPr>
        <w:t>la</w:t>
      </w:r>
      <w:r w:rsidR="00CC31B1">
        <w:rPr>
          <w:lang w:val="fr-FR"/>
        </w:rPr>
        <w:t> </w:t>
      </w:r>
      <w:r w:rsidRPr="0031470E">
        <w:rPr>
          <w:lang w:val="fr-FR"/>
        </w:rPr>
        <w:t>réponse sous 6.2.1 est oui)</w:t>
      </w:r>
    </w:p>
    <w:p w14:paraId="62DF6754" w14:textId="77777777" w:rsidR="0089164C" w:rsidRPr="0031470E" w:rsidRDefault="0089164C" w:rsidP="0026306E">
      <w:pPr>
        <w:pStyle w:val="SingleTxtG"/>
        <w:rPr>
          <w:lang w:val="fr-FR"/>
        </w:rPr>
      </w:pPr>
      <w:r w:rsidRPr="0031470E">
        <w:rPr>
          <w:lang w:val="fr-FR"/>
        </w:rPr>
        <w:t>7.1</w:t>
      </w:r>
      <w:r w:rsidRPr="0031470E">
        <w:rPr>
          <w:lang w:val="fr-FR"/>
        </w:rPr>
        <w:tab/>
        <w:t>Type(s) proposé(s) :</w:t>
      </w:r>
    </w:p>
    <w:p w14:paraId="2F8BF6C8" w14:textId="77777777" w:rsidR="0089164C" w:rsidRPr="0031470E" w:rsidRDefault="0089164C" w:rsidP="0026306E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Section 8. TRANSPORT EN GRANDS RÉCIPIENTS POUR VRAC (GRV) (à ne remplir que si la réponse sous 6.2.2 est oui)</w:t>
      </w:r>
    </w:p>
    <w:p w14:paraId="27871466" w14:textId="4E5D2F9C" w:rsidR="0089164C" w:rsidRPr="0031470E" w:rsidRDefault="0089164C" w:rsidP="0026306E">
      <w:pPr>
        <w:pStyle w:val="SingleTxtG"/>
        <w:rPr>
          <w:lang w:val="fr-FR"/>
        </w:rPr>
      </w:pPr>
      <w:r w:rsidRPr="0031470E">
        <w:rPr>
          <w:lang w:val="fr-FR"/>
        </w:rPr>
        <w:t>8.1</w:t>
      </w:r>
      <w:r w:rsidRPr="0031470E">
        <w:rPr>
          <w:lang w:val="fr-FR"/>
        </w:rPr>
        <w:tab/>
        <w:t>Type(s) proposé(s)</w:t>
      </w:r>
      <w:r w:rsidR="0026306E">
        <w:rPr>
          <w:lang w:val="fr-FR"/>
        </w:rPr>
        <w:t> </w:t>
      </w:r>
      <w:r w:rsidRPr="0031470E">
        <w:rPr>
          <w:lang w:val="fr-FR"/>
        </w:rPr>
        <w:t>:</w:t>
      </w:r>
    </w:p>
    <w:p w14:paraId="04265A4F" w14:textId="77777777" w:rsidR="0089164C" w:rsidRPr="0031470E" w:rsidRDefault="0089164C" w:rsidP="0026306E">
      <w:pPr>
        <w:pStyle w:val="H1G"/>
        <w:rPr>
          <w:lang w:val="fr-FR"/>
        </w:rPr>
      </w:pPr>
      <w:r w:rsidRPr="0031470E">
        <w:rPr>
          <w:lang w:val="fr-FR"/>
        </w:rPr>
        <w:tab/>
      </w:r>
      <w:r w:rsidRPr="0031470E">
        <w:rPr>
          <w:lang w:val="fr-FR"/>
        </w:rPr>
        <w:tab/>
        <w:t>Section 9. TRANSPORT EN CITERNES MOBILES (à ne remplir que si la réponse sous 6.2.3 est oui)</w:t>
      </w:r>
    </w:p>
    <w:p w14:paraId="4E634697" w14:textId="77777777" w:rsidR="0089164C" w:rsidRPr="0031470E" w:rsidRDefault="0089164C" w:rsidP="006E2EA3">
      <w:pPr>
        <w:pStyle w:val="SingleTxtG"/>
        <w:ind w:left="1701" w:hanging="567"/>
        <w:rPr>
          <w:lang w:val="fr-FR"/>
        </w:rPr>
      </w:pPr>
      <w:r w:rsidRPr="0031470E">
        <w:rPr>
          <w:lang w:val="fr-FR"/>
        </w:rPr>
        <w:t>9.1</w:t>
      </w:r>
      <w:r w:rsidRPr="0031470E">
        <w:rPr>
          <w:lang w:val="fr-FR"/>
        </w:rPr>
        <w:tab/>
        <w:t>Description de la citerne mobile prévue (y compris le type de citerne OMI s</w:t>
      </w:r>
      <w:r>
        <w:rPr>
          <w:lang w:val="fr-FR"/>
        </w:rPr>
        <w:t>’</w:t>
      </w:r>
      <w:r w:rsidRPr="0031470E">
        <w:rPr>
          <w:lang w:val="fr-FR"/>
        </w:rPr>
        <w:t>il est connu) :</w:t>
      </w:r>
    </w:p>
    <w:p w14:paraId="5197EA0B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9.2</w:t>
      </w:r>
      <w:r w:rsidRPr="0031470E">
        <w:rPr>
          <w:lang w:val="fr-FR"/>
        </w:rPr>
        <w:tab/>
        <w:t>Pression minimale d</w:t>
      </w:r>
      <w:r>
        <w:rPr>
          <w:lang w:val="fr-FR"/>
        </w:rPr>
        <w:t>’</w:t>
      </w:r>
      <w:r w:rsidRPr="0031470E">
        <w:rPr>
          <w:lang w:val="fr-FR"/>
        </w:rPr>
        <w:t xml:space="preserve">épreuve : ___ </w:t>
      </w:r>
    </w:p>
    <w:p w14:paraId="4BFA8402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9.3</w:t>
      </w:r>
      <w:r w:rsidRPr="0031470E">
        <w:rPr>
          <w:lang w:val="fr-FR"/>
        </w:rPr>
        <w:tab/>
        <w:t xml:space="preserve">Épaisseur minimale du réservoir : ___ </w:t>
      </w:r>
    </w:p>
    <w:p w14:paraId="64A71CA9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9.4</w:t>
      </w:r>
      <w:r w:rsidRPr="0031470E">
        <w:rPr>
          <w:lang w:val="fr-FR"/>
        </w:rPr>
        <w:tab/>
        <w:t>Caractéristiques des orifices de vidange par le bas, s</w:t>
      </w:r>
      <w:r>
        <w:rPr>
          <w:lang w:val="fr-FR"/>
        </w:rPr>
        <w:t>’</w:t>
      </w:r>
      <w:r w:rsidRPr="0031470E">
        <w:rPr>
          <w:lang w:val="fr-FR"/>
        </w:rPr>
        <w:t xml:space="preserve">ils existent : ___ </w:t>
      </w:r>
    </w:p>
    <w:p w14:paraId="7A037AB9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9.5</w:t>
      </w:r>
      <w:r w:rsidRPr="0031470E">
        <w:rPr>
          <w:lang w:val="fr-FR"/>
        </w:rPr>
        <w:tab/>
        <w:t xml:space="preserve">Dispositifs de décompression : ___ </w:t>
      </w:r>
    </w:p>
    <w:p w14:paraId="72880AA8" w14:textId="77777777" w:rsidR="0089164C" w:rsidRPr="0031470E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9.6</w:t>
      </w:r>
      <w:r w:rsidRPr="0031470E">
        <w:rPr>
          <w:lang w:val="fr-FR"/>
        </w:rPr>
        <w:tab/>
        <w:t xml:space="preserve">Taux de remplissage : ___ </w:t>
      </w:r>
    </w:p>
    <w:p w14:paraId="680DCE2F" w14:textId="552F9108" w:rsidR="0089164C" w:rsidRDefault="0089164C" w:rsidP="0089164C">
      <w:pPr>
        <w:pStyle w:val="SingleTxtG"/>
        <w:rPr>
          <w:lang w:val="fr-FR"/>
        </w:rPr>
      </w:pPr>
      <w:r w:rsidRPr="0031470E">
        <w:rPr>
          <w:lang w:val="fr-FR"/>
        </w:rPr>
        <w:t>9.7</w:t>
      </w:r>
      <w:r w:rsidRPr="0031470E">
        <w:rPr>
          <w:lang w:val="fr-FR"/>
        </w:rPr>
        <w:tab/>
        <w:t xml:space="preserve">Matériaux à ne pas utiliser pour la construction : ___ </w:t>
      </w:r>
    </w:p>
    <w:p w14:paraId="1CDBB879" w14:textId="1757E402" w:rsidR="0026306E" w:rsidRPr="0026306E" w:rsidRDefault="0026306E" w:rsidP="0026306E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26306E" w:rsidRPr="0026306E" w:rsidSect="0089164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F7CD" w14:textId="77777777" w:rsidR="00B4273C" w:rsidRDefault="00B4273C" w:rsidP="00F95C08">
      <w:pPr>
        <w:spacing w:line="240" w:lineRule="auto"/>
      </w:pPr>
    </w:p>
  </w:endnote>
  <w:endnote w:type="continuationSeparator" w:id="0">
    <w:p w14:paraId="3A83622D" w14:textId="77777777" w:rsidR="00B4273C" w:rsidRPr="00AC3823" w:rsidRDefault="00B4273C" w:rsidP="00AC3823">
      <w:pPr>
        <w:pStyle w:val="Pieddepage"/>
      </w:pPr>
    </w:p>
  </w:endnote>
  <w:endnote w:type="continuationNotice" w:id="1">
    <w:p w14:paraId="64A3B6E1" w14:textId="77777777" w:rsidR="00B4273C" w:rsidRDefault="00B42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5138" w14:textId="773959AA" w:rsidR="0089164C" w:rsidRPr="0089164C" w:rsidRDefault="0089164C" w:rsidP="0089164C">
    <w:pPr>
      <w:pStyle w:val="Pieddepage"/>
      <w:tabs>
        <w:tab w:val="right" w:pos="9638"/>
      </w:tabs>
    </w:pPr>
    <w:r w:rsidRPr="0089164C">
      <w:rPr>
        <w:b/>
        <w:sz w:val="18"/>
      </w:rPr>
      <w:fldChar w:fldCharType="begin"/>
    </w:r>
    <w:r w:rsidRPr="0089164C">
      <w:rPr>
        <w:b/>
        <w:sz w:val="18"/>
      </w:rPr>
      <w:instrText xml:space="preserve"> PAGE  \* MERGEFORMAT </w:instrText>
    </w:r>
    <w:r w:rsidRPr="0089164C">
      <w:rPr>
        <w:b/>
        <w:sz w:val="18"/>
      </w:rPr>
      <w:fldChar w:fldCharType="separate"/>
    </w:r>
    <w:r w:rsidRPr="0089164C">
      <w:rPr>
        <w:b/>
        <w:noProof/>
        <w:sz w:val="18"/>
      </w:rPr>
      <w:t>2</w:t>
    </w:r>
    <w:r w:rsidRPr="0089164C">
      <w:rPr>
        <w:b/>
        <w:sz w:val="18"/>
      </w:rPr>
      <w:fldChar w:fldCharType="end"/>
    </w:r>
    <w:r>
      <w:rPr>
        <w:b/>
        <w:sz w:val="18"/>
      </w:rPr>
      <w:tab/>
    </w:r>
    <w:r>
      <w:t>GE.23-06584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1B0B" w14:textId="4912AF48" w:rsidR="0089164C" w:rsidRPr="0089164C" w:rsidRDefault="0089164C" w:rsidP="0089164C">
    <w:pPr>
      <w:pStyle w:val="Pieddepage"/>
      <w:tabs>
        <w:tab w:val="right" w:pos="9638"/>
      </w:tabs>
      <w:rPr>
        <w:b/>
        <w:sz w:val="18"/>
      </w:rPr>
    </w:pPr>
    <w:r>
      <w:t>GE.23-06584</w:t>
    </w:r>
    <w:r>
      <w:tab/>
    </w:r>
    <w:r w:rsidRPr="0089164C">
      <w:rPr>
        <w:b/>
        <w:sz w:val="18"/>
      </w:rPr>
      <w:fldChar w:fldCharType="begin"/>
    </w:r>
    <w:r w:rsidRPr="0089164C">
      <w:rPr>
        <w:b/>
        <w:sz w:val="18"/>
      </w:rPr>
      <w:instrText xml:space="preserve"> PAGE  \* MERGEFORMAT </w:instrText>
    </w:r>
    <w:r w:rsidRPr="0089164C">
      <w:rPr>
        <w:b/>
        <w:sz w:val="18"/>
      </w:rPr>
      <w:fldChar w:fldCharType="separate"/>
    </w:r>
    <w:r w:rsidRPr="0089164C">
      <w:rPr>
        <w:b/>
        <w:noProof/>
        <w:sz w:val="18"/>
      </w:rPr>
      <w:t>3</w:t>
    </w:r>
    <w:r w:rsidRPr="0089164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850C" w14:textId="7B90FDDB" w:rsidR="0068456F" w:rsidRPr="0089164C" w:rsidRDefault="0089164C" w:rsidP="0089164C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870E6F0" wp14:editId="0F673D7F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23-06584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E14C87E" wp14:editId="5E616EE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697029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150523    160523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3E73" w14:textId="77777777" w:rsidR="00B4273C" w:rsidRPr="00AC3823" w:rsidRDefault="00B4273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82F140" w14:textId="77777777" w:rsidR="00B4273C" w:rsidRPr="00AC3823" w:rsidRDefault="00B4273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C2A7E88" w14:textId="77777777" w:rsidR="00B4273C" w:rsidRPr="00AC3823" w:rsidRDefault="00B4273C">
      <w:pPr>
        <w:spacing w:line="240" w:lineRule="auto"/>
        <w:rPr>
          <w:sz w:val="2"/>
          <w:szCs w:val="2"/>
        </w:rPr>
      </w:pPr>
    </w:p>
  </w:footnote>
  <w:footnote w:id="2">
    <w:p w14:paraId="1C8A323E" w14:textId="3D3DA23B" w:rsidR="00184159" w:rsidRPr="00184159" w:rsidRDefault="00184159">
      <w:pPr>
        <w:pStyle w:val="Notedebasdepage"/>
      </w:pPr>
      <w:r>
        <w:rPr>
          <w:rStyle w:val="Appelnotedebasdep"/>
        </w:rPr>
        <w:tab/>
      </w:r>
      <w:r w:rsidRPr="00184159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A/77/6 (Sect. 20), tableau 20.6.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7CD6" w14:textId="594B31F9" w:rsidR="0089164C" w:rsidRPr="0089164C" w:rsidRDefault="004F1FEC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ST/SG/AC.10/C.3/2023/5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1676" w14:textId="1D22CC04" w:rsidR="0089164C" w:rsidRPr="0089164C" w:rsidRDefault="004F1FEC" w:rsidP="0089164C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ST/SG/AC.10/C.3/2023/5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062167664">
    <w:abstractNumId w:val="13"/>
  </w:num>
  <w:num w:numId="2" w16cid:durableId="997879645">
    <w:abstractNumId w:val="12"/>
  </w:num>
  <w:num w:numId="3" w16cid:durableId="331445933">
    <w:abstractNumId w:val="11"/>
  </w:num>
  <w:num w:numId="4" w16cid:durableId="1399599254">
    <w:abstractNumId w:val="8"/>
  </w:num>
  <w:num w:numId="5" w16cid:durableId="755055845">
    <w:abstractNumId w:val="3"/>
  </w:num>
  <w:num w:numId="6" w16cid:durableId="1376007127">
    <w:abstractNumId w:val="2"/>
  </w:num>
  <w:num w:numId="7" w16cid:durableId="1606110841">
    <w:abstractNumId w:val="1"/>
  </w:num>
  <w:num w:numId="8" w16cid:durableId="281347073">
    <w:abstractNumId w:val="0"/>
  </w:num>
  <w:num w:numId="9" w16cid:durableId="1191141936">
    <w:abstractNumId w:val="9"/>
  </w:num>
  <w:num w:numId="10" w16cid:durableId="520703135">
    <w:abstractNumId w:val="7"/>
  </w:num>
  <w:num w:numId="11" w16cid:durableId="431441047">
    <w:abstractNumId w:val="6"/>
  </w:num>
  <w:num w:numId="12" w16cid:durableId="494299568">
    <w:abstractNumId w:val="5"/>
  </w:num>
  <w:num w:numId="13" w16cid:durableId="1305426670">
    <w:abstractNumId w:val="4"/>
  </w:num>
  <w:num w:numId="14" w16cid:durableId="138812527">
    <w:abstractNumId w:val="13"/>
  </w:num>
  <w:num w:numId="15" w16cid:durableId="587076432">
    <w:abstractNumId w:val="12"/>
  </w:num>
  <w:num w:numId="16" w16cid:durableId="25371123">
    <w:abstractNumId w:val="11"/>
  </w:num>
  <w:num w:numId="17" w16cid:durableId="56435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3C"/>
    <w:rsid w:val="00017612"/>
    <w:rsid w:val="00017F94"/>
    <w:rsid w:val="00023842"/>
    <w:rsid w:val="000305D3"/>
    <w:rsid w:val="000334F9"/>
    <w:rsid w:val="0007796D"/>
    <w:rsid w:val="000B7790"/>
    <w:rsid w:val="00111F2F"/>
    <w:rsid w:val="00132EA9"/>
    <w:rsid w:val="0014365E"/>
    <w:rsid w:val="00172E49"/>
    <w:rsid w:val="00176178"/>
    <w:rsid w:val="00184159"/>
    <w:rsid w:val="001F525A"/>
    <w:rsid w:val="00223272"/>
    <w:rsid w:val="0024779E"/>
    <w:rsid w:val="0026306E"/>
    <w:rsid w:val="00283190"/>
    <w:rsid w:val="002832AC"/>
    <w:rsid w:val="002D7C93"/>
    <w:rsid w:val="00441950"/>
    <w:rsid w:val="00441C3B"/>
    <w:rsid w:val="00446FE5"/>
    <w:rsid w:val="00452396"/>
    <w:rsid w:val="004E468C"/>
    <w:rsid w:val="004F1FEC"/>
    <w:rsid w:val="005505B7"/>
    <w:rsid w:val="00573BE5"/>
    <w:rsid w:val="00584DC4"/>
    <w:rsid w:val="00586ED3"/>
    <w:rsid w:val="00596AA9"/>
    <w:rsid w:val="00654656"/>
    <w:rsid w:val="0068456F"/>
    <w:rsid w:val="006E2EA3"/>
    <w:rsid w:val="0071601D"/>
    <w:rsid w:val="007A62E6"/>
    <w:rsid w:val="0080684C"/>
    <w:rsid w:val="008123E0"/>
    <w:rsid w:val="00871C75"/>
    <w:rsid w:val="008776DC"/>
    <w:rsid w:val="0089164C"/>
    <w:rsid w:val="008B40CD"/>
    <w:rsid w:val="009705C8"/>
    <w:rsid w:val="009C1CF4"/>
    <w:rsid w:val="00A30353"/>
    <w:rsid w:val="00A81281"/>
    <w:rsid w:val="00AC3823"/>
    <w:rsid w:val="00AE323C"/>
    <w:rsid w:val="00B00181"/>
    <w:rsid w:val="00B00B0D"/>
    <w:rsid w:val="00B4273C"/>
    <w:rsid w:val="00B765F7"/>
    <w:rsid w:val="00BA0CA9"/>
    <w:rsid w:val="00BA5F8D"/>
    <w:rsid w:val="00C02897"/>
    <w:rsid w:val="00CC31B1"/>
    <w:rsid w:val="00D3439C"/>
    <w:rsid w:val="00DB1831"/>
    <w:rsid w:val="00DD3BFD"/>
    <w:rsid w:val="00DF6678"/>
    <w:rsid w:val="00EF2E22"/>
    <w:rsid w:val="00F01738"/>
    <w:rsid w:val="00F477ED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0581"/>
  <w15:docId w15:val="{3E8AD38E-19ED-48FE-9983-BE59E1E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uiPriority w:val="99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uiPriority w:val="99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uiPriority w:val="99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uiPriority w:val="99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uiPriority w:val="99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uiPriority w:val="99"/>
    <w:qFormat/>
    <w:locked/>
    <w:rsid w:val="0089164C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uiPriority w:val="99"/>
    <w:locked/>
    <w:rsid w:val="0089164C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89164C"/>
    <w:pPr>
      <w:kinsoku/>
      <w:overflowPunct/>
      <w:autoSpaceDE/>
      <w:autoSpaceDN/>
      <w:adjustRightInd/>
      <w:snapToGrid/>
      <w:ind w:left="720"/>
      <w:contextualSpacing/>
    </w:pPr>
    <w:rPr>
      <w:rFonts w:eastAsia="Times New Roman"/>
      <w:lang w:val="en-GB"/>
    </w:rPr>
  </w:style>
  <w:style w:type="character" w:customStyle="1" w:styleId="SingleTxtGChar">
    <w:name w:val="_ Single Txt_G Char"/>
    <w:link w:val="SingleTxtG"/>
    <w:uiPriority w:val="99"/>
    <w:qFormat/>
    <w:locked/>
    <w:rsid w:val="008916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rynqvb">
    <w:name w:val="rynqvb"/>
    <w:basedOn w:val="Policepardfaut"/>
    <w:rsid w:val="0089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ée un document." ma:contentTypeScope="" ma:versionID="1caf4ffa0988abc87f7723fe6588a62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661a28bb76e3d6441cb029918bc28782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F795-5F39-4350-A273-A1A414F13376}"/>
</file>

<file path=customXml/itemProps2.xml><?xml version="1.0" encoding="utf-8"?>
<ds:datastoreItem xmlns:ds="http://schemas.openxmlformats.org/officeDocument/2006/customXml" ds:itemID="{7759E4C6-8B27-4F7A-8B1C-436619A533CE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5</TotalTime>
  <Pages>8</Pages>
  <Words>2638</Words>
  <Characters>13922</Characters>
  <Application>Microsoft Office Word</Application>
  <DocSecurity>0</DocSecurity>
  <Lines>361</Lines>
  <Paragraphs>203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ST/SG/AC.10/C.3/2023/5</vt:lpstr>
    </vt:vector>
  </TitlesOfParts>
  <Company>DCM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ST/SG/AC.10/C.3/2023/5</dc:title>
  <dc:subject/>
  <dc:creator>Christine CHAUTAGNAT</dc:creator>
  <cp:keywords/>
  <cp:lastModifiedBy>Christine Chautagnat</cp:lastModifiedBy>
  <cp:revision>3</cp:revision>
  <cp:lastPrinted>2023-05-16T07:01:00Z</cp:lastPrinted>
  <dcterms:created xsi:type="dcterms:W3CDTF">2023-05-16T07:01:00Z</dcterms:created>
  <dcterms:modified xsi:type="dcterms:W3CDTF">2023-05-16T07:02:00Z</dcterms:modified>
</cp:coreProperties>
</file>