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514B9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E8F7E3" w14:textId="77777777" w:rsidR="00F35BAF" w:rsidRPr="00DB58B5" w:rsidRDefault="00F35BAF" w:rsidP="00CC43D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7A9A5A" w14:textId="3C77E46B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805532" w14:textId="34BA9E41" w:rsidR="00F35BAF" w:rsidRPr="00DB58B5" w:rsidRDefault="00CC43DC" w:rsidP="00CC43DC">
            <w:pPr>
              <w:jc w:val="right"/>
            </w:pPr>
            <w:r w:rsidRPr="00CC43DC">
              <w:rPr>
                <w:sz w:val="40"/>
              </w:rPr>
              <w:t>E</w:t>
            </w:r>
            <w:r>
              <w:t>/ECE/TRANS/505/Rev.3/Add.151/Amend.3</w:t>
            </w:r>
          </w:p>
        </w:tc>
      </w:tr>
      <w:tr w:rsidR="00F35BAF" w:rsidRPr="00DB58B5" w14:paraId="2103E30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D8CF6" w14:textId="5E82AC4B" w:rsidR="00F35BAF" w:rsidRPr="00DB58B5" w:rsidRDefault="00F35BAF" w:rsidP="00C97039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A5A08A" w14:textId="5618A7C4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0CD2E7" w14:textId="739BB76F" w:rsidR="00CC43DC" w:rsidRPr="00DB58B5" w:rsidRDefault="00CC43DC" w:rsidP="00CC43DC">
            <w:pPr>
              <w:spacing w:before="480" w:line="240" w:lineRule="exact"/>
            </w:pPr>
            <w:r>
              <w:t>2 février 2021</w:t>
            </w:r>
          </w:p>
        </w:tc>
      </w:tr>
    </w:tbl>
    <w:p w14:paraId="439CA57A" w14:textId="77777777" w:rsidR="00CC43DC" w:rsidRPr="006549FF" w:rsidRDefault="00CC43DC" w:rsidP="00CC43DC">
      <w:pPr>
        <w:pStyle w:val="HChG"/>
      </w:pPr>
      <w:r>
        <w:tab/>
      </w:r>
      <w:r>
        <w:tab/>
      </w:r>
      <w:r w:rsidRPr="006549FF">
        <w:t>Accord</w:t>
      </w:r>
    </w:p>
    <w:p w14:paraId="6B851362" w14:textId="77777777" w:rsidR="00CC43DC" w:rsidRPr="00583D68" w:rsidRDefault="00CC43DC" w:rsidP="00CC43DC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9748A3">
        <w:rPr>
          <w:rFonts w:eastAsia="Times New Roman"/>
          <w:lang w:val="fr-FR"/>
        </w:rPr>
        <w:t xml:space="preserve">de Règlements techniques harmonisés </w:t>
      </w:r>
      <w:r>
        <w:rPr>
          <w:rFonts w:eastAsia="Times New Roman"/>
          <w:lang w:val="fr-FR"/>
        </w:rPr>
        <w:br/>
      </w:r>
      <w:r w:rsidRPr="009748A3">
        <w:rPr>
          <w:rFonts w:eastAsia="Times New Roman"/>
          <w:lang w:val="fr-FR"/>
        </w:rPr>
        <w:t>de l</w:t>
      </w:r>
      <w:r>
        <w:rPr>
          <w:rFonts w:eastAsia="Times New Roman"/>
          <w:b w:val="0"/>
          <w:lang w:val="fr-FR"/>
        </w:rPr>
        <w:t>’</w:t>
      </w:r>
      <w:r w:rsidRPr="009748A3">
        <w:rPr>
          <w:rFonts w:eastAsia="Times New Roman"/>
          <w:lang w:val="fr-FR"/>
        </w:rPr>
        <w:t xml:space="preserve">ONU applicables aux véhicules à roues et aux équipements </w:t>
      </w:r>
      <w:r>
        <w:rPr>
          <w:rFonts w:eastAsia="Times New Roman"/>
          <w:lang w:val="fr-FR"/>
        </w:rPr>
        <w:br/>
      </w:r>
      <w:r w:rsidRPr="009748A3">
        <w:rPr>
          <w:rFonts w:eastAsia="Times New Roman"/>
          <w:lang w:val="fr-FR"/>
        </w:rPr>
        <w:t>et pièces susceptibles d</w:t>
      </w:r>
      <w:r>
        <w:rPr>
          <w:rFonts w:eastAsia="Times New Roman"/>
          <w:b w:val="0"/>
          <w:lang w:val="fr-FR"/>
        </w:rPr>
        <w:t>’</w:t>
      </w:r>
      <w:r w:rsidRPr="009748A3">
        <w:rPr>
          <w:rFonts w:eastAsia="Times New Roman"/>
          <w:lang w:val="fr-FR"/>
        </w:rPr>
        <w:t xml:space="preserve">être montés ou utilisés sur les véhicules </w:t>
      </w:r>
      <w:r>
        <w:rPr>
          <w:rFonts w:eastAsia="Times New Roman"/>
          <w:lang w:val="fr-FR"/>
        </w:rPr>
        <w:br/>
      </w:r>
      <w:r w:rsidRPr="009748A3">
        <w:rPr>
          <w:rFonts w:eastAsia="Times New Roman"/>
          <w:lang w:val="fr-FR"/>
        </w:rPr>
        <w:t xml:space="preserve">à roues et les conditions de reconnaissance réciproque </w:t>
      </w:r>
      <w:r>
        <w:rPr>
          <w:rFonts w:eastAsia="Times New Roman"/>
          <w:lang w:val="fr-FR"/>
        </w:rPr>
        <w:br/>
      </w:r>
      <w:r w:rsidRPr="009748A3">
        <w:rPr>
          <w:rFonts w:eastAsia="Times New Roman"/>
          <w:lang w:val="fr-FR"/>
        </w:rPr>
        <w:t>des homologations délivrées conformément à ces Règlements</w:t>
      </w:r>
      <w:r w:rsidRPr="00CC43D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B457D2D" w14:textId="77777777" w:rsidR="00CC43DC" w:rsidRPr="00A12483" w:rsidRDefault="00CC43DC" w:rsidP="00CC43DC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9748A3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63E01ACF" w14:textId="77777777" w:rsidR="00CC43DC" w:rsidRPr="006549FF" w:rsidRDefault="00CC43DC" w:rsidP="00CC43DC">
      <w:pPr>
        <w:jc w:val="center"/>
      </w:pPr>
      <w:r>
        <w:t>_______________</w:t>
      </w:r>
    </w:p>
    <w:p w14:paraId="277173F5" w14:textId="1328E1CA" w:rsidR="00CC43DC" w:rsidRPr="00CC43DC" w:rsidRDefault="00CC43DC" w:rsidP="00CC43DC">
      <w:pPr>
        <w:pStyle w:val="HChG"/>
      </w:pPr>
      <w:r>
        <w:tab/>
      </w:r>
      <w:r>
        <w:tab/>
      </w:r>
      <w:r w:rsidRPr="00CC43DC">
        <w:t>Additif 1</w:t>
      </w:r>
      <w:r>
        <w:t>51</w:t>
      </w:r>
      <w:r w:rsidRPr="00CC43DC">
        <w:t xml:space="preserve"> − Règlement ONU n</w:t>
      </w:r>
      <w:r w:rsidRPr="00CC43DC">
        <w:rPr>
          <w:vertAlign w:val="superscript"/>
        </w:rPr>
        <w:t>o</w:t>
      </w:r>
      <w:r w:rsidRPr="00CC43DC">
        <w:t> 1</w:t>
      </w:r>
      <w:r>
        <w:t>52</w:t>
      </w:r>
    </w:p>
    <w:p w14:paraId="467A420A" w14:textId="736223FF" w:rsidR="00CC43DC" w:rsidRPr="00DE359E" w:rsidRDefault="00CC43DC" w:rsidP="00CC43DC">
      <w:pPr>
        <w:pStyle w:val="H1G"/>
      </w:pPr>
      <w:r w:rsidRPr="00CC43DC">
        <w:tab/>
      </w:r>
      <w:r w:rsidRPr="00CC43DC">
        <w:tab/>
      </w:r>
      <w:r w:rsidRPr="00DE359E">
        <w:t xml:space="preserve">Amendement </w:t>
      </w:r>
      <w:r>
        <w:t>3</w:t>
      </w:r>
    </w:p>
    <w:p w14:paraId="5B4450C6" w14:textId="01133955" w:rsidR="00CC43DC" w:rsidRPr="0029791D" w:rsidRDefault="00CC43DC" w:rsidP="00CC43DC">
      <w:pPr>
        <w:pStyle w:val="SingleTxtG"/>
        <w:spacing w:after="0"/>
      </w:pPr>
      <w:r w:rsidRPr="00AA1B4A">
        <w:rPr>
          <w:rFonts w:eastAsia="Times New Roman"/>
          <w:spacing w:val="-2"/>
          <w:lang w:val="fr-FR"/>
        </w:rPr>
        <w:t xml:space="preserve">Complément </w:t>
      </w:r>
      <w:r w:rsidRPr="00C37C48">
        <w:rPr>
          <w:rFonts w:eastAsia="Times New Roman"/>
          <w:spacing w:val="-2"/>
          <w:lang w:val="fr-FR"/>
        </w:rPr>
        <w:t xml:space="preserve">2 </w:t>
      </w:r>
      <w:r w:rsidRPr="00AA1B4A">
        <w:rPr>
          <w:rFonts w:eastAsia="Times New Roman"/>
          <w:spacing w:val="-2"/>
          <w:lang w:val="fr-FR"/>
        </w:rPr>
        <w:t xml:space="preserve">à la version originale du Règlement </w:t>
      </w:r>
      <w:r>
        <w:rPr>
          <w:rFonts w:eastAsia="Times New Roman"/>
          <w:spacing w:val="-2"/>
          <w:lang w:val="fr-FR"/>
        </w:rPr>
        <w:t>−</w:t>
      </w:r>
      <w:r w:rsidRPr="00AA1B4A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AA1B4A">
        <w:rPr>
          <w:rFonts w:eastAsia="Times New Roman"/>
          <w:spacing w:val="-2"/>
          <w:lang w:val="fr-FR"/>
        </w:rPr>
        <w:t>entrée en vigueur :</w:t>
      </w:r>
      <w:r w:rsidRPr="00C37C48">
        <w:rPr>
          <w:rFonts w:eastAsia="Times New Roman"/>
          <w:spacing w:val="-2"/>
          <w:lang w:val="fr-FR"/>
        </w:rPr>
        <w:t xml:space="preserve"> </w:t>
      </w:r>
      <w:r w:rsidRPr="00C37C48">
        <w:rPr>
          <w:rFonts w:eastAsia="Times New Roman"/>
          <w:lang w:val="fr-FR"/>
        </w:rPr>
        <w:t xml:space="preserve">3 </w:t>
      </w:r>
      <w:r w:rsidRPr="00AA1B4A">
        <w:rPr>
          <w:rFonts w:eastAsia="Times New Roman"/>
          <w:lang w:val="fr-FR"/>
        </w:rPr>
        <w:t>janvier</w:t>
      </w:r>
      <w:r w:rsidRPr="00C37C48">
        <w:rPr>
          <w:rFonts w:eastAsia="Times New Roman"/>
          <w:lang w:val="fr-FR"/>
        </w:rPr>
        <w:t xml:space="preserve"> 2021</w:t>
      </w:r>
    </w:p>
    <w:p w14:paraId="66DB9F48" w14:textId="4BA9B5A9" w:rsidR="00CC43DC" w:rsidRDefault="00CC43DC" w:rsidP="00CC43DC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Pr="009748A3">
        <w:rPr>
          <w:lang w:val="fr-FR"/>
        </w:rPr>
        <w:t>à l</w:t>
      </w:r>
      <w:r>
        <w:rPr>
          <w:lang w:val="fr-FR"/>
        </w:rPr>
        <w:t>’</w:t>
      </w:r>
      <w:r w:rsidRPr="009748A3">
        <w:rPr>
          <w:lang w:val="fr-FR"/>
        </w:rPr>
        <w:t xml:space="preserve">homologation </w:t>
      </w:r>
      <w:r w:rsidRPr="00AA1B4A">
        <w:rPr>
          <w:rFonts w:eastAsia="Times New Roman"/>
          <w:szCs w:val="24"/>
          <w:lang w:val="fr-FR"/>
        </w:rPr>
        <w:t xml:space="preserve">des véhicules </w:t>
      </w:r>
      <w:r>
        <w:rPr>
          <w:rFonts w:eastAsia="Times New Roman"/>
          <w:szCs w:val="24"/>
          <w:lang w:val="fr-FR"/>
        </w:rPr>
        <w:br/>
      </w:r>
      <w:r w:rsidRPr="00AA1B4A">
        <w:rPr>
          <w:rFonts w:eastAsia="Times New Roman"/>
          <w:szCs w:val="24"/>
          <w:lang w:val="fr-FR"/>
        </w:rPr>
        <w:t xml:space="preserve">des catégories </w:t>
      </w:r>
      <w:r w:rsidRPr="00AA1B4A">
        <w:rPr>
          <w:bCs/>
          <w:szCs w:val="32"/>
          <w:lang w:val="fr-FR"/>
        </w:rPr>
        <w:t>M</w:t>
      </w:r>
      <w:r w:rsidRPr="00AA1B4A">
        <w:rPr>
          <w:bCs/>
          <w:szCs w:val="32"/>
          <w:vertAlign w:val="subscript"/>
          <w:lang w:val="fr-FR"/>
        </w:rPr>
        <w:t>1</w:t>
      </w:r>
      <w:r w:rsidRPr="00CC43DC">
        <w:rPr>
          <w:rFonts w:eastAsia="Times New Roman"/>
          <w:bCs/>
          <w:szCs w:val="24"/>
          <w:lang w:val="fr-FR"/>
        </w:rPr>
        <w:t xml:space="preserve"> </w:t>
      </w:r>
      <w:r w:rsidRPr="00AA1B4A">
        <w:rPr>
          <w:rFonts w:eastAsia="Times New Roman"/>
          <w:szCs w:val="24"/>
          <w:lang w:val="fr-FR"/>
        </w:rPr>
        <w:t>et N</w:t>
      </w:r>
      <w:r w:rsidRPr="00AA1B4A">
        <w:rPr>
          <w:rFonts w:eastAsia="Times New Roman"/>
          <w:szCs w:val="24"/>
          <w:vertAlign w:val="subscript"/>
          <w:lang w:val="fr-FR"/>
        </w:rPr>
        <w:t>1</w:t>
      </w:r>
      <w:r w:rsidRPr="00AA1B4A">
        <w:rPr>
          <w:rFonts w:eastAsia="Times New Roman"/>
          <w:szCs w:val="24"/>
          <w:lang w:val="fr-FR"/>
        </w:rPr>
        <w:t xml:space="preserve"> en ce qui concerne leur système actif </w:t>
      </w:r>
      <w:r>
        <w:rPr>
          <w:rFonts w:eastAsia="Times New Roman"/>
          <w:szCs w:val="24"/>
          <w:lang w:val="fr-FR"/>
        </w:rPr>
        <w:br/>
      </w:r>
      <w:r w:rsidRPr="00AA1B4A">
        <w:rPr>
          <w:rFonts w:eastAsia="Times New Roman"/>
          <w:szCs w:val="24"/>
          <w:lang w:val="fr-FR"/>
        </w:rPr>
        <w:t>de freinage d</w:t>
      </w:r>
      <w:r>
        <w:rPr>
          <w:rFonts w:eastAsia="Times New Roman"/>
          <w:b w:val="0"/>
          <w:szCs w:val="24"/>
          <w:lang w:val="fr-FR"/>
        </w:rPr>
        <w:t>’</w:t>
      </w:r>
      <w:r w:rsidRPr="00AA1B4A">
        <w:rPr>
          <w:rFonts w:eastAsia="Times New Roman"/>
          <w:szCs w:val="24"/>
          <w:lang w:val="fr-FR"/>
        </w:rPr>
        <w:t>urgence (AEBS)</w:t>
      </w:r>
    </w:p>
    <w:p w14:paraId="127A87D1" w14:textId="7F900AE6" w:rsidR="00CC43DC" w:rsidRDefault="00CC43DC" w:rsidP="00CC43DC">
      <w:pPr>
        <w:pStyle w:val="SingleTxtG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DA33" wp14:editId="4FC6AF6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5FF8" w14:textId="77777777" w:rsidR="00CC43DC" w:rsidRPr="0029791D" w:rsidRDefault="00CC43DC" w:rsidP="00CC43DC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043A7E8" w14:textId="77777777" w:rsidR="00CC43DC" w:rsidRDefault="00CC43DC" w:rsidP="00CC43D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D56E7C4" wp14:editId="2A06028D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D17AB" w14:textId="77777777" w:rsidR="00CC43DC" w:rsidRDefault="00CC43DC" w:rsidP="00CC43DC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3DA3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AD95FF8" w14:textId="77777777" w:rsidR="00CC43DC" w:rsidRPr="0029791D" w:rsidRDefault="00CC43DC" w:rsidP="00CC43DC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043A7E8" w14:textId="77777777" w:rsidR="00CC43DC" w:rsidRDefault="00CC43DC" w:rsidP="00CC43D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D56E7C4" wp14:editId="2A06028D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D17AB" w14:textId="77777777" w:rsidR="00CC43DC" w:rsidRDefault="00CC43DC" w:rsidP="00CC43DC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tab/>
      </w:r>
      <w:r w:rsidRPr="00AA1B4A">
        <w:rPr>
          <w:rFonts w:eastAsia="Times New Roman"/>
          <w:spacing w:val="-4"/>
          <w:lang w:val="fr-FR" w:eastAsia="en-GB"/>
        </w:rPr>
        <w:t>Le présent document est communiqué uniquement à titre d</w:t>
      </w:r>
      <w:r>
        <w:rPr>
          <w:rFonts w:eastAsia="Times New Roman"/>
          <w:spacing w:val="-4"/>
          <w:lang w:val="fr-FR" w:eastAsia="en-GB"/>
        </w:rPr>
        <w:t>’</w:t>
      </w:r>
      <w:r w:rsidRPr="00AA1B4A">
        <w:rPr>
          <w:rFonts w:eastAsia="Times New Roman"/>
          <w:spacing w:val="-4"/>
          <w:lang w:val="fr-FR" w:eastAsia="en-GB"/>
        </w:rPr>
        <w:t xml:space="preserve">information. Le texte authentique, juridiquement contraignant, est celui du document </w:t>
      </w:r>
      <w:r w:rsidRPr="00C37C48">
        <w:rPr>
          <w:rFonts w:eastAsia="Times New Roman"/>
          <w:spacing w:val="-6"/>
          <w:lang w:val="fr-FR" w:eastAsia="en-GB"/>
        </w:rPr>
        <w:t>ECE/TRANS/WP.29/2020/98.</w:t>
      </w:r>
    </w:p>
    <w:p w14:paraId="01B91DAB" w14:textId="77777777" w:rsidR="00CC43DC" w:rsidRDefault="00CC43DC" w:rsidP="00CC43DC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rFonts w:eastAsia="Times New Roman"/>
          <w:spacing w:val="-6"/>
          <w:lang w:val="fr-FR" w:eastAsia="en-GB"/>
        </w:rPr>
        <w:br w:type="page"/>
      </w:r>
    </w:p>
    <w:p w14:paraId="41DECC49" w14:textId="77777777" w:rsidR="00CC43DC" w:rsidRPr="00C04B62" w:rsidRDefault="00CC43DC" w:rsidP="00CC43DC">
      <w:pPr>
        <w:pStyle w:val="H4G"/>
        <w:rPr>
          <w:i w:val="0"/>
        </w:rPr>
      </w:pPr>
      <w:bookmarkStart w:id="0" w:name="_Hlk20393058"/>
      <w:r>
        <w:lastRenderedPageBreak/>
        <w:tab/>
      </w:r>
      <w:r>
        <w:tab/>
      </w:r>
      <w:r w:rsidRPr="00C04B62">
        <w:rPr>
          <w:lang w:val="fr-FR"/>
        </w:rPr>
        <w:t>Ajouter le nouveau paragraphe 6.10</w:t>
      </w:r>
      <w:r w:rsidRPr="00C04B62">
        <w:rPr>
          <w:i w:val="0"/>
        </w:rPr>
        <w:t>, libellé comme suit</w:t>
      </w:r>
      <w:r>
        <w:rPr>
          <w:i w:val="0"/>
        </w:rPr>
        <w:t> :</w:t>
      </w:r>
    </w:p>
    <w:p w14:paraId="1B4FE324" w14:textId="3EF85157" w:rsidR="00CC43DC" w:rsidRPr="00C04B62" w:rsidRDefault="00CC43DC" w:rsidP="00CC43DC">
      <w:pPr>
        <w:pStyle w:val="SingleTxtG"/>
        <w:ind w:left="2268" w:hanging="1134"/>
      </w:pPr>
      <w:r w:rsidRPr="00C04B62">
        <w:rPr>
          <w:lang w:val="fr-FR"/>
        </w:rPr>
        <w:t>« 6.10</w:t>
      </w:r>
      <w:r w:rsidRPr="00C04B62">
        <w:rPr>
          <w:lang w:val="fr-FR"/>
        </w:rPr>
        <w:tab/>
        <w:t>Fiabilité du système</w:t>
      </w:r>
    </w:p>
    <w:p w14:paraId="62C9A5A8" w14:textId="77777777" w:rsidR="00CC43DC" w:rsidRPr="00C04B62" w:rsidRDefault="00CC43DC" w:rsidP="00CC43DC">
      <w:pPr>
        <w:pStyle w:val="SingleTxtG"/>
        <w:ind w:left="2268" w:hanging="1134"/>
      </w:pPr>
      <w:r w:rsidRPr="00C04B62">
        <w:rPr>
          <w:lang w:val="fr-FR"/>
        </w:rPr>
        <w:t>6.10.1</w:t>
      </w:r>
      <w:r w:rsidRPr="00C04B62">
        <w:rPr>
          <w:lang w:val="fr-FR"/>
        </w:rPr>
        <w:tab/>
      </w:r>
      <w:r w:rsidRPr="00C04B62">
        <w:rPr>
          <w:lang w:val="fr-FR"/>
        </w:rPr>
        <w:tab/>
        <w:t>Chacun des scénarios d</w:t>
      </w:r>
      <w:r>
        <w:rPr>
          <w:lang w:val="fr-FR"/>
        </w:rPr>
        <w:t>’</w:t>
      </w:r>
      <w:r w:rsidRPr="00C04B62">
        <w:rPr>
          <w:lang w:val="fr-FR"/>
        </w:rPr>
        <w:t>essai ci-dessus, un scénario correspondant à une configuration d</w:t>
      </w:r>
      <w:r>
        <w:rPr>
          <w:lang w:val="fr-FR"/>
        </w:rPr>
        <w:t>’</w:t>
      </w:r>
      <w:r w:rsidRPr="00C04B62">
        <w:rPr>
          <w:lang w:val="fr-FR"/>
        </w:rPr>
        <w:t>essai, une vitesse du véhicule mis à l</w:t>
      </w:r>
      <w:r>
        <w:rPr>
          <w:lang w:val="fr-FR"/>
        </w:rPr>
        <w:t>’</w:t>
      </w:r>
      <w:r w:rsidRPr="00C04B62">
        <w:rPr>
          <w:lang w:val="fr-FR"/>
        </w:rPr>
        <w:t>essai et une configuration de charge d</w:t>
      </w:r>
      <w:r>
        <w:rPr>
          <w:lang w:val="fr-FR"/>
        </w:rPr>
        <w:t>’</w:t>
      </w:r>
      <w:r w:rsidRPr="00C04B62">
        <w:rPr>
          <w:lang w:val="fr-FR"/>
        </w:rPr>
        <w:t>une catégorie (voiture contre voiture, voiture contre piéton), doit être appliqué deux fois. Si l</w:t>
      </w:r>
      <w:r>
        <w:rPr>
          <w:lang w:val="fr-FR"/>
        </w:rPr>
        <w:t>’</w:t>
      </w:r>
      <w:r w:rsidRPr="00C04B62">
        <w:rPr>
          <w:lang w:val="fr-FR"/>
        </w:rPr>
        <w:t>un de ces deux essais ne satisfait pas aux prescriptions, il peut être répété une fois. Un scénario d</w:t>
      </w:r>
      <w:r>
        <w:rPr>
          <w:lang w:val="fr-FR"/>
        </w:rPr>
        <w:t>’</w:t>
      </w:r>
      <w:r w:rsidRPr="00C04B62">
        <w:rPr>
          <w:lang w:val="fr-FR"/>
        </w:rPr>
        <w:t>essai est jugé satisfaisant si deux essais répondent aux prescriptions. Le nombre d</w:t>
      </w:r>
      <w:r>
        <w:rPr>
          <w:lang w:val="fr-FR"/>
        </w:rPr>
        <w:t>’</w:t>
      </w:r>
      <w:r w:rsidRPr="00C04B62">
        <w:rPr>
          <w:lang w:val="fr-FR"/>
        </w:rPr>
        <w:t>essais insatisfaisants dans une catégorie ne doit pas dépasser</w:t>
      </w:r>
      <w:r>
        <w:rPr>
          <w:lang w:val="fr-FR"/>
        </w:rPr>
        <w:t> :</w:t>
      </w:r>
    </w:p>
    <w:p w14:paraId="6CE5061B" w14:textId="77777777" w:rsidR="00CC43DC" w:rsidRPr="00C04B62" w:rsidRDefault="00CC43DC" w:rsidP="00CC43DC">
      <w:pPr>
        <w:pStyle w:val="SingleTxtG"/>
        <w:ind w:left="2835" w:hanging="567"/>
      </w:pPr>
      <w:r w:rsidRPr="00C04B62">
        <w:rPr>
          <w:lang w:val="fr-FR"/>
        </w:rPr>
        <w:t>a)</w:t>
      </w:r>
      <w:r w:rsidRPr="00C04B62">
        <w:rPr>
          <w:lang w:val="fr-FR"/>
        </w:rPr>
        <w:tab/>
        <w:t>10</w:t>
      </w:r>
      <w:r>
        <w:rPr>
          <w:lang w:val="fr-FR"/>
        </w:rPr>
        <w:t> </w:t>
      </w:r>
      <w:r w:rsidRPr="00C04B62">
        <w:rPr>
          <w:lang w:val="fr-FR"/>
        </w:rPr>
        <w:t>% du nombre d</w:t>
      </w:r>
      <w:r>
        <w:rPr>
          <w:lang w:val="fr-FR"/>
        </w:rPr>
        <w:t>’</w:t>
      </w:r>
      <w:r w:rsidRPr="00C04B62">
        <w:rPr>
          <w:lang w:val="fr-FR"/>
        </w:rPr>
        <w:t>essais effectués pour les scénarios voiture contre voiture</w:t>
      </w:r>
      <w:r>
        <w:rPr>
          <w:lang w:val="fr-FR"/>
        </w:rPr>
        <w:t> ;</w:t>
      </w:r>
    </w:p>
    <w:p w14:paraId="29281F1D" w14:textId="77777777" w:rsidR="00CC43DC" w:rsidRPr="00C04B62" w:rsidRDefault="00CC43DC" w:rsidP="00CC43DC">
      <w:pPr>
        <w:pStyle w:val="SingleTxtG"/>
        <w:ind w:left="2835" w:hanging="567"/>
      </w:pPr>
      <w:r w:rsidRPr="00C04B62">
        <w:rPr>
          <w:lang w:val="fr-FR"/>
        </w:rPr>
        <w:t>b)</w:t>
      </w:r>
      <w:r w:rsidRPr="00C04B62">
        <w:rPr>
          <w:lang w:val="fr-FR"/>
        </w:rPr>
        <w:tab/>
        <w:t>10</w:t>
      </w:r>
      <w:r>
        <w:rPr>
          <w:lang w:val="fr-FR"/>
        </w:rPr>
        <w:t> </w:t>
      </w:r>
      <w:r w:rsidRPr="00C04B62">
        <w:rPr>
          <w:lang w:val="fr-FR"/>
        </w:rPr>
        <w:t>% du nombre d</w:t>
      </w:r>
      <w:r>
        <w:rPr>
          <w:lang w:val="fr-FR"/>
        </w:rPr>
        <w:t>’</w:t>
      </w:r>
      <w:r w:rsidRPr="00C04B62">
        <w:rPr>
          <w:lang w:val="fr-FR"/>
        </w:rPr>
        <w:t>essais effectués pour les scénarios voiture contre piéton.</w:t>
      </w:r>
    </w:p>
    <w:p w14:paraId="033E6532" w14:textId="012D3935" w:rsidR="00CC43DC" w:rsidRPr="00C04B62" w:rsidRDefault="00CC43DC" w:rsidP="00CC43DC">
      <w:pPr>
        <w:pStyle w:val="SingleTxtG"/>
        <w:ind w:left="2268" w:hanging="1134"/>
      </w:pPr>
      <w:r w:rsidRPr="00C04B62">
        <w:rPr>
          <w:lang w:val="fr-FR"/>
        </w:rPr>
        <w:t>6.10.2</w:t>
      </w:r>
      <w:r w:rsidRPr="00C04B62">
        <w:rPr>
          <w:lang w:val="fr-FR"/>
        </w:rPr>
        <w:tab/>
        <w:t>La cause principale de tout essai insatisfaisant doit être analysée avec le service technique et annexée au procès-verbal d</w:t>
      </w:r>
      <w:r>
        <w:rPr>
          <w:lang w:val="fr-FR"/>
        </w:rPr>
        <w:t>’</w:t>
      </w:r>
      <w:r w:rsidRPr="00C04B62">
        <w:rPr>
          <w:lang w:val="fr-FR"/>
        </w:rPr>
        <w:t>essai. Si la cause principale ne peut être imputée à une variation des paramètres de la configuration d</w:t>
      </w:r>
      <w:r>
        <w:rPr>
          <w:lang w:val="fr-FR"/>
        </w:rPr>
        <w:t>’</w:t>
      </w:r>
      <w:r w:rsidRPr="00C04B62">
        <w:rPr>
          <w:lang w:val="fr-FR"/>
        </w:rPr>
        <w:t>essai, le service technique peut effectuer des essais à d</w:t>
      </w:r>
      <w:r>
        <w:rPr>
          <w:lang w:val="fr-FR"/>
        </w:rPr>
        <w:t>’</w:t>
      </w:r>
      <w:r w:rsidRPr="00C04B62">
        <w:rPr>
          <w:lang w:val="fr-FR"/>
        </w:rPr>
        <w:t>autres vitesses dans la plage des vitesses définie aux paragraphes 5.2.1.3, 5.2.1.4, 5.2.2.3 ou 5.2.2.4, selon le cas.</w:t>
      </w:r>
    </w:p>
    <w:p w14:paraId="64E45E2E" w14:textId="2C830510" w:rsidR="00F9573C" w:rsidRDefault="00CC43DC" w:rsidP="00CC43DC">
      <w:pPr>
        <w:pStyle w:val="SingleTxtG"/>
        <w:ind w:left="2268" w:hanging="1134"/>
        <w:rPr>
          <w:lang w:val="fr-FR"/>
        </w:rPr>
      </w:pPr>
      <w:r w:rsidRPr="00C04B62">
        <w:rPr>
          <w:lang w:val="fr-FR"/>
        </w:rPr>
        <w:t>6.10.3</w:t>
      </w:r>
      <w:r w:rsidRPr="00C04B62">
        <w:rPr>
          <w:lang w:val="fr-FR"/>
        </w:rPr>
        <w:tab/>
        <w:t>Dans le cadre de l</w:t>
      </w:r>
      <w:r>
        <w:rPr>
          <w:lang w:val="fr-FR"/>
        </w:rPr>
        <w:t>’</w:t>
      </w:r>
      <w:r w:rsidRPr="00C04B62">
        <w:rPr>
          <w:lang w:val="fr-FR"/>
        </w:rPr>
        <w:t>évaluation conformément aux dispositions de l</w:t>
      </w:r>
      <w:r>
        <w:rPr>
          <w:lang w:val="fr-FR"/>
        </w:rPr>
        <w:t>’</w:t>
      </w:r>
      <w:r w:rsidRPr="00C04B62">
        <w:rPr>
          <w:lang w:val="fr-FR"/>
        </w:rPr>
        <w:t>annexe</w:t>
      </w:r>
      <w:r>
        <w:rPr>
          <w:lang w:val="fr-FR"/>
        </w:rPr>
        <w:t> </w:t>
      </w:r>
      <w:r w:rsidRPr="00C04B62">
        <w:rPr>
          <w:lang w:val="fr-FR"/>
        </w:rPr>
        <w:t>3, le constructeur doit démontrer, dossier à l</w:t>
      </w:r>
      <w:r>
        <w:rPr>
          <w:lang w:val="fr-FR"/>
        </w:rPr>
        <w:t>’</w:t>
      </w:r>
      <w:r w:rsidRPr="00C04B62">
        <w:rPr>
          <w:lang w:val="fr-FR"/>
        </w:rPr>
        <w:t>appui, que le système peut satisfaire aux prescriptions.</w:t>
      </w:r>
      <w:bookmarkEnd w:id="0"/>
      <w:r w:rsidRPr="00C04B62">
        <w:rPr>
          <w:lang w:val="fr-FR"/>
        </w:rPr>
        <w:t> »</w:t>
      </w:r>
      <w:r>
        <w:rPr>
          <w:lang w:val="fr-FR"/>
        </w:rPr>
        <w:t>.</w:t>
      </w:r>
    </w:p>
    <w:p w14:paraId="39660484" w14:textId="2107A691" w:rsidR="00CC43DC" w:rsidRPr="00CC43DC" w:rsidRDefault="00CC43DC" w:rsidP="00CC43D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43DC" w:rsidRPr="00CC43DC" w:rsidSect="00CC43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82C9" w14:textId="77777777" w:rsidR="00BE38F2" w:rsidRDefault="00BE38F2" w:rsidP="00F95C08">
      <w:pPr>
        <w:spacing w:line="240" w:lineRule="auto"/>
      </w:pPr>
    </w:p>
  </w:endnote>
  <w:endnote w:type="continuationSeparator" w:id="0">
    <w:p w14:paraId="567566B7" w14:textId="77777777" w:rsidR="00BE38F2" w:rsidRPr="00AC3823" w:rsidRDefault="00BE38F2" w:rsidP="00AC3823">
      <w:pPr>
        <w:pStyle w:val="Pieddepage"/>
      </w:pPr>
    </w:p>
  </w:endnote>
  <w:endnote w:type="continuationNotice" w:id="1">
    <w:p w14:paraId="1FB2D042" w14:textId="77777777" w:rsidR="00BE38F2" w:rsidRDefault="00BE38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A0E3" w14:textId="563CAA8F" w:rsidR="00CC43DC" w:rsidRPr="00CC43DC" w:rsidRDefault="00CC43DC" w:rsidP="00CC43DC">
    <w:pPr>
      <w:pStyle w:val="Pieddepage"/>
      <w:tabs>
        <w:tab w:val="right" w:pos="9638"/>
      </w:tabs>
    </w:pPr>
    <w:r w:rsidRPr="00CC43DC">
      <w:rPr>
        <w:b/>
        <w:sz w:val="18"/>
      </w:rPr>
      <w:fldChar w:fldCharType="begin"/>
    </w:r>
    <w:r w:rsidRPr="00CC43DC">
      <w:rPr>
        <w:b/>
        <w:sz w:val="18"/>
      </w:rPr>
      <w:instrText xml:space="preserve"> PAGE  \* MERGEFORMAT </w:instrText>
    </w:r>
    <w:r w:rsidRPr="00CC43DC">
      <w:rPr>
        <w:b/>
        <w:sz w:val="18"/>
      </w:rPr>
      <w:fldChar w:fldCharType="separate"/>
    </w:r>
    <w:r w:rsidRPr="00CC43DC">
      <w:rPr>
        <w:b/>
        <w:noProof/>
        <w:sz w:val="18"/>
      </w:rPr>
      <w:t>2</w:t>
    </w:r>
    <w:r w:rsidRPr="00CC43DC">
      <w:rPr>
        <w:b/>
        <w:sz w:val="18"/>
      </w:rPr>
      <w:fldChar w:fldCharType="end"/>
    </w:r>
    <w:r>
      <w:rPr>
        <w:b/>
        <w:sz w:val="18"/>
      </w:rPr>
      <w:tab/>
    </w:r>
    <w:r>
      <w:t>GE.21-01334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55E" w14:textId="5DB7CA00" w:rsidR="00CC43DC" w:rsidRPr="00CC43DC" w:rsidRDefault="00CC43DC" w:rsidP="00CC43DC">
    <w:pPr>
      <w:pStyle w:val="Pieddepage"/>
      <w:tabs>
        <w:tab w:val="right" w:pos="9638"/>
      </w:tabs>
      <w:rPr>
        <w:b/>
        <w:sz w:val="18"/>
      </w:rPr>
    </w:pPr>
    <w:r>
      <w:t>GE.21-01334</w:t>
    </w:r>
    <w:r>
      <w:tab/>
    </w:r>
    <w:r w:rsidRPr="00CC43DC">
      <w:rPr>
        <w:b/>
        <w:sz w:val="18"/>
      </w:rPr>
      <w:fldChar w:fldCharType="begin"/>
    </w:r>
    <w:r w:rsidRPr="00CC43DC">
      <w:rPr>
        <w:b/>
        <w:sz w:val="18"/>
      </w:rPr>
      <w:instrText xml:space="preserve"> PAGE  \* MERGEFORMAT </w:instrText>
    </w:r>
    <w:r w:rsidRPr="00CC43DC">
      <w:rPr>
        <w:b/>
        <w:sz w:val="18"/>
      </w:rPr>
      <w:fldChar w:fldCharType="separate"/>
    </w:r>
    <w:r w:rsidRPr="00CC43DC">
      <w:rPr>
        <w:b/>
        <w:noProof/>
        <w:sz w:val="18"/>
      </w:rPr>
      <w:t>3</w:t>
    </w:r>
    <w:r w:rsidRPr="00CC43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2B14" w14:textId="7A97C69C" w:rsidR="007F20FA" w:rsidRPr="00CC43DC" w:rsidRDefault="00CC43DC" w:rsidP="00CC43D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D0B400" wp14:editId="79909B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3CCCD2" wp14:editId="400018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645">
      <w:rPr>
        <w:sz w:val="20"/>
      </w:rPr>
      <w:t xml:space="preserve">    100322    100322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B8A4" w14:textId="77777777" w:rsidR="00BE38F2" w:rsidRPr="00AC3823" w:rsidRDefault="00BE38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C02DDE" w14:textId="77777777" w:rsidR="00BE38F2" w:rsidRPr="00AC3823" w:rsidRDefault="00BE38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BD8B1D" w14:textId="77777777" w:rsidR="00BE38F2" w:rsidRPr="00AC3823" w:rsidRDefault="00BE38F2">
      <w:pPr>
        <w:spacing w:line="240" w:lineRule="auto"/>
        <w:rPr>
          <w:sz w:val="2"/>
          <w:szCs w:val="2"/>
        </w:rPr>
      </w:pPr>
    </w:p>
  </w:footnote>
  <w:footnote w:id="2">
    <w:p w14:paraId="14439082" w14:textId="77777777" w:rsidR="00CC43DC" w:rsidRPr="00591072" w:rsidRDefault="00CC43DC" w:rsidP="00CC43DC">
      <w:pPr>
        <w:pStyle w:val="Notedebasdepage"/>
      </w:pPr>
      <w:r w:rsidRPr="00CC43DC">
        <w:rPr>
          <w:rStyle w:val="Appelnotedebasdep"/>
          <w:vertAlign w:val="baseline"/>
        </w:rPr>
        <w:tab/>
      </w:r>
      <w:r w:rsidRPr="00CC43DC">
        <w:rPr>
          <w:rStyle w:val="Appelnotedebasdep"/>
          <w:sz w:val="20"/>
          <w:vertAlign w:val="baseline"/>
        </w:rPr>
        <w:t>*</w:t>
      </w:r>
      <w:r w:rsidRPr="00CC43DC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7F0B8465" w14:textId="77777777" w:rsidR="00CC43DC" w:rsidRPr="00591072" w:rsidRDefault="00CC43DC" w:rsidP="00CC43DC">
      <w:pPr>
        <w:pStyle w:val="Notedebasdepage"/>
      </w:pPr>
      <w:r w:rsidRPr="00DE359E">
        <w:tab/>
      </w:r>
      <w:r w:rsidRPr="00DE359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7E3073B" w14:textId="77777777" w:rsidR="00CC43DC" w:rsidRPr="00591072" w:rsidRDefault="00CC43DC" w:rsidP="00CC43DC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B995C0A" w14:textId="77777777" w:rsidR="00CC43DC" w:rsidRPr="00442E31" w:rsidRDefault="00CC43DC" w:rsidP="00CC43D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58C1" w14:textId="2319AA60" w:rsidR="00CC43DC" w:rsidRPr="00CC43DC" w:rsidRDefault="00CC43DC">
    <w:pPr>
      <w:pStyle w:val="En-tte"/>
    </w:pPr>
    <w:fldSimple w:instr=" TITLE  \* MERGEFORMAT ">
      <w:r w:rsidR="00462F15">
        <w:t>E/ECE/TRANS/505/Rev.3/Add.151/Amend.3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7B41" w14:textId="540E21A3" w:rsidR="00CC43DC" w:rsidRPr="00CC43DC" w:rsidRDefault="00CC43DC" w:rsidP="00CC43DC">
    <w:pPr>
      <w:pStyle w:val="En-tte"/>
      <w:jc w:val="right"/>
    </w:pPr>
    <w:fldSimple w:instr=" TITLE  \* MERGEFORMAT ">
      <w:r w:rsidR="00462F15">
        <w:t>E/ECE/TRANS/505/Rev.3/Add.151/Amend.3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F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0C67"/>
    <w:rsid w:val="00452396"/>
    <w:rsid w:val="00462F15"/>
    <w:rsid w:val="00477EB2"/>
    <w:rsid w:val="004837D8"/>
    <w:rsid w:val="004E2EED"/>
    <w:rsid w:val="004E468C"/>
    <w:rsid w:val="005505B7"/>
    <w:rsid w:val="00573BE5"/>
    <w:rsid w:val="00586ED3"/>
    <w:rsid w:val="00596AA9"/>
    <w:rsid w:val="005B7645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38F2"/>
    <w:rsid w:val="00C02897"/>
    <w:rsid w:val="00C97039"/>
    <w:rsid w:val="00CC43DC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5E94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FA673D"/>
  <w15:docId w15:val="{7B44D286-2CF9-416A-A50F-262239C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43D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CC086-3095-43DF-AFCA-5B6DA9B6EF68}"/>
</file>

<file path=customXml/itemProps2.xml><?xml version="1.0" encoding="utf-8"?>
<ds:datastoreItem xmlns:ds="http://schemas.openxmlformats.org/officeDocument/2006/customXml" ds:itemID="{8948B207-349E-4144-8BBA-3C30119DFA9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290</Words>
  <Characters>2030</Characters>
  <Application>Microsoft Office Word</Application>
  <DocSecurity>0</DocSecurity>
  <Lines>169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E/ECE/TRANS/505/Rev.3/Add.151/Amend.3</vt:lpstr>
    </vt:vector>
  </TitlesOfParts>
  <Company>DCM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E/ECE/TRANS/505/Rev.3/Add.151/Amend.3</dc:title>
  <dc:subject/>
  <dc:creator>Maud DARICHE</dc:creator>
  <cp:keywords/>
  <cp:lastModifiedBy>Maud Dariche</cp:lastModifiedBy>
  <cp:revision>3</cp:revision>
  <cp:lastPrinted>2022-03-10T16:09:00Z</cp:lastPrinted>
  <dcterms:created xsi:type="dcterms:W3CDTF">2022-03-10T16:09:00Z</dcterms:created>
  <dcterms:modified xsi:type="dcterms:W3CDTF">2022-03-10T16:09:00Z</dcterms:modified>
</cp:coreProperties>
</file>