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6E3EA0" w14:paraId="5E0204C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DAFCF46" w14:textId="77777777" w:rsidR="002D5AAC" w:rsidRDefault="002D5AAC" w:rsidP="00063A5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CAF7AB0" w14:textId="77777777"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30265A4" w14:textId="77777777" w:rsidR="002D5AAC" w:rsidRPr="00063A53" w:rsidRDefault="00063A53" w:rsidP="00063A53">
            <w:pPr>
              <w:jc w:val="right"/>
              <w:rPr>
                <w:lang w:val="en-US"/>
              </w:rPr>
            </w:pPr>
            <w:r w:rsidRPr="00063A53">
              <w:rPr>
                <w:sz w:val="40"/>
                <w:lang w:val="en-US"/>
              </w:rPr>
              <w:t>E</w:t>
            </w:r>
            <w:r w:rsidRPr="00063A53">
              <w:rPr>
                <w:lang w:val="en-US"/>
              </w:rPr>
              <w:t>/ECE/TRANS/505/Rev.3/Add.151/Amend.2</w:t>
            </w:r>
          </w:p>
        </w:tc>
      </w:tr>
      <w:tr w:rsidR="002D5AAC" w:rsidRPr="00063A53" w14:paraId="6A4C78DB" w14:textId="77777777" w:rsidTr="00063A53">
        <w:trPr>
          <w:trHeight w:hRule="exact" w:val="2284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7EACC7" w14:textId="77777777" w:rsidR="002D5AAC" w:rsidRPr="00063A53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B6F748" w14:textId="77777777" w:rsidR="002D5AAC" w:rsidRPr="00D3606A" w:rsidRDefault="002D5AAC" w:rsidP="00387CD4">
            <w:pPr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2394659" w14:textId="77777777" w:rsidR="00063A53" w:rsidRPr="008D53B6" w:rsidRDefault="00063A53" w:rsidP="00063A53">
            <w:pPr>
              <w:spacing w:before="600" w:line="240" w:lineRule="exact"/>
              <w:rPr>
                <w:lang w:val="en-US"/>
              </w:rPr>
            </w:pPr>
            <w:r>
              <w:rPr>
                <w:lang w:val="en-US"/>
              </w:rPr>
              <w:t>4 November 2020</w:t>
            </w:r>
          </w:p>
        </w:tc>
      </w:tr>
    </w:tbl>
    <w:p w14:paraId="12C55011" w14:textId="77777777" w:rsidR="00063A53" w:rsidRPr="00C16C5E" w:rsidRDefault="00063A53" w:rsidP="00063A53">
      <w:pPr>
        <w:pStyle w:val="HChGR"/>
        <w:spacing w:before="120"/>
      </w:pPr>
      <w:r w:rsidRPr="00C16C5E">
        <w:tab/>
      </w:r>
      <w:r w:rsidRPr="00C16C5E">
        <w:tab/>
      </w:r>
      <w:bookmarkStart w:id="0" w:name="_Toc340666199"/>
      <w:bookmarkStart w:id="1" w:name="_Toc340745062"/>
      <w:bookmarkStart w:id="2" w:name="_GoBack"/>
      <w:bookmarkEnd w:id="2"/>
      <w:r w:rsidRPr="00C16C5E">
        <w:t>Соглашение</w:t>
      </w:r>
    </w:p>
    <w:p w14:paraId="369D52E0" w14:textId="77777777" w:rsidR="00063A53" w:rsidRPr="00C16C5E" w:rsidRDefault="00063A53" w:rsidP="00063A53">
      <w:pPr>
        <w:keepNext/>
        <w:keepLines/>
        <w:tabs>
          <w:tab w:val="right" w:pos="851"/>
        </w:tabs>
        <w:spacing w:before="360" w:after="240" w:line="240" w:lineRule="auto"/>
        <w:ind w:left="1134" w:right="1134" w:hanging="1134"/>
        <w:rPr>
          <w:b/>
          <w:bCs/>
          <w:sz w:val="24"/>
          <w:szCs w:val="24"/>
        </w:rPr>
      </w:pPr>
      <w:r w:rsidRPr="00C16C5E">
        <w:rPr>
          <w:b/>
          <w:bCs/>
          <w:sz w:val="24"/>
          <w:szCs w:val="24"/>
        </w:rPr>
        <w:tab/>
      </w:r>
      <w:r w:rsidRPr="00C16C5E">
        <w:rPr>
          <w:b/>
          <w:bCs/>
          <w:sz w:val="24"/>
          <w:szCs w:val="24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bookmarkEnd w:id="0"/>
      <w:bookmarkEnd w:id="1"/>
      <w:r w:rsidRPr="003A1AA2">
        <w:rPr>
          <w:szCs w:val="20"/>
        </w:rPr>
        <w:footnoteReference w:customMarkFollows="1" w:id="1"/>
        <w:t>*</w:t>
      </w:r>
    </w:p>
    <w:p w14:paraId="4C8125C7" w14:textId="77777777" w:rsidR="00063A53" w:rsidRPr="00C16C5E" w:rsidRDefault="00063A53" w:rsidP="00063A53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</w:pPr>
      <w:r w:rsidRPr="00C16C5E">
        <w:tab/>
      </w:r>
      <w:r w:rsidRPr="00C16C5E">
        <w:tab/>
        <w:t>(Пересмотр 3, включающий поправки, вступившие в силу 14 сентября 2017 года)</w:t>
      </w:r>
    </w:p>
    <w:p w14:paraId="11932B4C" w14:textId="77777777" w:rsidR="00063A53" w:rsidRPr="00063A53" w:rsidRDefault="00063A53" w:rsidP="00063A5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F0BA94" w14:textId="77777777" w:rsidR="00063A53" w:rsidRPr="00C16C5E" w:rsidRDefault="00063A53" w:rsidP="00063A53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C16C5E">
        <w:rPr>
          <w:b/>
          <w:sz w:val="24"/>
        </w:rPr>
        <w:tab/>
      </w:r>
      <w:r w:rsidRPr="00C16C5E">
        <w:rPr>
          <w:b/>
          <w:sz w:val="24"/>
        </w:rPr>
        <w:tab/>
      </w:r>
      <w:r w:rsidRPr="00C16C5E">
        <w:rPr>
          <w:b/>
          <w:sz w:val="24"/>
          <w:szCs w:val="24"/>
        </w:rPr>
        <w:t>Добавление</w:t>
      </w:r>
      <w:r w:rsidRPr="00063A53">
        <w:rPr>
          <w:b/>
          <w:sz w:val="24"/>
          <w:szCs w:val="24"/>
        </w:rPr>
        <w:t xml:space="preserve"> 151 </w:t>
      </w:r>
      <w:r w:rsidR="00B442CA" w:rsidRPr="00D3606A">
        <w:rPr>
          <w:b/>
          <w:sz w:val="24"/>
          <w:szCs w:val="24"/>
        </w:rPr>
        <w:t>—</w:t>
      </w:r>
      <w:r w:rsidRPr="00063A53">
        <w:rPr>
          <w:b/>
          <w:sz w:val="24"/>
          <w:szCs w:val="24"/>
        </w:rPr>
        <w:t xml:space="preserve"> </w:t>
      </w:r>
      <w:r w:rsidRPr="00C16C5E">
        <w:rPr>
          <w:b/>
          <w:sz w:val="24"/>
          <w:szCs w:val="24"/>
        </w:rPr>
        <w:t>Правила</w:t>
      </w:r>
      <w:r w:rsidRPr="00063A53">
        <w:rPr>
          <w:b/>
          <w:sz w:val="24"/>
          <w:szCs w:val="24"/>
        </w:rPr>
        <w:t xml:space="preserve"> № 152 </w:t>
      </w:r>
      <w:r w:rsidRPr="00C16C5E">
        <w:rPr>
          <w:b/>
          <w:sz w:val="24"/>
          <w:szCs w:val="24"/>
        </w:rPr>
        <w:t>ООН</w:t>
      </w:r>
    </w:p>
    <w:p w14:paraId="0F32B3E8" w14:textId="77777777" w:rsidR="00063A53" w:rsidRPr="00C16C5E" w:rsidRDefault="00063A53" w:rsidP="00063A53">
      <w:pPr>
        <w:pStyle w:val="H1G"/>
        <w:spacing w:before="240"/>
      </w:pPr>
      <w:r w:rsidRPr="00C16C5E">
        <w:tab/>
      </w:r>
      <w:r w:rsidRPr="00C16C5E">
        <w:tab/>
        <w:t>Поправка 2</w:t>
      </w:r>
    </w:p>
    <w:p w14:paraId="272C9397" w14:textId="77777777" w:rsidR="00063A53" w:rsidRPr="00C16C5E" w:rsidRDefault="00063A53" w:rsidP="00063A53">
      <w:pPr>
        <w:pStyle w:val="SingleTxtG"/>
        <w:spacing w:after="360"/>
        <w:ind w:right="1089"/>
        <w:jc w:val="left"/>
        <w:rPr>
          <w:spacing w:val="-2"/>
        </w:rPr>
      </w:pPr>
      <w:r w:rsidRPr="00C16C5E">
        <w:rPr>
          <w:spacing w:val="-2"/>
        </w:rPr>
        <w:t xml:space="preserve">Поправки серии 01 </w:t>
      </w:r>
      <w:r w:rsidR="00B442CA" w:rsidRPr="00B442CA">
        <w:rPr>
          <w:spacing w:val="-2"/>
        </w:rPr>
        <w:t>—</w:t>
      </w:r>
      <w:r w:rsidRPr="00C16C5E">
        <w:rPr>
          <w:spacing w:val="-2"/>
        </w:rPr>
        <w:t xml:space="preserve"> </w:t>
      </w:r>
      <w:r w:rsidRPr="00C16C5E">
        <w:t>Дата вступления в силу</w:t>
      </w:r>
      <w:r w:rsidRPr="00C16C5E">
        <w:rPr>
          <w:spacing w:val="-2"/>
        </w:rPr>
        <w:t xml:space="preserve">: </w:t>
      </w:r>
      <w:r w:rsidRPr="00C16C5E">
        <w:t>25 сентября 2020 года</w:t>
      </w:r>
    </w:p>
    <w:p w14:paraId="7426C631" w14:textId="77777777" w:rsidR="00063A53" w:rsidRPr="00C16C5E" w:rsidRDefault="00063A53" w:rsidP="00063A53">
      <w:pPr>
        <w:pStyle w:val="H1G"/>
        <w:spacing w:before="120" w:after="120" w:line="240" w:lineRule="exact"/>
      </w:pPr>
      <w:r w:rsidRPr="00C16C5E">
        <w:tab/>
      </w:r>
      <w:r w:rsidRPr="00C16C5E">
        <w:tab/>
        <w:t>Единообразные предписания, касающиеся официального утверждения автотранспортных средств в отношении систем автоматического экстренного торможения (САЭТ) для транспортных средств категорий М</w:t>
      </w:r>
      <w:r w:rsidRPr="00C16C5E">
        <w:rPr>
          <w:vertAlign w:val="subscript"/>
        </w:rPr>
        <w:t>1</w:t>
      </w:r>
      <w:r w:rsidRPr="00C16C5E">
        <w:t xml:space="preserve"> и N</w:t>
      </w:r>
      <w:r w:rsidRPr="00C16C5E">
        <w:rPr>
          <w:vertAlign w:val="subscript"/>
        </w:rPr>
        <w:t>1</w:t>
      </w:r>
    </w:p>
    <w:p w14:paraId="0E8E4ACD" w14:textId="77777777" w:rsidR="00063A53" w:rsidRPr="00C16C5E" w:rsidRDefault="00063A53" w:rsidP="00063A53">
      <w:pPr>
        <w:spacing w:after="40"/>
        <w:ind w:left="1134" w:right="1134"/>
        <w:rPr>
          <w:lang w:eastAsia="en-GB"/>
        </w:rPr>
      </w:pPr>
      <w:r w:rsidRPr="00C16C5E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C16C5E">
        <w:rPr>
          <w:lang w:eastAsia="en-GB"/>
        </w:rPr>
        <w:t xml:space="preserve"> ECE/TRANS/WP.29/2020/10.</w:t>
      </w:r>
    </w:p>
    <w:p w14:paraId="03D85DD6" w14:textId="77777777" w:rsidR="00063A53" w:rsidRPr="00063A53" w:rsidRDefault="00063A53" w:rsidP="00063A53">
      <w:pPr>
        <w:jc w:val="center"/>
        <w:rPr>
          <w:u w:val="single"/>
        </w:rPr>
      </w:pPr>
      <w:r w:rsidRPr="00C16C5E">
        <w:rPr>
          <w:noProof/>
          <w:lang w:val="en-US"/>
        </w:rPr>
        <w:drawing>
          <wp:anchor distT="0" distB="137160" distL="114300" distR="114300" simplePos="0" relativeHeight="251659264" behindDoc="0" locked="0" layoutInCell="1" allowOverlap="1" wp14:anchorId="6B95661E" wp14:editId="5D7B8B00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6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949989" w14:textId="364529D5" w:rsidR="00063A53" w:rsidRPr="00C16C5E" w:rsidRDefault="00063A53" w:rsidP="00063A53">
      <w:pPr>
        <w:jc w:val="center"/>
        <w:rPr>
          <w:rFonts w:asciiTheme="majorBidi" w:hAnsiTheme="majorBidi"/>
        </w:rPr>
      </w:pPr>
      <w:r w:rsidRPr="00C16C5E">
        <w:rPr>
          <w:b/>
          <w:sz w:val="22"/>
        </w:rPr>
        <w:t xml:space="preserve">ОРГАНИЗАЦИЯ ОБЪЕДИНЕННЫХ НАЦИЙ </w:t>
      </w:r>
      <w:r w:rsidRPr="00C16C5E">
        <w:br w:type="page"/>
      </w:r>
    </w:p>
    <w:p w14:paraId="45D2D87D" w14:textId="77777777" w:rsidR="00063A53" w:rsidRPr="00C16C5E" w:rsidRDefault="00063A53" w:rsidP="00063A53">
      <w:pPr>
        <w:pStyle w:val="SingleTxtG"/>
      </w:pPr>
      <w:r w:rsidRPr="00C16C5E">
        <w:rPr>
          <w:i/>
          <w:iCs/>
        </w:rPr>
        <w:lastRenderedPageBreak/>
        <w:t>Пункт 5.2.1.4, таблицу и примечания, касающиеся N</w:t>
      </w:r>
      <w:r w:rsidRPr="00C16C5E">
        <w:rPr>
          <w:i/>
          <w:iCs/>
          <w:vertAlign w:val="subscript"/>
        </w:rPr>
        <w:t>1</w:t>
      </w:r>
      <w:r w:rsidRPr="00D3606A">
        <w:rPr>
          <w:i/>
          <w:iCs/>
        </w:rPr>
        <w:t>,</w:t>
      </w:r>
      <w:r w:rsidRPr="00D3606A">
        <w:t xml:space="preserve"> </w:t>
      </w:r>
      <w:r w:rsidRPr="00C16C5E">
        <w:t>изменить следующим образом:</w:t>
      </w:r>
    </w:p>
    <w:p w14:paraId="44C80455" w14:textId="77777777" w:rsidR="00063A53" w:rsidRPr="00C16C5E" w:rsidRDefault="00063A53" w:rsidP="00063A53">
      <w:pPr>
        <w:pStyle w:val="SingleTxtG"/>
        <w:jc w:val="left"/>
      </w:pPr>
      <w:r w:rsidRPr="00C16C5E">
        <w:rPr>
          <w:bCs/>
        </w:rPr>
        <w:t>«</w:t>
      </w:r>
      <w:r w:rsidRPr="00C16C5E">
        <w:rPr>
          <w:b/>
          <w:bCs/>
        </w:rPr>
        <w:t>Максимальная относительная скорость при ударе (км/ч) для транспортных средств категории N</w:t>
      </w:r>
      <w:r w:rsidRPr="00C16C5E">
        <w:rPr>
          <w:b/>
          <w:bCs/>
          <w:vertAlign w:val="subscript"/>
        </w:rPr>
        <w:t>1</w:t>
      </w:r>
      <w:r w:rsidRPr="00806524">
        <w:rPr>
          <w:bCs/>
        </w:rPr>
        <w:t>*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2230"/>
        <w:gridCol w:w="3601"/>
      </w:tblGrid>
      <w:tr w:rsidR="00063A53" w:rsidRPr="00C16C5E" w14:paraId="5BB635B8" w14:textId="77777777" w:rsidTr="002B133E">
        <w:tc>
          <w:tcPr>
            <w:tcW w:w="1539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1150" w14:textId="77777777" w:rsidR="00063A53" w:rsidRPr="00C16C5E" w:rsidRDefault="00063A53" w:rsidP="002B133E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C16C5E">
              <w:rPr>
                <w:i/>
                <w:sz w:val="16"/>
              </w:rPr>
              <w:t xml:space="preserve">Относительная </w:t>
            </w:r>
            <w:r w:rsidRPr="00C16C5E">
              <w:rPr>
                <w:i/>
                <w:sz w:val="16"/>
              </w:rPr>
              <w:br/>
              <w:t>скорость (км/ч)</w:t>
            </w:r>
          </w:p>
        </w:tc>
        <w:tc>
          <w:tcPr>
            <w:tcW w:w="5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3FB22" w14:textId="77777777" w:rsidR="00063A53" w:rsidRPr="00C16C5E" w:rsidRDefault="00063A53" w:rsidP="002B133E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C16C5E">
              <w:rPr>
                <w:i/>
                <w:sz w:val="16"/>
              </w:rPr>
              <w:t>Транспортное средство в неподвижном состоянии/</w:t>
            </w:r>
            <w:r w:rsidRPr="00C16C5E">
              <w:rPr>
                <w:i/>
                <w:sz w:val="16"/>
              </w:rPr>
              <w:br/>
              <w:t>движущееся транспортное средство</w:t>
            </w:r>
          </w:p>
        </w:tc>
      </w:tr>
      <w:tr w:rsidR="00063A53" w:rsidRPr="00C16C5E" w14:paraId="362981AE" w14:textId="77777777" w:rsidTr="002B133E">
        <w:tc>
          <w:tcPr>
            <w:tcW w:w="15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7C309" w14:textId="77777777" w:rsidR="00063A53" w:rsidRPr="00C16C5E" w:rsidRDefault="00063A53" w:rsidP="002B133E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1F64" w14:textId="77777777" w:rsidR="00063A53" w:rsidRPr="00C16C5E" w:rsidRDefault="00063A53" w:rsidP="002B133E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C16C5E">
              <w:rPr>
                <w:i/>
                <w:sz w:val="16"/>
              </w:rPr>
              <w:t>Максимальная масса</w:t>
            </w:r>
          </w:p>
        </w:tc>
        <w:tc>
          <w:tcPr>
            <w:tcW w:w="36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0131" w14:textId="77777777" w:rsidR="00063A53" w:rsidRPr="00C16C5E" w:rsidRDefault="00063A53" w:rsidP="002B133E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C16C5E">
              <w:rPr>
                <w:i/>
                <w:sz w:val="16"/>
              </w:rPr>
              <w:t>Масса в снаряженном состоянии</w:t>
            </w:r>
          </w:p>
        </w:tc>
      </w:tr>
      <w:tr w:rsidR="00063A53" w:rsidRPr="00C16C5E" w14:paraId="1C7433C1" w14:textId="77777777" w:rsidTr="002B133E">
        <w:tc>
          <w:tcPr>
            <w:tcW w:w="1539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160B19F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10</w:t>
            </w:r>
          </w:p>
        </w:tc>
        <w:tc>
          <w:tcPr>
            <w:tcW w:w="2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8B108F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0,00</w:t>
            </w:r>
          </w:p>
        </w:tc>
        <w:tc>
          <w:tcPr>
            <w:tcW w:w="36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06F1B9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0,00</w:t>
            </w:r>
          </w:p>
        </w:tc>
      </w:tr>
      <w:tr w:rsidR="00063A53" w:rsidRPr="00C16C5E" w14:paraId="0AC48E8B" w14:textId="77777777" w:rsidTr="002B133E">
        <w:tc>
          <w:tcPr>
            <w:tcW w:w="1539" w:type="dxa"/>
            <w:shd w:val="clear" w:color="auto" w:fill="auto"/>
            <w:hideMark/>
          </w:tcPr>
          <w:p w14:paraId="30F23C05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15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7F55B8A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0,00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7AC5A129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0,00</w:t>
            </w:r>
          </w:p>
        </w:tc>
      </w:tr>
      <w:tr w:rsidR="00063A53" w:rsidRPr="00C16C5E" w14:paraId="7451C147" w14:textId="77777777" w:rsidTr="002B133E">
        <w:tc>
          <w:tcPr>
            <w:tcW w:w="1539" w:type="dxa"/>
            <w:shd w:val="clear" w:color="auto" w:fill="auto"/>
            <w:hideMark/>
          </w:tcPr>
          <w:p w14:paraId="319D2CA9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20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5C711C7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0,00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7101FCF2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0,00</w:t>
            </w:r>
          </w:p>
        </w:tc>
      </w:tr>
      <w:tr w:rsidR="00063A53" w:rsidRPr="00C16C5E" w14:paraId="35CA5018" w14:textId="77777777" w:rsidTr="002B133E">
        <w:tc>
          <w:tcPr>
            <w:tcW w:w="1539" w:type="dxa"/>
            <w:shd w:val="clear" w:color="auto" w:fill="auto"/>
            <w:hideMark/>
          </w:tcPr>
          <w:p w14:paraId="7F70BA40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25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2A61406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0,00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585AFDE0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0,00</w:t>
            </w:r>
          </w:p>
        </w:tc>
      </w:tr>
      <w:tr w:rsidR="00063A53" w:rsidRPr="00C16C5E" w14:paraId="5036EB4E" w14:textId="77777777" w:rsidTr="002B133E">
        <w:tc>
          <w:tcPr>
            <w:tcW w:w="1539" w:type="dxa"/>
            <w:shd w:val="clear" w:color="auto" w:fill="auto"/>
            <w:hideMark/>
          </w:tcPr>
          <w:p w14:paraId="2D6F7AC4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30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8C58713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0,00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3CDB9D86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0,00</w:t>
            </w:r>
          </w:p>
        </w:tc>
      </w:tr>
      <w:tr w:rsidR="00063A53" w:rsidRPr="00C16C5E" w14:paraId="2D81C436" w14:textId="77777777" w:rsidTr="002B133E">
        <w:tc>
          <w:tcPr>
            <w:tcW w:w="1539" w:type="dxa"/>
            <w:shd w:val="clear" w:color="auto" w:fill="auto"/>
          </w:tcPr>
          <w:p w14:paraId="65EDF011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32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41FA91E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0,00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7DA7E825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0,00</w:t>
            </w:r>
          </w:p>
        </w:tc>
      </w:tr>
      <w:tr w:rsidR="00063A53" w:rsidRPr="00C16C5E" w14:paraId="70787D98" w14:textId="77777777" w:rsidTr="002B133E">
        <w:tc>
          <w:tcPr>
            <w:tcW w:w="1539" w:type="dxa"/>
            <w:shd w:val="clear" w:color="auto" w:fill="auto"/>
            <w:hideMark/>
          </w:tcPr>
          <w:p w14:paraId="66510D54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35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E7934D1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0,00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1AEC25F2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0,00</w:t>
            </w:r>
          </w:p>
        </w:tc>
      </w:tr>
      <w:tr w:rsidR="00063A53" w:rsidRPr="00C16C5E" w14:paraId="453643A8" w14:textId="77777777" w:rsidTr="002B133E">
        <w:tc>
          <w:tcPr>
            <w:tcW w:w="1539" w:type="dxa"/>
            <w:shd w:val="clear" w:color="auto" w:fill="auto"/>
          </w:tcPr>
          <w:p w14:paraId="59771166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38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7E36686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0,00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79E0EECE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0,00</w:t>
            </w:r>
          </w:p>
        </w:tc>
      </w:tr>
      <w:tr w:rsidR="00063A53" w:rsidRPr="00C16C5E" w14:paraId="15AFE489" w14:textId="77777777" w:rsidTr="002B133E">
        <w:tc>
          <w:tcPr>
            <w:tcW w:w="1539" w:type="dxa"/>
            <w:shd w:val="clear" w:color="auto" w:fill="auto"/>
            <w:hideMark/>
          </w:tcPr>
          <w:p w14:paraId="4DCE5062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40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EE9CF5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10,00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23086FA5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0,00</w:t>
            </w:r>
          </w:p>
        </w:tc>
      </w:tr>
      <w:tr w:rsidR="00063A53" w:rsidRPr="00C16C5E" w14:paraId="50F0F2E9" w14:textId="77777777" w:rsidTr="002B133E">
        <w:tc>
          <w:tcPr>
            <w:tcW w:w="1539" w:type="dxa"/>
            <w:shd w:val="clear" w:color="auto" w:fill="auto"/>
            <w:hideMark/>
          </w:tcPr>
          <w:p w14:paraId="17DF1C36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42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549FF2F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15,00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62CF976C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0,00</w:t>
            </w:r>
          </w:p>
        </w:tc>
      </w:tr>
      <w:tr w:rsidR="00063A53" w:rsidRPr="00C16C5E" w14:paraId="1508BA46" w14:textId="77777777" w:rsidTr="002B133E">
        <w:tc>
          <w:tcPr>
            <w:tcW w:w="1539" w:type="dxa"/>
            <w:shd w:val="clear" w:color="auto" w:fill="auto"/>
            <w:hideMark/>
          </w:tcPr>
          <w:p w14:paraId="46A3A4F8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45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EFC8D25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20,00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09BF901F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15,00</w:t>
            </w:r>
          </w:p>
        </w:tc>
      </w:tr>
      <w:tr w:rsidR="00063A53" w:rsidRPr="00C16C5E" w14:paraId="056EF859" w14:textId="77777777" w:rsidTr="002B133E">
        <w:tc>
          <w:tcPr>
            <w:tcW w:w="1539" w:type="dxa"/>
            <w:shd w:val="clear" w:color="auto" w:fill="auto"/>
            <w:hideMark/>
          </w:tcPr>
          <w:p w14:paraId="0ADECE13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50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0945CB0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30,00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76B47EBC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25,00</w:t>
            </w:r>
          </w:p>
        </w:tc>
      </w:tr>
      <w:tr w:rsidR="00063A53" w:rsidRPr="00C16C5E" w14:paraId="4BC7B82F" w14:textId="77777777" w:rsidTr="002B133E"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D3A202A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55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096B8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35,00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2D1CE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30,00</w:t>
            </w:r>
          </w:p>
        </w:tc>
      </w:tr>
      <w:tr w:rsidR="00063A53" w:rsidRPr="00C16C5E" w14:paraId="01E3987D" w14:textId="77777777" w:rsidTr="002B133E">
        <w:tc>
          <w:tcPr>
            <w:tcW w:w="1539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7F1AFBA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60</w:t>
            </w:r>
          </w:p>
        </w:tc>
        <w:tc>
          <w:tcPr>
            <w:tcW w:w="2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EF4572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40,00</w:t>
            </w:r>
          </w:p>
        </w:tc>
        <w:tc>
          <w:tcPr>
            <w:tcW w:w="36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47D5D7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35,00</w:t>
            </w:r>
          </w:p>
        </w:tc>
      </w:tr>
    </w:tbl>
    <w:p w14:paraId="135D9ECC" w14:textId="77777777" w:rsidR="00063A53" w:rsidRPr="00C16C5E" w:rsidRDefault="00063A53" w:rsidP="00063A53">
      <w:pPr>
        <w:pStyle w:val="SingleTxtG"/>
        <w:spacing w:before="120"/>
        <w:jc w:val="right"/>
        <w:rPr>
          <w:bCs/>
          <w:kern w:val="2"/>
        </w:rPr>
      </w:pPr>
      <w:r w:rsidRPr="00C16C5E">
        <w:t>Все значения в км/ч</w:t>
      </w:r>
    </w:p>
    <w:p w14:paraId="09A1B21C" w14:textId="77777777" w:rsidR="00063A53" w:rsidRPr="00C16C5E" w:rsidRDefault="00063A53" w:rsidP="00063A53">
      <w:pPr>
        <w:pStyle w:val="SingleTxtG"/>
        <w:spacing w:after="0" w:line="220" w:lineRule="exact"/>
        <w:ind w:firstLine="170"/>
        <w:jc w:val="left"/>
        <w:rPr>
          <w:kern w:val="2"/>
          <w:sz w:val="18"/>
          <w:szCs w:val="18"/>
        </w:rPr>
      </w:pPr>
      <w:r w:rsidRPr="00806524">
        <w:t>*</w:t>
      </w:r>
      <w:r w:rsidRPr="00C16C5E">
        <w:rPr>
          <w:sz w:val="18"/>
          <w:szCs w:val="18"/>
        </w:rPr>
        <w:t xml:space="preserve">  В случае скоростей в промежутках между перечисленными значениями (например, 53 км/ч) применяется максимальная скорость при ударе (т. е. 35/30 км/ч), предписанная для следующего более высокого значения скорости (т. е. 55 км/ч). </w:t>
      </w:r>
    </w:p>
    <w:p w14:paraId="1B3A96EB" w14:textId="7B7D1E34" w:rsidR="00063A53" w:rsidRPr="00C16C5E" w:rsidRDefault="00D3606A" w:rsidP="00D3606A">
      <w:pPr>
        <w:pStyle w:val="SingleTxtG"/>
        <w:spacing w:after="0" w:line="220" w:lineRule="exact"/>
        <w:ind w:firstLine="284"/>
        <w:jc w:val="left"/>
        <w:rPr>
          <w:kern w:val="2"/>
          <w:sz w:val="18"/>
          <w:szCs w:val="18"/>
        </w:rPr>
      </w:pPr>
      <w:r w:rsidRPr="00D3606A">
        <w:rPr>
          <w:sz w:val="18"/>
          <w:szCs w:val="18"/>
        </w:rPr>
        <w:t xml:space="preserve">  </w:t>
      </w:r>
      <w:r w:rsidR="00063A53" w:rsidRPr="00C16C5E">
        <w:rPr>
          <w:sz w:val="18"/>
          <w:szCs w:val="18"/>
        </w:rPr>
        <w:t>В том случае, если масса превышает массу в снаряженном состоянии, применяется максимальная относительная скорость при ударе, предписанная для максимальной массы</w:t>
      </w:r>
      <w:r w:rsidR="00063A53" w:rsidRPr="00C16C5E">
        <w:t>».</w:t>
      </w:r>
    </w:p>
    <w:p w14:paraId="31BC786F" w14:textId="77777777" w:rsidR="00063A53" w:rsidRPr="00C16C5E" w:rsidRDefault="00063A53" w:rsidP="00063A53">
      <w:pPr>
        <w:pStyle w:val="SingleTxtG"/>
        <w:spacing w:before="120"/>
      </w:pPr>
      <w:r w:rsidRPr="00C16C5E">
        <w:rPr>
          <w:i/>
          <w:iCs/>
        </w:rPr>
        <w:t>Пункт 5.2.2.4, таблицы, касающиеся M</w:t>
      </w:r>
      <w:r w:rsidRPr="00C16C5E">
        <w:rPr>
          <w:i/>
          <w:iCs/>
          <w:vertAlign w:val="subscript"/>
        </w:rPr>
        <w:t>1</w:t>
      </w:r>
      <w:r w:rsidRPr="00C16C5E">
        <w:rPr>
          <w:i/>
          <w:iCs/>
        </w:rPr>
        <w:t xml:space="preserve"> и N</w:t>
      </w:r>
      <w:r w:rsidRPr="00C16C5E">
        <w:rPr>
          <w:i/>
          <w:iCs/>
          <w:vertAlign w:val="subscript"/>
        </w:rPr>
        <w:t>1</w:t>
      </w:r>
      <w:r w:rsidRPr="00C16C5E">
        <w:t>, изменить следующим образом:</w:t>
      </w:r>
    </w:p>
    <w:p w14:paraId="2665039B" w14:textId="77777777" w:rsidR="00063A53" w:rsidRPr="00C16C5E" w:rsidRDefault="00063A53" w:rsidP="00063A53">
      <w:pPr>
        <w:pStyle w:val="SingleTxtG"/>
        <w:jc w:val="left"/>
        <w:rPr>
          <w:b/>
          <w:bCs/>
          <w:kern w:val="2"/>
        </w:rPr>
      </w:pPr>
      <w:r w:rsidRPr="00C16C5E">
        <w:t>«</w:t>
      </w:r>
      <w:r w:rsidRPr="00C16C5E">
        <w:rPr>
          <w:b/>
        </w:rPr>
        <w:t>Максимальная скорость при ударе (км/ч) для транспортных средств категории М</w:t>
      </w:r>
      <w:r w:rsidRPr="00C16C5E">
        <w:rPr>
          <w:b/>
          <w:vertAlign w:val="subscript"/>
        </w:rPr>
        <w:t>1</w:t>
      </w:r>
      <w:r w:rsidRPr="00063A53">
        <w:t>*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2554"/>
        <w:gridCol w:w="2594"/>
      </w:tblGrid>
      <w:tr w:rsidR="00063A53" w:rsidRPr="00C16C5E" w14:paraId="755CBE70" w14:textId="77777777" w:rsidTr="00B442CA">
        <w:trPr>
          <w:tblHeader/>
          <w:jc w:val="center"/>
        </w:trPr>
        <w:tc>
          <w:tcPr>
            <w:tcW w:w="222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C481D84" w14:textId="77777777" w:rsidR="00063A53" w:rsidRPr="00C16C5E" w:rsidRDefault="00063A53" w:rsidP="002B133E">
            <w:pPr>
              <w:suppressAutoHyphens w:val="0"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C16C5E">
              <w:rPr>
                <w:i/>
                <w:sz w:val="16"/>
              </w:rPr>
              <w:t xml:space="preserve">Скорость движения </w:t>
            </w:r>
            <w:r w:rsidR="00B442CA">
              <w:rPr>
                <w:i/>
                <w:sz w:val="16"/>
              </w:rPr>
              <w:br/>
            </w:r>
            <w:r w:rsidRPr="00C16C5E">
              <w:rPr>
                <w:i/>
                <w:sz w:val="16"/>
              </w:rPr>
              <w:t xml:space="preserve">данного транспортного </w:t>
            </w:r>
            <w:r w:rsidR="00B442CA">
              <w:rPr>
                <w:i/>
                <w:sz w:val="16"/>
              </w:rPr>
              <w:br/>
            </w:r>
            <w:r w:rsidRPr="00C16C5E">
              <w:rPr>
                <w:i/>
                <w:sz w:val="16"/>
              </w:rPr>
              <w:t>средства (км/ч)</w:t>
            </w:r>
          </w:p>
        </w:tc>
        <w:tc>
          <w:tcPr>
            <w:tcW w:w="255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5A0FA04" w14:textId="77777777" w:rsidR="00063A53" w:rsidRPr="00C16C5E" w:rsidRDefault="00063A53" w:rsidP="002B133E">
            <w:pPr>
              <w:suppressAutoHyphens w:val="0"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C16C5E">
              <w:rPr>
                <w:i/>
                <w:sz w:val="16"/>
              </w:rPr>
              <w:t>Максимальная масса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BA4339C" w14:textId="77777777" w:rsidR="00063A53" w:rsidRPr="00C16C5E" w:rsidRDefault="00063A53" w:rsidP="002B133E">
            <w:pPr>
              <w:suppressAutoHyphens w:val="0"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C16C5E">
              <w:rPr>
                <w:i/>
                <w:sz w:val="16"/>
              </w:rPr>
              <w:t>Масса в снаряженном состоянии</w:t>
            </w:r>
          </w:p>
        </w:tc>
      </w:tr>
      <w:tr w:rsidR="00063A53" w:rsidRPr="00C16C5E" w14:paraId="5B4E0269" w14:textId="77777777" w:rsidTr="00B442CA">
        <w:trPr>
          <w:jc w:val="center"/>
        </w:trPr>
        <w:tc>
          <w:tcPr>
            <w:tcW w:w="222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202B591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20</w:t>
            </w:r>
          </w:p>
        </w:tc>
        <w:tc>
          <w:tcPr>
            <w:tcW w:w="25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FC3E4A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0,00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EE62B8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0,00</w:t>
            </w:r>
          </w:p>
        </w:tc>
      </w:tr>
      <w:tr w:rsidR="00063A53" w:rsidRPr="00C16C5E" w14:paraId="2B48389D" w14:textId="77777777" w:rsidTr="002B133E">
        <w:trPr>
          <w:jc w:val="center"/>
        </w:trPr>
        <w:tc>
          <w:tcPr>
            <w:tcW w:w="2222" w:type="dxa"/>
            <w:shd w:val="clear" w:color="auto" w:fill="auto"/>
            <w:vAlign w:val="center"/>
            <w:hideMark/>
          </w:tcPr>
          <w:p w14:paraId="5ABF609E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25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7AEA6B81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0,00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0E2B3977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0,00</w:t>
            </w:r>
          </w:p>
        </w:tc>
      </w:tr>
      <w:tr w:rsidR="00063A53" w:rsidRPr="00C16C5E" w14:paraId="4D894D60" w14:textId="77777777" w:rsidTr="002B133E">
        <w:trPr>
          <w:jc w:val="center"/>
        </w:trPr>
        <w:tc>
          <w:tcPr>
            <w:tcW w:w="2222" w:type="dxa"/>
            <w:shd w:val="clear" w:color="auto" w:fill="auto"/>
            <w:vAlign w:val="center"/>
            <w:hideMark/>
          </w:tcPr>
          <w:p w14:paraId="0CB0A339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30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6F72806B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0,00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16B58A5A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0,00</w:t>
            </w:r>
          </w:p>
        </w:tc>
      </w:tr>
      <w:tr w:rsidR="00063A53" w:rsidRPr="00C16C5E" w14:paraId="00CA4102" w14:textId="77777777" w:rsidTr="002B133E">
        <w:trPr>
          <w:jc w:val="center"/>
        </w:trPr>
        <w:tc>
          <w:tcPr>
            <w:tcW w:w="2222" w:type="dxa"/>
            <w:shd w:val="clear" w:color="auto" w:fill="auto"/>
            <w:vAlign w:val="center"/>
            <w:hideMark/>
          </w:tcPr>
          <w:p w14:paraId="276A3BEF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35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318A146B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0,00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193E297C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0,00</w:t>
            </w:r>
          </w:p>
        </w:tc>
      </w:tr>
      <w:tr w:rsidR="00063A53" w:rsidRPr="00C16C5E" w14:paraId="5E86EB3F" w14:textId="77777777" w:rsidTr="002B133E">
        <w:trPr>
          <w:jc w:val="center"/>
        </w:trPr>
        <w:tc>
          <w:tcPr>
            <w:tcW w:w="2222" w:type="dxa"/>
            <w:shd w:val="clear" w:color="auto" w:fill="auto"/>
            <w:vAlign w:val="center"/>
            <w:hideMark/>
          </w:tcPr>
          <w:p w14:paraId="6A2C9DB9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40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4CABC4A8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0,00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74A44F66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0,00</w:t>
            </w:r>
          </w:p>
        </w:tc>
      </w:tr>
      <w:tr w:rsidR="00063A53" w:rsidRPr="00C16C5E" w14:paraId="14AD95A3" w14:textId="77777777" w:rsidTr="002B133E">
        <w:trPr>
          <w:jc w:val="center"/>
        </w:trPr>
        <w:tc>
          <w:tcPr>
            <w:tcW w:w="2222" w:type="dxa"/>
            <w:shd w:val="clear" w:color="auto" w:fill="auto"/>
            <w:vAlign w:val="center"/>
            <w:hideMark/>
          </w:tcPr>
          <w:p w14:paraId="78FBBF01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42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6CDB7183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10,00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399E9B03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0,00</w:t>
            </w:r>
          </w:p>
        </w:tc>
      </w:tr>
      <w:tr w:rsidR="00063A53" w:rsidRPr="00C16C5E" w14:paraId="73C6B301" w14:textId="77777777" w:rsidTr="002B133E">
        <w:trPr>
          <w:jc w:val="center"/>
        </w:trPr>
        <w:tc>
          <w:tcPr>
            <w:tcW w:w="2222" w:type="dxa"/>
            <w:shd w:val="clear" w:color="auto" w:fill="auto"/>
            <w:vAlign w:val="center"/>
            <w:hideMark/>
          </w:tcPr>
          <w:p w14:paraId="625255FF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45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0BB9F1EE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15,00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7782E637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15,00</w:t>
            </w:r>
          </w:p>
        </w:tc>
      </w:tr>
      <w:tr w:rsidR="00063A53" w:rsidRPr="00C16C5E" w14:paraId="659FF82E" w14:textId="77777777" w:rsidTr="002B133E">
        <w:trPr>
          <w:jc w:val="center"/>
        </w:trPr>
        <w:tc>
          <w:tcPr>
            <w:tcW w:w="2222" w:type="dxa"/>
            <w:shd w:val="clear" w:color="auto" w:fill="auto"/>
            <w:vAlign w:val="center"/>
            <w:hideMark/>
          </w:tcPr>
          <w:p w14:paraId="28CE2447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50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07527576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25,00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0170F627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25,00</w:t>
            </w:r>
          </w:p>
        </w:tc>
      </w:tr>
      <w:tr w:rsidR="00063A53" w:rsidRPr="00C16C5E" w14:paraId="5BFBF043" w14:textId="77777777" w:rsidTr="002B133E">
        <w:trPr>
          <w:jc w:val="center"/>
        </w:trPr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00D786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55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91AAD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30,00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14760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30,00</w:t>
            </w:r>
          </w:p>
        </w:tc>
      </w:tr>
      <w:tr w:rsidR="00063A53" w:rsidRPr="00C16C5E" w14:paraId="7FE9E99A" w14:textId="77777777" w:rsidTr="002B133E">
        <w:trPr>
          <w:jc w:val="center"/>
        </w:trPr>
        <w:tc>
          <w:tcPr>
            <w:tcW w:w="222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B3D11A1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60</w:t>
            </w:r>
          </w:p>
        </w:tc>
        <w:tc>
          <w:tcPr>
            <w:tcW w:w="2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DA3EC8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35,00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A74AB5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35,00</w:t>
            </w:r>
          </w:p>
        </w:tc>
      </w:tr>
    </w:tbl>
    <w:p w14:paraId="4BB3AFDB" w14:textId="77777777" w:rsidR="00063A53" w:rsidRPr="00C16C5E" w:rsidRDefault="00063A53" w:rsidP="00063A53">
      <w:pPr>
        <w:pStyle w:val="SingleTxtG"/>
        <w:spacing w:before="120" w:after="0" w:line="220" w:lineRule="exact"/>
        <w:ind w:firstLine="170"/>
        <w:jc w:val="left"/>
        <w:rPr>
          <w:sz w:val="18"/>
          <w:szCs w:val="18"/>
        </w:rPr>
      </w:pPr>
      <w:r w:rsidRPr="00063A53">
        <w:t>*</w:t>
      </w:r>
      <w:r w:rsidRPr="00C16C5E">
        <w:rPr>
          <w:sz w:val="18"/>
          <w:szCs w:val="18"/>
          <w:lang w:val="en-US"/>
        </w:rPr>
        <w:t>  </w:t>
      </w:r>
      <w:r w:rsidRPr="00C16C5E">
        <w:rPr>
          <w:sz w:val="18"/>
          <w:szCs w:val="18"/>
        </w:rPr>
        <w:t>В случае скоростей в промежутках между перечисленными значениями (например, 53 км/ч) применяется максимальная скорость при ударе (т. е. 30/30 км/ч), предписанная для следующего более высокого значения скорости (т. е. 55 км/ч).</w:t>
      </w:r>
    </w:p>
    <w:p w14:paraId="476E4896" w14:textId="1B993AA1" w:rsidR="00063A53" w:rsidRPr="00C16C5E" w:rsidRDefault="00D3606A" w:rsidP="00D3606A">
      <w:pPr>
        <w:pStyle w:val="SingleTxtG"/>
        <w:spacing w:after="0" w:line="220" w:lineRule="exact"/>
        <w:ind w:firstLine="284"/>
        <w:jc w:val="left"/>
        <w:rPr>
          <w:kern w:val="2"/>
          <w:sz w:val="18"/>
          <w:szCs w:val="18"/>
        </w:rPr>
      </w:pPr>
      <w:r w:rsidRPr="00D3606A">
        <w:rPr>
          <w:sz w:val="18"/>
          <w:szCs w:val="18"/>
        </w:rPr>
        <w:t xml:space="preserve">  </w:t>
      </w:r>
      <w:r w:rsidR="00063A53" w:rsidRPr="00C16C5E">
        <w:rPr>
          <w:sz w:val="18"/>
          <w:szCs w:val="18"/>
        </w:rPr>
        <w:t>В том случае, если масса превышает массу в снаряженном состоянии, применяется максимальная относительная скорость при ударе, предписанная для максимальной массы</w:t>
      </w:r>
      <w:r w:rsidR="00063A53" w:rsidRPr="00C16C5E">
        <w:t>.</w:t>
      </w:r>
    </w:p>
    <w:p w14:paraId="6CE38F23" w14:textId="77777777" w:rsidR="00063A53" w:rsidRPr="00C16C5E" w:rsidRDefault="00063A53" w:rsidP="00063A53">
      <w:pPr>
        <w:pStyle w:val="SingleTxtG"/>
        <w:keepNext/>
        <w:jc w:val="left"/>
        <w:rPr>
          <w:kern w:val="2"/>
        </w:rPr>
      </w:pPr>
      <w:r w:rsidRPr="00C16C5E">
        <w:rPr>
          <w:b/>
          <w:bCs/>
        </w:rPr>
        <w:lastRenderedPageBreak/>
        <w:t>Максимальная скорость при ударе (км/ч) для транспортных средств категории N</w:t>
      </w:r>
      <w:r w:rsidRPr="00C16C5E">
        <w:rPr>
          <w:b/>
          <w:bCs/>
          <w:vertAlign w:val="subscript"/>
        </w:rPr>
        <w:t>1</w:t>
      </w:r>
      <w:r w:rsidRPr="00806524">
        <w:rPr>
          <w:bCs/>
        </w:rPr>
        <w:t>*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552"/>
        <w:gridCol w:w="2555"/>
      </w:tblGrid>
      <w:tr w:rsidR="00063A53" w:rsidRPr="00C16C5E" w14:paraId="282F7679" w14:textId="77777777" w:rsidTr="002B133E">
        <w:tc>
          <w:tcPr>
            <w:tcW w:w="22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1A16" w14:textId="77777777" w:rsidR="00063A53" w:rsidRPr="00C16C5E" w:rsidRDefault="00063A53" w:rsidP="002B133E">
            <w:pPr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C16C5E">
              <w:rPr>
                <w:i/>
                <w:sz w:val="16"/>
              </w:rPr>
              <w:t>Скорость движения испытуемого транспортного средства (км/ч)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BF3E" w14:textId="77777777" w:rsidR="00063A53" w:rsidRPr="00C16C5E" w:rsidRDefault="00063A53" w:rsidP="002B133E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C16C5E">
              <w:rPr>
                <w:i/>
                <w:sz w:val="16"/>
              </w:rPr>
              <w:t>Максимальная масса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9419" w14:textId="77777777" w:rsidR="00063A53" w:rsidRPr="00C16C5E" w:rsidRDefault="00063A53" w:rsidP="002B133E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C16C5E">
              <w:rPr>
                <w:i/>
                <w:sz w:val="16"/>
              </w:rPr>
              <w:t>Масса в снаряженном состоянии</w:t>
            </w:r>
          </w:p>
        </w:tc>
      </w:tr>
      <w:tr w:rsidR="00063A53" w:rsidRPr="00C16C5E" w14:paraId="05210033" w14:textId="77777777" w:rsidTr="002B133E">
        <w:tc>
          <w:tcPr>
            <w:tcW w:w="226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FE0CF4E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20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7DCAE3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0,00</w:t>
            </w:r>
          </w:p>
        </w:tc>
        <w:tc>
          <w:tcPr>
            <w:tcW w:w="25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DD415B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0,00</w:t>
            </w:r>
          </w:p>
        </w:tc>
      </w:tr>
      <w:tr w:rsidR="00063A53" w:rsidRPr="00C16C5E" w14:paraId="00056DE9" w14:textId="77777777" w:rsidTr="002B133E">
        <w:tc>
          <w:tcPr>
            <w:tcW w:w="2263" w:type="dxa"/>
            <w:shd w:val="clear" w:color="auto" w:fill="auto"/>
            <w:vAlign w:val="center"/>
            <w:hideMark/>
          </w:tcPr>
          <w:p w14:paraId="5E116A95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25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32CFF6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0,00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0160F78C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0,00</w:t>
            </w:r>
          </w:p>
        </w:tc>
      </w:tr>
      <w:tr w:rsidR="00063A53" w:rsidRPr="00C16C5E" w14:paraId="6854CB43" w14:textId="77777777" w:rsidTr="002B133E">
        <w:tc>
          <w:tcPr>
            <w:tcW w:w="2263" w:type="dxa"/>
            <w:shd w:val="clear" w:color="auto" w:fill="auto"/>
            <w:vAlign w:val="center"/>
            <w:hideMark/>
          </w:tcPr>
          <w:p w14:paraId="6B563206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30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CA063A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0,00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355DBE28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0,00</w:t>
            </w:r>
          </w:p>
        </w:tc>
      </w:tr>
      <w:tr w:rsidR="00063A53" w:rsidRPr="00C16C5E" w14:paraId="3C3F8C2A" w14:textId="77777777" w:rsidTr="002B133E">
        <w:tc>
          <w:tcPr>
            <w:tcW w:w="2263" w:type="dxa"/>
            <w:shd w:val="clear" w:color="auto" w:fill="auto"/>
            <w:vAlign w:val="center"/>
            <w:hideMark/>
          </w:tcPr>
          <w:p w14:paraId="1806B52A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35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60CE58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0,00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20D8E7C1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0,00</w:t>
            </w:r>
          </w:p>
        </w:tc>
      </w:tr>
      <w:tr w:rsidR="00063A53" w:rsidRPr="00C16C5E" w14:paraId="328E9F8B" w14:textId="77777777" w:rsidTr="002B133E">
        <w:tc>
          <w:tcPr>
            <w:tcW w:w="2263" w:type="dxa"/>
            <w:shd w:val="clear" w:color="auto" w:fill="auto"/>
            <w:vAlign w:val="center"/>
            <w:hideMark/>
          </w:tcPr>
          <w:p w14:paraId="6CF0F1CF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40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798822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10,00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3B687CF5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0,00</w:t>
            </w:r>
          </w:p>
        </w:tc>
      </w:tr>
      <w:tr w:rsidR="00063A53" w:rsidRPr="00C16C5E" w14:paraId="7D7B8C52" w14:textId="77777777" w:rsidTr="002B133E">
        <w:tc>
          <w:tcPr>
            <w:tcW w:w="2263" w:type="dxa"/>
            <w:shd w:val="clear" w:color="auto" w:fill="auto"/>
            <w:vAlign w:val="center"/>
            <w:hideMark/>
          </w:tcPr>
          <w:p w14:paraId="248B577D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42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A80E89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15,00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1A42531F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0,00</w:t>
            </w:r>
          </w:p>
        </w:tc>
      </w:tr>
      <w:tr w:rsidR="00063A53" w:rsidRPr="00C16C5E" w14:paraId="06C6CCC6" w14:textId="77777777" w:rsidTr="002B133E">
        <w:tc>
          <w:tcPr>
            <w:tcW w:w="2263" w:type="dxa"/>
            <w:shd w:val="clear" w:color="auto" w:fill="auto"/>
            <w:vAlign w:val="center"/>
            <w:hideMark/>
          </w:tcPr>
          <w:p w14:paraId="07C3319C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45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52DF0C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20,00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1443C41A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15,00</w:t>
            </w:r>
          </w:p>
        </w:tc>
      </w:tr>
      <w:tr w:rsidR="00063A53" w:rsidRPr="00C16C5E" w14:paraId="4B52E0A2" w14:textId="77777777" w:rsidTr="002B133E">
        <w:tc>
          <w:tcPr>
            <w:tcW w:w="2263" w:type="dxa"/>
            <w:shd w:val="clear" w:color="auto" w:fill="auto"/>
            <w:vAlign w:val="center"/>
            <w:hideMark/>
          </w:tcPr>
          <w:p w14:paraId="13AA8BAB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50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BCDA65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30,00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3812FBCE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25,00</w:t>
            </w:r>
          </w:p>
        </w:tc>
      </w:tr>
      <w:tr w:rsidR="00063A53" w:rsidRPr="00C16C5E" w14:paraId="0F4AF967" w14:textId="77777777" w:rsidTr="002B133E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8075AD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55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F4AFB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35,00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C76EB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30,00</w:t>
            </w:r>
          </w:p>
        </w:tc>
      </w:tr>
      <w:tr w:rsidR="00063A53" w:rsidRPr="00C16C5E" w14:paraId="5D3F0E2B" w14:textId="77777777" w:rsidTr="002B133E"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A4EAAC6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60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FA5D46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  <w:rPr>
                <w:bCs/>
              </w:rPr>
            </w:pPr>
            <w:r w:rsidRPr="00C16C5E">
              <w:t>40,00</w:t>
            </w:r>
          </w:p>
        </w:tc>
        <w:tc>
          <w:tcPr>
            <w:tcW w:w="25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D91D20" w14:textId="77777777" w:rsidR="00063A53" w:rsidRPr="00C16C5E" w:rsidRDefault="00063A53" w:rsidP="002B133E">
            <w:pPr>
              <w:suppressAutoHyphens w:val="0"/>
              <w:spacing w:before="20" w:after="20" w:line="220" w:lineRule="exact"/>
              <w:jc w:val="center"/>
            </w:pPr>
            <w:r w:rsidRPr="00C16C5E">
              <w:t>35,00</w:t>
            </w:r>
          </w:p>
        </w:tc>
      </w:tr>
    </w:tbl>
    <w:p w14:paraId="0B06A46E" w14:textId="77777777" w:rsidR="00D3606A" w:rsidRDefault="00063A53" w:rsidP="00063A53">
      <w:pPr>
        <w:pStyle w:val="SingleTxtG"/>
        <w:spacing w:before="120" w:after="0" w:line="220" w:lineRule="exact"/>
        <w:ind w:firstLine="170"/>
        <w:jc w:val="left"/>
        <w:rPr>
          <w:sz w:val="18"/>
          <w:szCs w:val="18"/>
        </w:rPr>
      </w:pPr>
      <w:r w:rsidRPr="00806524">
        <w:t>*  </w:t>
      </w:r>
      <w:r w:rsidRPr="00C16C5E">
        <w:rPr>
          <w:sz w:val="18"/>
          <w:szCs w:val="18"/>
        </w:rPr>
        <w:t>В случае скоростей испытуемого транспортного средства в промежутках между перечисленными значениями (например, 53 км/ч) применяется максимальная скорость при ударе (т. е. 35/30 км/ч), предписанная для следующего более высокого значения скорости (т. е.</w:t>
      </w:r>
      <w:r w:rsidRPr="00C16C5E">
        <w:rPr>
          <w:sz w:val="18"/>
          <w:szCs w:val="18"/>
          <w:lang w:val="en-US"/>
        </w:rPr>
        <w:t> </w:t>
      </w:r>
      <w:r w:rsidRPr="00C16C5E">
        <w:rPr>
          <w:sz w:val="18"/>
          <w:szCs w:val="18"/>
        </w:rPr>
        <w:t>55 км/ч).</w:t>
      </w:r>
    </w:p>
    <w:p w14:paraId="570F74A4" w14:textId="1EBBD78B" w:rsidR="00063A53" w:rsidRPr="00C16C5E" w:rsidRDefault="00D3606A" w:rsidP="00D3606A">
      <w:pPr>
        <w:pStyle w:val="SingleTxtG"/>
        <w:spacing w:after="0" w:line="220" w:lineRule="exact"/>
        <w:ind w:firstLine="284"/>
        <w:jc w:val="left"/>
        <w:rPr>
          <w:kern w:val="2"/>
          <w:sz w:val="18"/>
          <w:szCs w:val="18"/>
        </w:rPr>
      </w:pPr>
      <w:r w:rsidRPr="00D3606A">
        <w:rPr>
          <w:sz w:val="18"/>
          <w:szCs w:val="18"/>
        </w:rPr>
        <w:t xml:space="preserve">  </w:t>
      </w:r>
      <w:r w:rsidR="00063A53" w:rsidRPr="00C16C5E">
        <w:rPr>
          <w:sz w:val="18"/>
          <w:szCs w:val="18"/>
        </w:rPr>
        <w:t>В том случае, если масса превышает массу в снаряженном состоянии, применяется максимальная относительная скорость при ударе, предписанная для максимальной массы</w:t>
      </w:r>
      <w:r w:rsidR="00063A53" w:rsidRPr="00C16C5E">
        <w:t xml:space="preserve">». </w:t>
      </w:r>
    </w:p>
    <w:p w14:paraId="06FA9C6F" w14:textId="77777777" w:rsidR="00063A53" w:rsidRPr="00C16C5E" w:rsidRDefault="00063A53" w:rsidP="00D3606A">
      <w:pPr>
        <w:pStyle w:val="SingleTxtG"/>
        <w:spacing w:before="240"/>
        <w:rPr>
          <w:rFonts w:eastAsiaTheme="minorHAnsi"/>
        </w:rPr>
      </w:pPr>
      <w:r w:rsidRPr="00C16C5E">
        <w:rPr>
          <w:i/>
          <w:iCs/>
        </w:rPr>
        <w:t>Включить новый пункт 12</w:t>
      </w:r>
      <w:r w:rsidRPr="00C16C5E">
        <w:t xml:space="preserve"> следующего содержания:</w:t>
      </w:r>
    </w:p>
    <w:p w14:paraId="57501488" w14:textId="77777777" w:rsidR="00063A53" w:rsidRPr="00C16C5E" w:rsidRDefault="00063A53" w:rsidP="00063A53">
      <w:pPr>
        <w:pStyle w:val="SingleTxtG"/>
      </w:pPr>
      <w:r w:rsidRPr="00C16C5E">
        <w:t>«</w:t>
      </w:r>
      <w:r w:rsidRPr="00C16C5E">
        <w:rPr>
          <w:b/>
          <w:bCs/>
          <w:sz w:val="28"/>
          <w:szCs w:val="28"/>
        </w:rPr>
        <w:t>12.</w:t>
      </w:r>
      <w:r w:rsidRPr="00C16C5E">
        <w:rPr>
          <w:b/>
          <w:bCs/>
          <w:sz w:val="28"/>
          <w:szCs w:val="28"/>
        </w:rPr>
        <w:tab/>
      </w:r>
      <w:r w:rsidRPr="00C16C5E">
        <w:rPr>
          <w:b/>
          <w:bCs/>
          <w:sz w:val="28"/>
          <w:szCs w:val="28"/>
        </w:rPr>
        <w:tab/>
        <w:t>Переходные положения</w:t>
      </w:r>
      <w:r w:rsidRPr="00C16C5E">
        <w:t xml:space="preserve"> </w:t>
      </w:r>
    </w:p>
    <w:p w14:paraId="363086D0" w14:textId="77777777" w:rsidR="00063A53" w:rsidRPr="00C16C5E" w:rsidRDefault="00063A53" w:rsidP="00D3606A">
      <w:pPr>
        <w:pStyle w:val="SingleTxtG"/>
        <w:spacing w:before="240"/>
        <w:ind w:left="2268" w:hanging="1134"/>
      </w:pPr>
      <w:r w:rsidRPr="00C16C5E">
        <w:t>12.1</w:t>
      </w:r>
      <w:r w:rsidRPr="00C16C5E">
        <w:tab/>
      </w:r>
      <w:r>
        <w:tab/>
      </w:r>
      <w:r w:rsidRPr="00C16C5E">
        <w:t>Начиная с официальной даты вступления в силу поправок серии 01,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01.</w:t>
      </w:r>
    </w:p>
    <w:p w14:paraId="7EB0B87E" w14:textId="77777777" w:rsidR="00063A53" w:rsidRPr="00C16C5E" w:rsidRDefault="00063A53" w:rsidP="00063A53">
      <w:pPr>
        <w:pStyle w:val="SingleTxtG"/>
        <w:ind w:left="2268" w:hanging="1134"/>
      </w:pPr>
      <w:r w:rsidRPr="00C16C5E">
        <w:t>12.2</w:t>
      </w:r>
      <w:r w:rsidRPr="00C16C5E">
        <w:tab/>
      </w:r>
      <w:r w:rsidRPr="00C16C5E">
        <w:tab/>
        <w:t>Начиная с 1 мая 2024 года Договаривающиеся стороны, применяющие настоящие Правила, не обязаны признавать официальные утверждения типа на основании первоначального варианта настоящих Правил, впервые выданные после 1 мая 2024 года.</w:t>
      </w:r>
    </w:p>
    <w:p w14:paraId="5CA2BF4B" w14:textId="77777777" w:rsidR="00063A53" w:rsidRPr="00C16C5E" w:rsidRDefault="00063A53" w:rsidP="00063A53">
      <w:pPr>
        <w:pStyle w:val="SingleTxtG"/>
        <w:ind w:left="2268" w:hanging="1134"/>
        <w:rPr>
          <w:sz w:val="18"/>
          <w:szCs w:val="18"/>
        </w:rPr>
      </w:pPr>
      <w:r w:rsidRPr="00C16C5E">
        <w:t>12.3</w:t>
      </w:r>
      <w:r w:rsidRPr="00C16C5E">
        <w:tab/>
      </w:r>
      <w:r>
        <w:tab/>
      </w:r>
      <w:r w:rsidRPr="00C16C5E">
        <w:t>До 1 мая 2026 года Договаривающиеся стороны, применяющие настоящие Правила, признают официальные утверждения типа на основании первоначального варианта настоящих Правил, впервые выданные до 1 мая 2024 года.</w:t>
      </w:r>
    </w:p>
    <w:p w14:paraId="6A919475" w14:textId="77777777" w:rsidR="00063A53" w:rsidRPr="00C16C5E" w:rsidRDefault="00063A53" w:rsidP="00063A53">
      <w:pPr>
        <w:pStyle w:val="SingleTxtG"/>
        <w:ind w:left="2268" w:hanging="1134"/>
      </w:pPr>
      <w:r w:rsidRPr="00C16C5E">
        <w:t>12.4</w:t>
      </w:r>
      <w:r w:rsidRPr="00C16C5E">
        <w:tab/>
      </w:r>
      <w:r>
        <w:tab/>
      </w:r>
      <w:r w:rsidRPr="00C16C5E">
        <w:t>Начиная с 1 мая 2026 года Договаривающиеся стороны, применяющие настоящие Правила, не обязаны признавать официальные утверждения типа, выданные на основании первоначального варианта настоящих Правил.</w:t>
      </w:r>
    </w:p>
    <w:p w14:paraId="6DF94224" w14:textId="77777777" w:rsidR="00063A53" w:rsidRPr="00C16C5E" w:rsidRDefault="00063A53" w:rsidP="00063A53">
      <w:pPr>
        <w:pStyle w:val="SingleTxtG"/>
        <w:ind w:left="2268" w:hanging="1134"/>
        <w:rPr>
          <w:iCs/>
        </w:rPr>
      </w:pPr>
      <w:r w:rsidRPr="00C16C5E">
        <w:t>12.5</w:t>
      </w:r>
      <w:r w:rsidRPr="00C16C5E">
        <w:tab/>
      </w:r>
      <w:r>
        <w:tab/>
      </w:r>
      <w:r w:rsidRPr="00C16C5E">
        <w:t>Независимо от пункта 12.4 Договаривающиеся стороны, применяющие настоящие Правила, продолжают признавать официальные утверждения типа, выданные на основании первоначального варианта настоящих Правил и касающиеся транспортных средств, которые не затронуты изменениями, внесенными на основании поправок серии 01.</w:t>
      </w:r>
    </w:p>
    <w:p w14:paraId="0E6B3FAA" w14:textId="77777777" w:rsidR="00063A53" w:rsidRPr="00C16C5E" w:rsidRDefault="00063A53" w:rsidP="00063A53">
      <w:pPr>
        <w:pStyle w:val="SingleTxtG"/>
        <w:ind w:left="2268" w:hanging="1134"/>
      </w:pPr>
      <w:r w:rsidRPr="00C16C5E">
        <w:t>12.6</w:t>
      </w:r>
      <w:r w:rsidRPr="00C16C5E">
        <w:tab/>
      </w:r>
      <w:r>
        <w:tab/>
      </w:r>
      <w:r w:rsidRPr="00C16C5E">
        <w:t>Договаривающиеся стороны, применяющие настоящие Правила, не отказывают в предоставлении или распространении официальных утверждений типа на основании какой-либо предыдущей серии поправок к настоящим Правилам».</w:t>
      </w:r>
    </w:p>
    <w:p w14:paraId="4376157B" w14:textId="77777777" w:rsidR="00063A53" w:rsidRPr="00C16C5E" w:rsidRDefault="00063A53" w:rsidP="00063A53">
      <w:pPr>
        <w:spacing w:before="240"/>
        <w:jc w:val="center"/>
        <w:rPr>
          <w:u w:val="single"/>
        </w:rPr>
      </w:pPr>
      <w:r w:rsidRPr="00C16C5E">
        <w:rPr>
          <w:u w:val="single"/>
        </w:rPr>
        <w:tab/>
      </w:r>
      <w:r w:rsidRPr="00C16C5E">
        <w:rPr>
          <w:u w:val="single"/>
        </w:rPr>
        <w:tab/>
      </w:r>
      <w:r w:rsidRPr="00C16C5E">
        <w:rPr>
          <w:u w:val="single"/>
        </w:rPr>
        <w:tab/>
      </w:r>
    </w:p>
    <w:p w14:paraId="2422D66B" w14:textId="77777777" w:rsidR="00E12C5F" w:rsidRPr="008D53B6" w:rsidRDefault="00E12C5F" w:rsidP="00D9145B"/>
    <w:sectPr w:rsidR="00E12C5F" w:rsidRPr="008D53B6" w:rsidSect="00063A5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A3410" w14:textId="77777777" w:rsidR="004C6490" w:rsidRPr="00A312BC" w:rsidRDefault="004C6490" w:rsidP="00A312BC"/>
  </w:endnote>
  <w:endnote w:type="continuationSeparator" w:id="0">
    <w:p w14:paraId="21FB9CD9" w14:textId="77777777" w:rsidR="004C6490" w:rsidRPr="00A312BC" w:rsidRDefault="004C649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13B1C" w14:textId="77777777" w:rsidR="00063A53" w:rsidRPr="00063A53" w:rsidRDefault="00063A53">
    <w:pPr>
      <w:pStyle w:val="a8"/>
    </w:pPr>
    <w:r w:rsidRPr="00063A53">
      <w:rPr>
        <w:b/>
        <w:sz w:val="18"/>
      </w:rPr>
      <w:fldChar w:fldCharType="begin"/>
    </w:r>
    <w:r w:rsidRPr="00063A53">
      <w:rPr>
        <w:b/>
        <w:sz w:val="18"/>
      </w:rPr>
      <w:instrText xml:space="preserve"> PAGE  \* MERGEFORMAT </w:instrText>
    </w:r>
    <w:r w:rsidRPr="00063A53">
      <w:rPr>
        <w:b/>
        <w:sz w:val="18"/>
      </w:rPr>
      <w:fldChar w:fldCharType="separate"/>
    </w:r>
    <w:r w:rsidRPr="00063A53">
      <w:rPr>
        <w:b/>
        <w:noProof/>
        <w:sz w:val="18"/>
      </w:rPr>
      <w:t>2</w:t>
    </w:r>
    <w:r w:rsidRPr="00063A53">
      <w:rPr>
        <w:b/>
        <w:sz w:val="18"/>
      </w:rPr>
      <w:fldChar w:fldCharType="end"/>
    </w:r>
    <w:r>
      <w:rPr>
        <w:b/>
        <w:sz w:val="18"/>
      </w:rPr>
      <w:tab/>
    </w:r>
    <w:r>
      <w:t>GE.20-14603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B1D33" w14:textId="77777777" w:rsidR="00063A53" w:rsidRPr="00063A53" w:rsidRDefault="00063A53" w:rsidP="00063A53">
    <w:pPr>
      <w:pStyle w:val="a8"/>
      <w:tabs>
        <w:tab w:val="clear" w:pos="9639"/>
        <w:tab w:val="right" w:pos="9638"/>
      </w:tabs>
      <w:rPr>
        <w:b/>
        <w:sz w:val="18"/>
      </w:rPr>
    </w:pPr>
    <w:r>
      <w:t>GE.20-14603</w:t>
    </w:r>
    <w:r>
      <w:tab/>
    </w:r>
    <w:r w:rsidRPr="00063A53">
      <w:rPr>
        <w:b/>
        <w:sz w:val="18"/>
      </w:rPr>
      <w:fldChar w:fldCharType="begin"/>
    </w:r>
    <w:r w:rsidRPr="00063A53">
      <w:rPr>
        <w:b/>
        <w:sz w:val="18"/>
      </w:rPr>
      <w:instrText xml:space="preserve"> PAGE  \* MERGEFORMAT </w:instrText>
    </w:r>
    <w:r w:rsidRPr="00063A53">
      <w:rPr>
        <w:b/>
        <w:sz w:val="18"/>
      </w:rPr>
      <w:fldChar w:fldCharType="separate"/>
    </w:r>
    <w:r w:rsidRPr="00063A53">
      <w:rPr>
        <w:b/>
        <w:noProof/>
        <w:sz w:val="18"/>
      </w:rPr>
      <w:t>3</w:t>
    </w:r>
    <w:r w:rsidRPr="00063A5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91BDB" w14:textId="77777777" w:rsidR="00042B72" w:rsidRPr="00063A53" w:rsidRDefault="00063A53" w:rsidP="00063A5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104FD06" wp14:editId="676BCEE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20-14603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BA52211" wp14:editId="3918DE7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290121  080221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073D0" w14:textId="77777777" w:rsidR="004C6490" w:rsidRPr="001075E9" w:rsidRDefault="004C649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2EF152" w14:textId="77777777" w:rsidR="004C6490" w:rsidRDefault="004C649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A1A36B2" w14:textId="77777777" w:rsidR="00063A53" w:rsidRPr="00952967" w:rsidRDefault="00063A53" w:rsidP="00063A53">
      <w:pPr>
        <w:pStyle w:val="ad"/>
      </w:pPr>
      <w:r w:rsidRPr="00372117">
        <w:tab/>
      </w:r>
      <w:r w:rsidRPr="00063A53">
        <w:rPr>
          <w:rStyle w:val="aa"/>
          <w:sz w:val="20"/>
          <w:vertAlign w:val="baseline"/>
        </w:rPr>
        <w:t>*</w:t>
      </w:r>
      <w:r w:rsidRPr="00C33015">
        <w:rPr>
          <w:sz w:val="20"/>
        </w:rPr>
        <w:tab/>
      </w:r>
      <w:r w:rsidRPr="00952967">
        <w:t>Прежние названия Соглашения:</w:t>
      </w:r>
    </w:p>
    <w:p w14:paraId="2AB1137F" w14:textId="77777777" w:rsidR="00063A53" w:rsidRPr="00952967" w:rsidRDefault="00063A53" w:rsidP="00063A53">
      <w:pPr>
        <w:pStyle w:val="ad"/>
        <w:rPr>
          <w:sz w:val="20"/>
        </w:rPr>
      </w:pPr>
      <w:r w:rsidRPr="00952967">
        <w:tab/>
      </w:r>
      <w:r w:rsidRPr="00952967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6645B7E4" w14:textId="77777777" w:rsidR="00063A53" w:rsidRPr="00C33015" w:rsidRDefault="00063A53" w:rsidP="00063A53">
      <w:pPr>
        <w:pStyle w:val="ad"/>
      </w:pPr>
      <w:r w:rsidRPr="00952967">
        <w:tab/>
      </w:r>
      <w:r w:rsidRPr="00952967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 w:rsidRPr="00952967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A32DC" w14:textId="79CE9365" w:rsidR="00063A53" w:rsidRPr="00063A53" w:rsidRDefault="00BF413D">
    <w:pPr>
      <w:pStyle w:val="a5"/>
    </w:pPr>
    <w:fldSimple w:instr=" TITLE  \* MERGEFORMAT ">
      <w:r w:rsidR="007E644C">
        <w:t>E/ECE/TRANS/505/Rev.3/Add.151/Amend.2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8FA3B" w14:textId="71578887" w:rsidR="00063A53" w:rsidRPr="00063A53" w:rsidRDefault="00BF413D" w:rsidP="00063A53">
    <w:pPr>
      <w:pStyle w:val="a5"/>
      <w:jc w:val="right"/>
    </w:pPr>
    <w:fldSimple w:instr=" TITLE  \* MERGEFORMAT ">
      <w:r w:rsidR="007E644C">
        <w:t>E/ECE/TRANS/505/Rev.3/Add.151/Amend.2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90"/>
    <w:rsid w:val="00033EE1"/>
    <w:rsid w:val="00042B72"/>
    <w:rsid w:val="000558BD"/>
    <w:rsid w:val="00063A53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1AA2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B7BAB"/>
    <w:rsid w:val="004C6490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7794"/>
    <w:rsid w:val="005D7914"/>
    <w:rsid w:val="005E2B41"/>
    <w:rsid w:val="005E54B0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3EA0"/>
    <w:rsid w:val="006F35EE"/>
    <w:rsid w:val="007021FF"/>
    <w:rsid w:val="00712895"/>
    <w:rsid w:val="00734ACB"/>
    <w:rsid w:val="00757357"/>
    <w:rsid w:val="00792497"/>
    <w:rsid w:val="007B68C0"/>
    <w:rsid w:val="007E644C"/>
    <w:rsid w:val="00806524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42CA"/>
    <w:rsid w:val="00B539E7"/>
    <w:rsid w:val="00B62458"/>
    <w:rsid w:val="00BC18B2"/>
    <w:rsid w:val="00BD33EE"/>
    <w:rsid w:val="00BE1CC7"/>
    <w:rsid w:val="00BF413D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3606A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0F12A9"/>
  <w15:docId w15:val="{C3358C85-D362-4499-9667-B91CEEEB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Fußnoten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063A53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063A53"/>
    <w:rPr>
      <w:lang w:val="ru-RU" w:eastAsia="en-US"/>
    </w:rPr>
  </w:style>
  <w:style w:type="paragraph" w:customStyle="1" w:styleId="HChGR">
    <w:name w:val="_ H _Ch_GR"/>
    <w:basedOn w:val="a"/>
    <w:next w:val="a"/>
    <w:rsid w:val="00063A5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8CF01D-1CFE-48B6-BDF8-3487C4F566D8}"/>
</file>

<file path=customXml/itemProps2.xml><?xml version="1.0" encoding="utf-8"?>
<ds:datastoreItem xmlns:ds="http://schemas.openxmlformats.org/officeDocument/2006/customXml" ds:itemID="{8D821D34-E3E1-4290-8333-3E21BD01538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677</Words>
  <Characters>4421</Characters>
  <Application>Microsoft Office Word</Application>
  <DocSecurity>0</DocSecurity>
  <Lines>210</Lines>
  <Paragraphs>164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E/ECE/TRANS/505/Rev.3/Add.151/Amend.2</vt:lpstr>
      <vt:lpstr>A/</vt:lpstr>
      <vt:lpstr>A/</vt:lpstr>
    </vt:vector>
  </TitlesOfParts>
  <Company>DCM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E/ECE/TRANS/505/Rev.3/Add.151/Amend.2</dc:title>
  <dc:subject/>
  <dc:creator>Staff Assistant</dc:creator>
  <cp:keywords/>
  <cp:lastModifiedBy>Ioulia Goussarova</cp:lastModifiedBy>
  <cp:revision>3</cp:revision>
  <cp:lastPrinted>2021-02-08T08:12:00Z</cp:lastPrinted>
  <dcterms:created xsi:type="dcterms:W3CDTF">2021-02-08T08:12:00Z</dcterms:created>
  <dcterms:modified xsi:type="dcterms:W3CDTF">2021-02-08T08:12:00Z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