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5C60A3" w14:paraId="7AEC5F46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AECC9D" w14:textId="77777777" w:rsidR="005C60A3" w:rsidRPr="005C60A3" w:rsidRDefault="005C60A3" w:rsidP="005C60A3">
            <w:pPr>
              <w:jc w:val="right"/>
              <w:rPr>
                <w:lang w:val="en-US"/>
              </w:rPr>
            </w:pPr>
            <w:r w:rsidRPr="005C60A3">
              <w:rPr>
                <w:sz w:val="40"/>
                <w:lang w:val="en-US"/>
              </w:rPr>
              <w:t>E</w:t>
            </w:r>
            <w:r w:rsidRPr="005C60A3">
              <w:rPr>
                <w:lang w:val="en-US"/>
              </w:rPr>
              <w:t>/ECE/324/Rev.2/Add.128/Rev.1/Amend.8−</w:t>
            </w:r>
            <w:r w:rsidRPr="005C60A3">
              <w:rPr>
                <w:sz w:val="40"/>
                <w:lang w:val="en-US"/>
              </w:rPr>
              <w:t>E</w:t>
            </w:r>
            <w:r w:rsidRPr="005C60A3">
              <w:rPr>
                <w:lang w:val="en-US"/>
              </w:rPr>
              <w:t>/ECE/TRANS/505/Rev.2/Add.128/Rev.1/Amend.8</w:t>
            </w:r>
          </w:p>
        </w:tc>
      </w:tr>
      <w:tr w:rsidR="00421A10" w:rsidRPr="00DB58B5" w14:paraId="543DCBC1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100221" w14:textId="77777777" w:rsidR="00421A10" w:rsidRPr="005C60A3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2E9603" w14:textId="77777777" w:rsidR="00421A10" w:rsidRPr="00DB58B5" w:rsidRDefault="005C60A3" w:rsidP="00A27C92">
            <w:pPr>
              <w:spacing w:before="480" w:line="240" w:lineRule="exact"/>
            </w:pPr>
            <w:r>
              <w:t>2 février 2021</w:t>
            </w:r>
          </w:p>
        </w:tc>
      </w:tr>
    </w:tbl>
    <w:p w14:paraId="61BE7CB5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63C32489" w14:textId="45807CFF" w:rsidR="00421A10" w:rsidRPr="00583D68" w:rsidRDefault="0029791D" w:rsidP="0029791D">
      <w:pPr>
        <w:pStyle w:val="H1G"/>
      </w:pPr>
      <w:r>
        <w:tab/>
      </w:r>
      <w:r>
        <w:tab/>
      </w:r>
      <w:r w:rsidR="005C60A3" w:rsidRPr="0074357F">
        <w:rPr>
          <w:rFonts w:eastAsia="Times New Roman"/>
          <w:lang w:val="fr-FR"/>
        </w:rPr>
        <w:t>Concernant l</w:t>
      </w:r>
      <w:r w:rsidR="009D1055">
        <w:rPr>
          <w:rFonts w:eastAsia="Times New Roman"/>
          <w:lang w:val="fr-FR"/>
        </w:rPr>
        <w:t>’</w:t>
      </w:r>
      <w:r w:rsidR="005C60A3" w:rsidRPr="0074357F">
        <w:rPr>
          <w:rFonts w:eastAsia="Times New Roman"/>
          <w:lang w:val="fr-FR"/>
        </w:rPr>
        <w:t xml:space="preserve">adoption de Règlements techniques harmonisés </w:t>
      </w:r>
      <w:r w:rsidR="009D1055">
        <w:rPr>
          <w:rFonts w:eastAsia="Times New Roman"/>
          <w:lang w:val="fr-FR"/>
        </w:rPr>
        <w:br/>
      </w:r>
      <w:r w:rsidR="005C60A3" w:rsidRPr="0074357F">
        <w:rPr>
          <w:rFonts w:eastAsia="Times New Roman"/>
          <w:lang w:val="fr-FR"/>
        </w:rPr>
        <w:t>de l</w:t>
      </w:r>
      <w:r w:rsidR="009D1055">
        <w:rPr>
          <w:rFonts w:eastAsia="Times New Roman"/>
          <w:lang w:val="fr-FR"/>
        </w:rPr>
        <w:t>’</w:t>
      </w:r>
      <w:r w:rsidR="005C60A3" w:rsidRPr="0074357F">
        <w:rPr>
          <w:rFonts w:eastAsia="Times New Roman"/>
          <w:lang w:val="fr-FR"/>
        </w:rPr>
        <w:t xml:space="preserve">ONU applicables aux véhicules à roues et aux équipements </w:t>
      </w:r>
      <w:r w:rsidR="009D1055">
        <w:rPr>
          <w:rFonts w:eastAsia="Times New Roman"/>
          <w:lang w:val="fr-FR"/>
        </w:rPr>
        <w:br/>
      </w:r>
      <w:r w:rsidR="005C60A3" w:rsidRPr="0074357F">
        <w:rPr>
          <w:rFonts w:eastAsia="Times New Roman"/>
          <w:lang w:val="fr-FR"/>
        </w:rPr>
        <w:t>et pièces susceptibles d</w:t>
      </w:r>
      <w:r w:rsidR="009D1055">
        <w:rPr>
          <w:rFonts w:eastAsia="Times New Roman"/>
          <w:lang w:val="fr-FR"/>
        </w:rPr>
        <w:t>’</w:t>
      </w:r>
      <w:r w:rsidR="005C60A3" w:rsidRPr="0074357F">
        <w:rPr>
          <w:rFonts w:eastAsia="Times New Roman"/>
          <w:lang w:val="fr-FR"/>
        </w:rPr>
        <w:t xml:space="preserve">être montés ou utilisés sur les véhicules à roues </w:t>
      </w:r>
      <w:r w:rsidR="009D1055">
        <w:rPr>
          <w:rFonts w:eastAsia="Times New Roman"/>
          <w:lang w:val="fr-FR"/>
        </w:rPr>
        <w:br/>
      </w:r>
      <w:r w:rsidR="005C60A3" w:rsidRPr="0074357F">
        <w:rPr>
          <w:rFonts w:eastAsia="Times New Roman"/>
          <w:lang w:val="fr-FR"/>
        </w:rPr>
        <w:t>et les conditions de reconnaissance réciproque des homologations délivrées conformément à ces Règlements</w:t>
      </w:r>
      <w:r w:rsidR="005C60A3" w:rsidRPr="005C60A3">
        <w:rPr>
          <w:rStyle w:val="Appelnotedebasdep"/>
          <w:rFonts w:eastAsia="Times New Roman"/>
          <w:b w:val="0"/>
          <w:bCs/>
          <w:sz w:val="20"/>
          <w:vertAlign w:val="baseline"/>
        </w:rPr>
        <w:footnoteReference w:customMarkFollows="1" w:id="2"/>
        <w:t>*</w:t>
      </w:r>
    </w:p>
    <w:p w14:paraId="505D947A" w14:textId="12662DD2" w:rsidR="00421A10" w:rsidRPr="00A12483" w:rsidRDefault="005C60A3" w:rsidP="0029791D">
      <w:pPr>
        <w:pStyle w:val="SingleTxtG"/>
        <w:jc w:val="left"/>
        <w:rPr>
          <w:b/>
          <w:sz w:val="24"/>
          <w:szCs w:val="24"/>
        </w:rPr>
      </w:pPr>
      <w:r w:rsidRPr="00462D9C">
        <w:rPr>
          <w:rFonts w:eastAsia="Times New Roman"/>
          <w:lang w:val="fr-FR"/>
        </w:rPr>
        <w:t>(</w:t>
      </w:r>
      <w:r w:rsidRPr="0074357F">
        <w:rPr>
          <w:rFonts w:eastAsia="Times New Roman"/>
          <w:lang w:val="fr-FR"/>
        </w:rPr>
        <w:t>Révision 3, comprenant les amendements entrés en vigueur le 14 septembre 2017</w:t>
      </w:r>
      <w:r w:rsidRPr="00462D9C">
        <w:rPr>
          <w:rFonts w:eastAsia="Times New Roman"/>
          <w:lang w:val="fr-FR"/>
        </w:rPr>
        <w:t>)</w:t>
      </w:r>
    </w:p>
    <w:p w14:paraId="3115FE10" w14:textId="77777777" w:rsidR="00421A10" w:rsidRPr="006549FF" w:rsidRDefault="0029791D" w:rsidP="0029791D">
      <w:pPr>
        <w:jc w:val="center"/>
      </w:pPr>
      <w:r>
        <w:t>_______________</w:t>
      </w:r>
    </w:p>
    <w:p w14:paraId="33C07B50" w14:textId="6BD890B0" w:rsidR="00421A10" w:rsidRPr="006549FF" w:rsidRDefault="0029791D" w:rsidP="0029791D">
      <w:pPr>
        <w:pStyle w:val="HChG"/>
      </w:pPr>
      <w:r>
        <w:tab/>
      </w:r>
      <w:r>
        <w:tab/>
      </w:r>
      <w:r w:rsidR="005C60A3" w:rsidRPr="00462D9C">
        <w:rPr>
          <w:rFonts w:eastAsia="Times New Roman"/>
          <w:sz w:val="24"/>
          <w:lang w:val="fr-FR"/>
        </w:rPr>
        <w:t>Add</w:t>
      </w:r>
      <w:r w:rsidR="005C60A3" w:rsidRPr="0074357F">
        <w:rPr>
          <w:rFonts w:eastAsia="Times New Roman"/>
          <w:sz w:val="24"/>
          <w:lang w:val="fr-FR"/>
        </w:rPr>
        <w:t>itif</w:t>
      </w:r>
      <w:r w:rsidR="005C60A3" w:rsidRPr="00462D9C">
        <w:rPr>
          <w:rFonts w:eastAsia="Times New Roman"/>
          <w:sz w:val="24"/>
          <w:lang w:val="fr-FR"/>
        </w:rPr>
        <w:t xml:space="preserve"> 128 </w:t>
      </w:r>
      <w:r w:rsidR="005C60A3">
        <w:rPr>
          <w:rFonts w:eastAsia="Times New Roman"/>
          <w:sz w:val="24"/>
          <w:lang w:val="fr-FR"/>
        </w:rPr>
        <w:t>−</w:t>
      </w:r>
      <w:r w:rsidR="005C60A3" w:rsidRPr="00462D9C">
        <w:rPr>
          <w:rFonts w:eastAsia="Times New Roman"/>
          <w:sz w:val="24"/>
          <w:lang w:val="fr-FR"/>
        </w:rPr>
        <w:t xml:space="preserve"> </w:t>
      </w:r>
      <w:r w:rsidR="005C60A3" w:rsidRPr="0074357F">
        <w:rPr>
          <w:rFonts w:eastAsia="Times New Roman"/>
          <w:sz w:val="24"/>
          <w:lang w:val="fr-FR"/>
        </w:rPr>
        <w:t>Règlement ONU n</w:t>
      </w:r>
      <w:r w:rsidR="005C60A3" w:rsidRPr="00F64082">
        <w:rPr>
          <w:rFonts w:eastAsia="Times New Roman"/>
          <w:sz w:val="24"/>
          <w:vertAlign w:val="superscript"/>
          <w:lang w:val="fr-FR"/>
        </w:rPr>
        <w:t>o</w:t>
      </w:r>
      <w:r w:rsidR="009D1055">
        <w:rPr>
          <w:rFonts w:eastAsia="Times New Roman"/>
          <w:sz w:val="24"/>
          <w:lang w:val="fr-FR"/>
        </w:rPr>
        <w:t> </w:t>
      </w:r>
      <w:r w:rsidR="005C60A3" w:rsidRPr="00462D9C">
        <w:rPr>
          <w:rFonts w:eastAsia="Times New Roman"/>
          <w:sz w:val="24"/>
          <w:lang w:val="fr-FR"/>
        </w:rPr>
        <w:t>129</w:t>
      </w:r>
    </w:p>
    <w:p w14:paraId="7A477B2F" w14:textId="4F43615D" w:rsidR="00421A10" w:rsidRPr="006549FF" w:rsidRDefault="0029791D" w:rsidP="0029791D">
      <w:pPr>
        <w:pStyle w:val="H1G"/>
      </w:pPr>
      <w:r>
        <w:tab/>
      </w:r>
      <w:r>
        <w:tab/>
      </w:r>
      <w:r w:rsidR="005C60A3" w:rsidRPr="00462D9C">
        <w:rPr>
          <w:rFonts w:eastAsia="Times New Roman"/>
          <w:lang w:val="fr-FR"/>
        </w:rPr>
        <w:t>R</w:t>
      </w:r>
      <w:r w:rsidR="005C60A3" w:rsidRPr="0074357F">
        <w:rPr>
          <w:rFonts w:eastAsia="Times New Roman"/>
          <w:lang w:val="fr-FR"/>
        </w:rPr>
        <w:t>é</w:t>
      </w:r>
      <w:r w:rsidR="005C60A3" w:rsidRPr="00462D9C">
        <w:rPr>
          <w:rFonts w:eastAsia="Times New Roman"/>
          <w:lang w:val="fr-FR"/>
        </w:rPr>
        <w:t xml:space="preserve">vision 1 </w:t>
      </w:r>
      <w:r w:rsidR="005C60A3">
        <w:rPr>
          <w:rFonts w:eastAsia="Times New Roman"/>
          <w:lang w:val="fr-FR"/>
        </w:rPr>
        <w:t>−</w:t>
      </w:r>
      <w:r w:rsidR="005C60A3" w:rsidRPr="00462D9C">
        <w:rPr>
          <w:rFonts w:eastAsia="Times New Roman"/>
          <w:lang w:val="fr-FR"/>
        </w:rPr>
        <w:t xml:space="preserve"> Amend</w:t>
      </w:r>
      <w:r w:rsidR="005C60A3" w:rsidRPr="0074357F">
        <w:rPr>
          <w:rFonts w:eastAsia="Times New Roman"/>
          <w:lang w:val="fr-FR"/>
        </w:rPr>
        <w:t>e</w:t>
      </w:r>
      <w:r w:rsidR="005C60A3" w:rsidRPr="00462D9C">
        <w:rPr>
          <w:rFonts w:eastAsia="Times New Roman"/>
          <w:lang w:val="fr-FR"/>
        </w:rPr>
        <w:t>ment 8</w:t>
      </w:r>
    </w:p>
    <w:p w14:paraId="76DC13F4" w14:textId="03D51659" w:rsidR="00421A10" w:rsidRPr="0029791D" w:rsidRDefault="005C60A3" w:rsidP="005C60A3">
      <w:pPr>
        <w:pStyle w:val="SingleTxtG"/>
        <w:spacing w:after="0"/>
      </w:pPr>
      <w:r w:rsidRPr="0074357F">
        <w:rPr>
          <w:rFonts w:eastAsia="Times New Roman"/>
          <w:spacing w:val="-2"/>
          <w:lang w:val="fr-FR"/>
        </w:rPr>
        <w:t>Complément</w:t>
      </w:r>
      <w:r w:rsidRPr="00462D9C">
        <w:rPr>
          <w:rFonts w:eastAsia="Times New Roman"/>
          <w:spacing w:val="-2"/>
          <w:lang w:val="fr-FR"/>
        </w:rPr>
        <w:t xml:space="preserve"> 7 </w:t>
      </w:r>
      <w:r w:rsidRPr="0074357F">
        <w:rPr>
          <w:rFonts w:eastAsia="Times New Roman"/>
          <w:spacing w:val="-2"/>
          <w:lang w:val="fr-FR"/>
        </w:rPr>
        <w:t>à la série</w:t>
      </w:r>
      <w:r w:rsidRPr="00462D9C">
        <w:rPr>
          <w:rFonts w:eastAsia="Times New Roman"/>
          <w:spacing w:val="-2"/>
          <w:lang w:val="fr-FR"/>
        </w:rPr>
        <w:t xml:space="preserve"> 01 </w:t>
      </w:r>
      <w:r w:rsidRPr="0074357F">
        <w:rPr>
          <w:rFonts w:eastAsia="Times New Roman"/>
          <w:spacing w:val="-2"/>
          <w:lang w:val="fr-FR"/>
        </w:rPr>
        <w:t>d</w:t>
      </w:r>
      <w:r w:rsidR="009D1055">
        <w:rPr>
          <w:rFonts w:eastAsia="Times New Roman"/>
          <w:spacing w:val="-2"/>
          <w:lang w:val="fr-FR"/>
        </w:rPr>
        <w:t>’</w:t>
      </w:r>
      <w:r w:rsidRPr="00462D9C">
        <w:rPr>
          <w:rFonts w:eastAsia="Times New Roman"/>
          <w:spacing w:val="-2"/>
          <w:lang w:val="fr-FR"/>
        </w:rPr>
        <w:t>amend</w:t>
      </w:r>
      <w:r w:rsidRPr="0074357F">
        <w:rPr>
          <w:rFonts w:eastAsia="Times New Roman"/>
          <w:spacing w:val="-2"/>
          <w:lang w:val="fr-FR"/>
        </w:rPr>
        <w:t>e</w:t>
      </w:r>
      <w:r w:rsidRPr="00462D9C">
        <w:rPr>
          <w:rFonts w:eastAsia="Times New Roman"/>
          <w:spacing w:val="-2"/>
          <w:lang w:val="fr-FR"/>
        </w:rPr>
        <w:t xml:space="preserve">ments </w:t>
      </w:r>
      <w:r>
        <w:rPr>
          <w:rFonts w:eastAsia="Times New Roman"/>
          <w:spacing w:val="-2"/>
          <w:lang w:val="fr-FR"/>
        </w:rPr>
        <w:t>−</w:t>
      </w:r>
      <w:r w:rsidRPr="00462D9C">
        <w:rPr>
          <w:rFonts w:eastAsia="Times New Roman"/>
          <w:spacing w:val="-2"/>
          <w:lang w:val="fr-FR"/>
        </w:rPr>
        <w:t xml:space="preserve"> </w:t>
      </w:r>
      <w:r w:rsidRPr="0074357F">
        <w:rPr>
          <w:rFonts w:eastAsia="Times New Roman"/>
          <w:spacing w:val="-2"/>
          <w:lang w:val="fr-FR"/>
        </w:rPr>
        <w:t>Date d</w:t>
      </w:r>
      <w:r w:rsidR="009D1055">
        <w:rPr>
          <w:rFonts w:eastAsia="Times New Roman"/>
          <w:spacing w:val="-2"/>
          <w:lang w:val="fr-FR"/>
        </w:rPr>
        <w:t>’</w:t>
      </w:r>
      <w:r w:rsidRPr="0074357F">
        <w:rPr>
          <w:rFonts w:eastAsia="Times New Roman"/>
          <w:spacing w:val="-2"/>
          <w:lang w:val="fr-FR"/>
        </w:rPr>
        <w:t>entrée en vigueur</w:t>
      </w:r>
      <w:r>
        <w:rPr>
          <w:rFonts w:eastAsia="Times New Roman"/>
          <w:spacing w:val="-2"/>
          <w:lang w:val="fr-FR"/>
        </w:rPr>
        <w:t> </w:t>
      </w:r>
      <w:r w:rsidRPr="00462D9C">
        <w:rPr>
          <w:rFonts w:eastAsia="Times New Roman"/>
          <w:spacing w:val="-2"/>
          <w:lang w:val="fr-FR"/>
        </w:rPr>
        <w:t xml:space="preserve">: </w:t>
      </w:r>
      <w:r w:rsidRPr="00462D9C">
        <w:rPr>
          <w:rFonts w:eastAsia="Times New Roman"/>
          <w:lang w:val="fr-FR"/>
        </w:rPr>
        <w:t xml:space="preserve">3 </w:t>
      </w:r>
      <w:r>
        <w:rPr>
          <w:rFonts w:eastAsia="Times New Roman"/>
          <w:lang w:val="fr-FR"/>
        </w:rPr>
        <w:t>janvier</w:t>
      </w:r>
      <w:r w:rsidRPr="00462D9C">
        <w:rPr>
          <w:rFonts w:eastAsia="Times New Roman"/>
          <w:lang w:val="fr-FR"/>
        </w:rPr>
        <w:t xml:space="preserve"> 2021</w:t>
      </w:r>
    </w:p>
    <w:p w14:paraId="73F663FC" w14:textId="20C70783" w:rsidR="00421A10" w:rsidRDefault="0029791D" w:rsidP="0029791D">
      <w:pPr>
        <w:pStyle w:val="H1G"/>
      </w:pPr>
      <w:r>
        <w:tab/>
      </w:r>
      <w:r>
        <w:tab/>
      </w:r>
      <w:r w:rsidR="005C60A3" w:rsidRPr="0074357F">
        <w:rPr>
          <w:rFonts w:eastAsia="Times New Roman"/>
          <w:bCs/>
          <w:szCs w:val="24"/>
          <w:lang w:val="fr-FR"/>
        </w:rPr>
        <w:t>Prescriptions uniformes relatives à l</w:t>
      </w:r>
      <w:r w:rsidR="009D1055">
        <w:rPr>
          <w:rFonts w:eastAsia="Times New Roman"/>
          <w:bCs/>
          <w:szCs w:val="24"/>
          <w:lang w:val="fr-FR"/>
        </w:rPr>
        <w:t>’</w:t>
      </w:r>
      <w:r w:rsidR="005C60A3" w:rsidRPr="0074357F">
        <w:rPr>
          <w:rFonts w:eastAsia="Times New Roman"/>
          <w:bCs/>
          <w:szCs w:val="24"/>
          <w:lang w:val="fr-FR"/>
        </w:rPr>
        <w:t xml:space="preserve">homologation des systèmes améliorés de retenue pour enfants utilisés à bord </w:t>
      </w:r>
      <w:r w:rsidR="009D1055">
        <w:rPr>
          <w:rFonts w:eastAsia="Times New Roman"/>
          <w:bCs/>
          <w:szCs w:val="24"/>
          <w:lang w:val="fr-FR"/>
        </w:rPr>
        <w:br/>
      </w:r>
      <w:r w:rsidR="005C60A3" w:rsidRPr="0074357F">
        <w:rPr>
          <w:rFonts w:eastAsia="Times New Roman"/>
          <w:bCs/>
          <w:szCs w:val="24"/>
          <w:lang w:val="fr-FR"/>
        </w:rPr>
        <w:t>des véhicules automobiles</w:t>
      </w:r>
    </w:p>
    <w:p w14:paraId="356A3833" w14:textId="6D8E7DEE" w:rsidR="005C60A3" w:rsidRDefault="005C60A3" w:rsidP="005C60A3">
      <w:pPr>
        <w:pStyle w:val="SingleTxtG"/>
        <w:rPr>
          <w:spacing w:val="-6"/>
          <w:lang w:val="fr-FR" w:eastAsia="en-GB"/>
        </w:rPr>
      </w:pPr>
      <w:r w:rsidRPr="0074357F">
        <w:rPr>
          <w:lang w:val="fr-FR" w:eastAsia="en-GB"/>
        </w:rPr>
        <w:t>Le présent document est communiqué uniquement à titre d</w:t>
      </w:r>
      <w:r w:rsidR="009D1055">
        <w:rPr>
          <w:lang w:val="fr-FR" w:eastAsia="en-GB"/>
        </w:rPr>
        <w:t>’</w:t>
      </w:r>
      <w:r w:rsidRPr="0074357F">
        <w:rPr>
          <w:lang w:val="fr-FR" w:eastAsia="en-GB"/>
        </w:rPr>
        <w:t>information. Le texte authentique, juridiquement contraignant, est celui du document</w:t>
      </w:r>
      <w:r w:rsidRPr="00462D9C">
        <w:rPr>
          <w:lang w:val="fr-FR" w:eastAsia="en-GB"/>
        </w:rPr>
        <w:t xml:space="preserve"> </w:t>
      </w:r>
      <w:r w:rsidRPr="00462D9C">
        <w:rPr>
          <w:spacing w:val="-6"/>
          <w:lang w:val="fr-FR" w:eastAsia="en-GB"/>
        </w:rPr>
        <w:t>ECE/TRANS/WP.29/2020/56.</w:t>
      </w:r>
    </w:p>
    <w:p w14:paraId="4C69F144" w14:textId="73F2265F" w:rsidR="005C60A3" w:rsidRDefault="005C60A3" w:rsidP="005C60A3">
      <w:pPr>
        <w:pStyle w:val="SingleTxtG"/>
        <w:rPr>
          <w:spacing w:val="-6"/>
          <w:lang w:val="fr-FR" w:eastAsia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B8E0C" wp14:editId="18B87062">
                <wp:simplePos x="0" y="0"/>
                <wp:positionH relativeFrom="margin">
                  <wp:posOffset>0</wp:posOffset>
                </wp:positionH>
                <wp:positionV relativeFrom="margin">
                  <wp:posOffset>6434406</wp:posOffset>
                </wp:positionV>
                <wp:extent cx="6119495" cy="11518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0AEF4" w14:textId="77777777" w:rsidR="005C60A3" w:rsidRPr="0029791D" w:rsidRDefault="005C60A3" w:rsidP="005C60A3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2A44C412" w14:textId="77777777" w:rsidR="005C60A3" w:rsidRDefault="005C60A3" w:rsidP="005C60A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6FA29640" wp14:editId="4B6B1A19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2C314" w14:textId="77777777" w:rsidR="005C60A3" w:rsidRDefault="005C60A3" w:rsidP="005C60A3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B8E0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506.65pt;width:481.8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" stroked="f">
                <v:textbox inset="0,0,0,0">
                  <w:txbxContent>
                    <w:p w14:paraId="7900AEF4" w14:textId="77777777" w:rsidR="005C60A3" w:rsidRPr="0029791D" w:rsidRDefault="005C60A3" w:rsidP="005C60A3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2A44C412" w14:textId="77777777" w:rsidR="005C60A3" w:rsidRDefault="005C60A3" w:rsidP="005C60A3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6FA29640" wp14:editId="4B6B1A19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22C314" w14:textId="77777777" w:rsidR="005C60A3" w:rsidRDefault="005C60A3" w:rsidP="005C60A3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pacing w:val="-6"/>
          <w:lang w:val="fr-FR" w:eastAsia="en-GB"/>
        </w:rPr>
        <w:br w:type="page"/>
      </w:r>
    </w:p>
    <w:p w14:paraId="6B209F84" w14:textId="77777777" w:rsidR="007E05B3" w:rsidRPr="0074357F" w:rsidRDefault="007E05B3" w:rsidP="007E05B3">
      <w:pPr>
        <w:pStyle w:val="SingleTxtG"/>
        <w:rPr>
          <w:lang w:val="fr-FR" w:eastAsia="fr-FR"/>
        </w:rPr>
      </w:pPr>
      <w:r w:rsidRPr="0074357F">
        <w:rPr>
          <w:i/>
          <w:lang w:val="fr-FR" w:eastAsia="fr-FR"/>
        </w:rPr>
        <w:lastRenderedPageBreak/>
        <w:t>Paragraphe 6.3.1.1</w:t>
      </w:r>
      <w:r w:rsidRPr="0074357F">
        <w:rPr>
          <w:lang w:val="fr-FR" w:eastAsia="fr-FR"/>
        </w:rPr>
        <w:t>, lire :</w:t>
      </w:r>
    </w:p>
    <w:p w14:paraId="5D947FD7" w14:textId="11A5F7FB" w:rsidR="007E05B3" w:rsidRPr="0074357F" w:rsidRDefault="007E05B3" w:rsidP="007E05B3">
      <w:pPr>
        <w:pStyle w:val="SingleTxtG"/>
        <w:ind w:left="2268" w:hanging="1134"/>
        <w:rPr>
          <w:lang w:val="fr-FR" w:eastAsia="fr-FR"/>
        </w:rPr>
      </w:pPr>
      <w:r w:rsidRPr="0074357F">
        <w:rPr>
          <w:lang w:val="fr-FR" w:eastAsia="fr-FR"/>
        </w:rPr>
        <w:t>« 6.3.1.1</w:t>
      </w:r>
      <w:r w:rsidRPr="0074357F">
        <w:rPr>
          <w:lang w:val="fr-FR" w:eastAsia="fr-FR"/>
        </w:rPr>
        <w:tab/>
        <w:t xml:space="preserve">Les fabricants de </w:t>
      </w:r>
      <w:r>
        <w:rPr>
          <w:lang w:val="fr-FR" w:eastAsia="fr-FR"/>
        </w:rPr>
        <w:t>systèmes</w:t>
      </w:r>
      <w:r w:rsidRPr="0074357F">
        <w:rPr>
          <w:lang w:val="fr-FR" w:eastAsia="fr-FR"/>
        </w:rPr>
        <w:t xml:space="preserve"> améliorés de retenue pour enfants doivent déclarer par écrit que la toxicité des matériaux utilisés dans la fabrication desdits </w:t>
      </w:r>
      <w:r>
        <w:rPr>
          <w:lang w:val="fr-FR" w:eastAsia="fr-FR"/>
        </w:rPr>
        <w:t>systèmes</w:t>
      </w:r>
      <w:r w:rsidRPr="0074357F">
        <w:rPr>
          <w:lang w:val="fr-FR" w:eastAsia="fr-FR"/>
        </w:rPr>
        <w:t xml:space="preserve"> et qui sont accessibles à 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enfant qui s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y trouve est conforme aux prescriptions énoncées dans la norme EN 71-3:2019 pour les matériaux de la catégorie III, telles qu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elles sont définies au tableau 2 du paragraphe 4.2, en appliquant la méthode d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essai décrite au paragraphe 7.2, en particulier la méthode de prélèvement des matériaux de cette catégorie indiquée dans le tableau 3 du paragraphe 7.2.2. Le service technique se réserve le droit de vérifier 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exactitude de la déclaration. ».</w:t>
      </w:r>
    </w:p>
    <w:p w14:paraId="24F942BC" w14:textId="77777777" w:rsidR="007E05B3" w:rsidRPr="0074357F" w:rsidRDefault="007E05B3" w:rsidP="007E05B3">
      <w:pPr>
        <w:pStyle w:val="SingleTxtG"/>
        <w:rPr>
          <w:szCs w:val="24"/>
          <w:lang w:val="fr-FR" w:eastAsia="fr-FR"/>
        </w:rPr>
      </w:pPr>
      <w:r w:rsidRPr="0074357F">
        <w:rPr>
          <w:i/>
          <w:iCs/>
          <w:szCs w:val="24"/>
          <w:lang w:val="fr-FR" w:eastAsia="fr-FR"/>
        </w:rPr>
        <w:t>Paragraphe 6.3.2</w:t>
      </w:r>
      <w:r w:rsidRPr="0074357F">
        <w:rPr>
          <w:szCs w:val="24"/>
          <w:lang w:val="fr-FR" w:eastAsia="fr-FR"/>
        </w:rPr>
        <w:t xml:space="preserve">, </w:t>
      </w:r>
      <w:r w:rsidRPr="0074357F">
        <w:rPr>
          <w:lang w:val="fr-FR" w:eastAsia="fr-FR"/>
        </w:rPr>
        <w:t>lire </w:t>
      </w:r>
      <w:r w:rsidRPr="0074357F">
        <w:rPr>
          <w:szCs w:val="24"/>
          <w:lang w:val="fr-FR" w:eastAsia="fr-FR"/>
        </w:rPr>
        <w:t>:</w:t>
      </w:r>
    </w:p>
    <w:p w14:paraId="0981E1CB" w14:textId="77777777" w:rsidR="007E05B3" w:rsidRPr="0074357F" w:rsidRDefault="007E05B3" w:rsidP="007E05B3">
      <w:pPr>
        <w:pStyle w:val="SingleTxtG"/>
        <w:ind w:left="2268" w:hanging="1134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« 6.3.2</w:t>
      </w:r>
      <w:r w:rsidRPr="0074357F">
        <w:rPr>
          <w:szCs w:val="24"/>
          <w:lang w:val="fr-FR" w:eastAsia="fr-FR"/>
        </w:rPr>
        <w:tab/>
        <w:t xml:space="preserve">Caractéristiques </w:t>
      </w:r>
      <w:r w:rsidRPr="0074357F">
        <w:rPr>
          <w:lang w:val="fr-FR" w:eastAsia="fr-FR"/>
        </w:rPr>
        <w:t>générales</w:t>
      </w:r>
    </w:p>
    <w:p w14:paraId="56BFE4C3" w14:textId="1EDA90DF" w:rsidR="007E05B3" w:rsidRPr="0074357F" w:rsidRDefault="007E05B3" w:rsidP="007E05B3">
      <w:pPr>
        <w:pStyle w:val="SingleTxtG"/>
        <w:ind w:left="2268"/>
        <w:rPr>
          <w:bCs/>
          <w:lang w:val="fr-FR" w:eastAsia="fr-FR"/>
        </w:rPr>
      </w:pPr>
      <w:r w:rsidRPr="0074357F">
        <w:rPr>
          <w:lang w:val="fr-FR" w:eastAsia="fr-FR"/>
        </w:rPr>
        <w:t>Les fabricants doivent déclarer la taille maximale et la taille minimale de 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 xml:space="preserve">enfant pour chaque configuration du </w:t>
      </w:r>
      <w:r>
        <w:rPr>
          <w:lang w:val="fr-FR" w:eastAsia="fr-FR"/>
        </w:rPr>
        <w:t>système</w:t>
      </w:r>
      <w:r w:rsidRPr="0074357F">
        <w:rPr>
          <w:lang w:val="fr-FR" w:eastAsia="fr-FR"/>
        </w:rPr>
        <w:t xml:space="preserve"> amélioré de retenue pour enfants.</w:t>
      </w:r>
    </w:p>
    <w:p w14:paraId="1AB7F9A3" w14:textId="1F63FCBA" w:rsidR="007E05B3" w:rsidRPr="0074357F" w:rsidRDefault="007E05B3" w:rsidP="007E05B3">
      <w:pPr>
        <w:pStyle w:val="SingleTxtG"/>
        <w:ind w:left="2268"/>
        <w:rPr>
          <w:bCs/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 xml:space="preserve">La gamme de tailles doit être contrôlée en mesurant les dimensions internes </w:t>
      </w:r>
      <w:r w:rsidRPr="0074357F">
        <w:rPr>
          <w:lang w:val="fr-FR" w:eastAsia="fr-FR"/>
        </w:rPr>
        <w:t>conformément</w:t>
      </w:r>
      <w:r w:rsidRPr="0074357F">
        <w:rPr>
          <w:szCs w:val="24"/>
          <w:lang w:val="fr-FR" w:eastAsia="fr-FR"/>
        </w:rPr>
        <w:t xml:space="preserve"> au paragraphe 6.3.2.1, tandis que les dimensions hors tout sont ajustées pour que le </w:t>
      </w:r>
      <w:r>
        <w:rPr>
          <w:lang w:val="fr-FR" w:eastAsia="fr-FR"/>
        </w:rPr>
        <w:t>système</w:t>
      </w:r>
      <w:r w:rsidRPr="0074357F">
        <w:rPr>
          <w:szCs w:val="24"/>
          <w:lang w:val="fr-FR" w:eastAsia="fr-FR"/>
        </w:rPr>
        <w:t xml:space="preserve"> puisse tenir à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>intérieur de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>enveloppe dimensionnelle applicable conformément au paragraphe 6.3.2.2. ».</w:t>
      </w:r>
    </w:p>
    <w:p w14:paraId="1EF0B22A" w14:textId="77777777" w:rsidR="007E05B3" w:rsidRPr="0074357F" w:rsidRDefault="007E05B3" w:rsidP="007E05B3">
      <w:pPr>
        <w:pStyle w:val="SingleTxtG"/>
        <w:rPr>
          <w:szCs w:val="24"/>
          <w:lang w:val="fr-FR" w:eastAsia="fr-FR"/>
        </w:rPr>
      </w:pPr>
      <w:r w:rsidRPr="0074357F">
        <w:rPr>
          <w:i/>
          <w:iCs/>
          <w:szCs w:val="24"/>
          <w:lang w:val="fr-FR" w:eastAsia="fr-FR"/>
        </w:rPr>
        <w:t>Paragraphe 6.6.4.3.1</w:t>
      </w:r>
      <w:r w:rsidRPr="0074357F">
        <w:rPr>
          <w:szCs w:val="24"/>
          <w:lang w:val="fr-FR" w:eastAsia="fr-FR"/>
        </w:rPr>
        <w:t xml:space="preserve">, </w:t>
      </w:r>
      <w:r w:rsidRPr="0074357F">
        <w:rPr>
          <w:lang w:val="fr-FR" w:eastAsia="fr-FR"/>
        </w:rPr>
        <w:t>lire</w:t>
      </w:r>
      <w:r w:rsidRPr="0074357F">
        <w:rPr>
          <w:szCs w:val="24"/>
          <w:lang w:val="fr-FR" w:eastAsia="fr-FR"/>
        </w:rPr>
        <w:t> :</w:t>
      </w:r>
    </w:p>
    <w:p w14:paraId="12EFC7D5" w14:textId="7B2D69E1" w:rsidR="007E05B3" w:rsidRPr="0074357F" w:rsidRDefault="007E05B3" w:rsidP="007E05B3">
      <w:pPr>
        <w:pStyle w:val="SingleTxtG"/>
        <w:ind w:left="2268" w:hanging="1134"/>
        <w:rPr>
          <w:snapToGrid w:val="0"/>
          <w:szCs w:val="24"/>
          <w:lang w:val="fr-FR"/>
        </w:rPr>
      </w:pPr>
      <w:r w:rsidRPr="0074357F">
        <w:rPr>
          <w:snapToGrid w:val="0"/>
          <w:szCs w:val="24"/>
          <w:lang w:val="fr-FR"/>
        </w:rPr>
        <w:t>« 6.6.4.3.1</w:t>
      </w:r>
      <w:r w:rsidRPr="0074357F">
        <w:rPr>
          <w:snapToGrid w:val="0"/>
          <w:szCs w:val="24"/>
          <w:lang w:val="fr-FR"/>
        </w:rPr>
        <w:tab/>
        <w:t>Critères d</w:t>
      </w:r>
      <w:r w:rsidR="009D1055">
        <w:rPr>
          <w:snapToGrid w:val="0"/>
          <w:szCs w:val="24"/>
          <w:lang w:val="fr-FR"/>
        </w:rPr>
        <w:t>’</w:t>
      </w:r>
      <w:r w:rsidRPr="0074357F">
        <w:rPr>
          <w:snapToGrid w:val="0"/>
          <w:szCs w:val="24"/>
          <w:lang w:val="fr-FR"/>
        </w:rPr>
        <w:t xml:space="preserve">évaluation des blessures pour les chocs </w:t>
      </w:r>
      <w:r w:rsidRPr="0074357F">
        <w:rPr>
          <w:szCs w:val="24"/>
          <w:lang w:val="fr-FR" w:eastAsia="fr-FR"/>
        </w:rPr>
        <w:t>avant</w:t>
      </w:r>
      <w:r w:rsidRPr="0074357F">
        <w:rPr>
          <w:snapToGrid w:val="0"/>
          <w:szCs w:val="24"/>
          <w:lang w:val="fr-FR"/>
        </w:rPr>
        <w:t xml:space="preserve"> et ...</w:t>
      </w:r>
    </w:p>
    <w:tbl>
      <w:tblPr>
        <w:tblW w:w="8505" w:type="dxa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1343"/>
        <w:gridCol w:w="597"/>
        <w:gridCol w:w="597"/>
        <w:gridCol w:w="746"/>
        <w:gridCol w:w="746"/>
        <w:gridCol w:w="745"/>
        <w:gridCol w:w="783"/>
        <w:gridCol w:w="753"/>
      </w:tblGrid>
      <w:tr w:rsidR="007E05B3" w:rsidRPr="0074357F" w14:paraId="390BFDCD" w14:textId="77777777" w:rsidTr="004658C3">
        <w:trPr>
          <w:tblHeader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3D1F04D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80" w:after="80" w:line="240" w:lineRule="auto"/>
              <w:ind w:left="113" w:right="113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bookmarkStart w:id="0" w:name="OLE_LINK22"/>
            <w:bookmarkStart w:id="1" w:name="OLE_LINK21"/>
            <w:r w:rsidRPr="0074357F">
              <w:rPr>
                <w:rFonts w:eastAsia="Times New Roman"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7FC7D1B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80" w:after="80" w:line="240" w:lineRule="auto"/>
              <w:ind w:left="113" w:right="113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C586B6C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80" w:after="80" w:line="240" w:lineRule="auto"/>
              <w:ind w:left="113" w:right="113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71DD664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80" w:after="80" w:line="240" w:lineRule="auto"/>
              <w:ind w:left="113" w:right="113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EB69119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80" w:after="80" w:line="240" w:lineRule="auto"/>
              <w:ind w:left="113" w:right="113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2CE92C99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80" w:after="80" w:line="240" w:lineRule="auto"/>
              <w:ind w:left="113" w:right="113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860AC1F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80" w:after="80" w:line="240" w:lineRule="auto"/>
              <w:ind w:left="113" w:right="113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FB7E01F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80" w:after="80" w:line="240" w:lineRule="auto"/>
              <w:ind w:left="113" w:right="113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4C1E14AD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80" w:after="80" w:line="240" w:lineRule="auto"/>
              <w:ind w:left="113" w:right="113"/>
              <w:rPr>
                <w:rFonts w:eastAsia="MS Mincho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</w:tr>
      <w:tr w:rsidR="007E05B3" w:rsidRPr="0074357F" w14:paraId="02B8EFF9" w14:textId="77777777" w:rsidTr="004658C3"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469DB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BBDE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jc w:val="center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E2A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sz w:val="16"/>
                <w:szCs w:val="16"/>
                <w:lang w:val="fr-FR" w:eastAsia="fr-FR" w:bidi="hi-IN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24EB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2609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F8DE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2F12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97E3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AAD8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</w:tr>
      <w:tr w:rsidR="007E05B3" w:rsidRPr="0074357F" w14:paraId="2297991D" w14:textId="77777777" w:rsidTr="004658C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ACC39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74357F">
              <w:rPr>
                <w:rFonts w:eastAsia="Times New Roman"/>
                <w:sz w:val="18"/>
                <w:szCs w:val="18"/>
                <w:lang w:val="fr-FR" w:eastAsia="fr-FR"/>
              </w:rPr>
              <w:t>Accélération résultante de la tête (au bout de 3 ms)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52FD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jc w:val="center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B228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7590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BE4D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5129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CC9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1B29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B9F3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</w:tr>
      <w:tr w:rsidR="007E05B3" w:rsidRPr="0074357F" w14:paraId="3F38BE21" w14:textId="77777777" w:rsidTr="004658C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9AE5A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6ABE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jc w:val="center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CFC5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7CC0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B6D4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 w:bidi="hi-IN"/>
              </w:rPr>
            </w:pPr>
          </w:p>
        </w:tc>
      </w:tr>
      <w:tr w:rsidR="007E05B3" w:rsidRPr="0074357F" w14:paraId="468FCCAA" w14:textId="77777777" w:rsidTr="004658C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CD07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8BF6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jc w:val="center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577A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A782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 w:bidi="hi-I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E4F1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 w:bidi="hi-IN"/>
              </w:rPr>
            </w:pPr>
          </w:p>
        </w:tc>
      </w:tr>
      <w:tr w:rsidR="007E05B3" w:rsidRPr="0074357F" w14:paraId="208B4C1D" w14:textId="77777777" w:rsidTr="004658C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B6ACE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bCs/>
                <w:sz w:val="18"/>
                <w:szCs w:val="18"/>
                <w:lang w:val="fr-FR" w:eastAsia="fr-FR"/>
              </w:rPr>
            </w:pPr>
            <w:r w:rsidRPr="0074357F">
              <w:rPr>
                <w:rFonts w:eastAsia="Times New Roman"/>
                <w:sz w:val="18"/>
                <w:szCs w:val="18"/>
                <w:lang w:val="fr-FR" w:eastAsia="fr-FR"/>
              </w:rPr>
              <w:t>Accélération résultante de la tête (au bout de 3 ms)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1A87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jc w:val="center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A801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E4B1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01DD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5187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8481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2840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DB7E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</w:tr>
      <w:tr w:rsidR="007E05B3" w:rsidRPr="0074357F" w14:paraId="033CE4AC" w14:textId="77777777" w:rsidTr="004658C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B820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MS Mincho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50F6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jc w:val="center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9CB8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3742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8E7C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</w:tr>
      <w:tr w:rsidR="007E05B3" w:rsidRPr="0074357F" w14:paraId="73A2A3B1" w14:textId="77777777" w:rsidTr="004658C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521D41BF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MS Mincho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01D1F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jc w:val="center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1A0BD9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4558A8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66C9D2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595E3F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817260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MS Mincho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0D9E67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MS Mincho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827A82" w14:textId="77777777" w:rsidR="007E05B3" w:rsidRPr="0074357F" w:rsidRDefault="007E05B3" w:rsidP="004658C3">
            <w:pPr>
              <w:keepNext/>
              <w:keepLines/>
              <w:suppressAutoHyphens w:val="0"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right="113"/>
              <w:jc w:val="right"/>
              <w:rPr>
                <w:rFonts w:eastAsia="Times New Roman"/>
                <w:bCs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</w:tr>
    </w:tbl>
    <w:bookmarkEnd w:id="0"/>
    <w:bookmarkEnd w:id="1"/>
    <w:p w14:paraId="416EAEAB" w14:textId="77777777" w:rsidR="007E05B3" w:rsidRPr="0074357F" w:rsidRDefault="007E05B3" w:rsidP="007E05B3">
      <w:pPr>
        <w:pStyle w:val="SingleTxtG"/>
        <w:ind w:right="0"/>
        <w:jc w:val="right"/>
        <w:rPr>
          <w:rFonts w:eastAsia="MS Mincho"/>
          <w:i/>
          <w:lang w:val="fr-FR" w:eastAsia="fr-FR"/>
        </w:rPr>
      </w:pPr>
      <w:r w:rsidRPr="0074357F">
        <w:rPr>
          <w:lang w:val="fr-FR" w:eastAsia="fr-FR"/>
        </w:rPr>
        <w:t>... ».</w:t>
      </w:r>
    </w:p>
    <w:p w14:paraId="4E2FA937" w14:textId="77777777" w:rsidR="007E05B3" w:rsidRPr="0074357F" w:rsidRDefault="007E05B3" w:rsidP="007E05B3">
      <w:pPr>
        <w:pStyle w:val="SingleTxtG"/>
        <w:rPr>
          <w:szCs w:val="24"/>
          <w:lang w:val="fr-FR" w:eastAsia="fr-FR"/>
        </w:rPr>
      </w:pPr>
      <w:r w:rsidRPr="0074357F">
        <w:rPr>
          <w:i/>
          <w:iCs/>
          <w:szCs w:val="24"/>
          <w:lang w:val="fr-FR" w:eastAsia="fr-FR"/>
        </w:rPr>
        <w:t>Paragraphe 6.6.4.4.2</w:t>
      </w:r>
      <w:r w:rsidRPr="0074357F">
        <w:rPr>
          <w:szCs w:val="24"/>
          <w:lang w:val="fr-FR" w:eastAsia="fr-FR"/>
        </w:rPr>
        <w:t>, lire :</w:t>
      </w:r>
    </w:p>
    <w:p w14:paraId="157B8DAE" w14:textId="7D1E4B20" w:rsidR="007E05B3" w:rsidRPr="0074357F" w:rsidRDefault="007E05B3" w:rsidP="007E05B3">
      <w:pPr>
        <w:pStyle w:val="SingleTxtG"/>
        <w:ind w:left="2268" w:hanging="1134"/>
        <w:rPr>
          <w:snapToGrid w:val="0"/>
          <w:szCs w:val="24"/>
          <w:lang w:val="fr-FR"/>
        </w:rPr>
      </w:pPr>
      <w:r w:rsidRPr="0074357F">
        <w:rPr>
          <w:snapToGrid w:val="0"/>
          <w:szCs w:val="24"/>
          <w:lang w:val="fr-FR"/>
        </w:rPr>
        <w:t>« 6.6.4.4.2</w:t>
      </w:r>
      <w:r w:rsidRPr="0074357F">
        <w:rPr>
          <w:snapToGrid w:val="0"/>
          <w:szCs w:val="24"/>
          <w:lang w:val="fr-FR"/>
        </w:rPr>
        <w:tab/>
        <w:t>Lorsque les systèmes améliorés de retenue pour enfants ... le critère de blessure à la tête (HPC) et l</w:t>
      </w:r>
      <w:r w:rsidR="009D1055">
        <w:rPr>
          <w:snapToGrid w:val="0"/>
          <w:szCs w:val="24"/>
          <w:lang w:val="fr-FR"/>
        </w:rPr>
        <w:t>’</w:t>
      </w:r>
      <w:r w:rsidRPr="0074357F">
        <w:rPr>
          <w:snapToGrid w:val="0"/>
          <w:szCs w:val="24"/>
          <w:lang w:val="fr-FR"/>
        </w:rPr>
        <w:t>accélération résultante de la tête (au bout de 3 ms) doivent ... »</w:t>
      </w:r>
    </w:p>
    <w:p w14:paraId="3FF718DD" w14:textId="77777777" w:rsidR="007E05B3" w:rsidRPr="0074357F" w:rsidRDefault="007E05B3" w:rsidP="007E05B3">
      <w:pPr>
        <w:pStyle w:val="SingleTxtG"/>
        <w:rPr>
          <w:szCs w:val="24"/>
          <w:lang w:val="fr-FR" w:eastAsia="fr-FR"/>
        </w:rPr>
      </w:pPr>
      <w:r w:rsidRPr="0074357F">
        <w:rPr>
          <w:i/>
          <w:iCs/>
          <w:szCs w:val="24"/>
          <w:lang w:val="fr-FR" w:eastAsia="fr-FR"/>
        </w:rPr>
        <w:t>Paragraphe 6.6.4.5.2</w:t>
      </w:r>
      <w:r w:rsidRPr="0074357F">
        <w:rPr>
          <w:szCs w:val="24"/>
          <w:lang w:val="fr-FR" w:eastAsia="fr-FR"/>
        </w:rPr>
        <w:t>, lire :</w:t>
      </w:r>
    </w:p>
    <w:p w14:paraId="0581A929" w14:textId="25154B85" w:rsidR="007E05B3" w:rsidRPr="0074357F" w:rsidRDefault="007E05B3" w:rsidP="007E05B3">
      <w:pPr>
        <w:pStyle w:val="SingleTxtG"/>
        <w:ind w:left="2268" w:hanging="1134"/>
        <w:rPr>
          <w:snapToGrid w:val="0"/>
          <w:szCs w:val="24"/>
          <w:lang w:val="fr-FR"/>
        </w:rPr>
      </w:pPr>
      <w:r w:rsidRPr="0074357F">
        <w:rPr>
          <w:snapToGrid w:val="0"/>
          <w:szCs w:val="24"/>
          <w:lang w:val="fr-FR"/>
        </w:rPr>
        <w:t>« 6.6.4.5.2</w:t>
      </w:r>
      <w:r w:rsidRPr="0074357F">
        <w:rPr>
          <w:snapToGrid w:val="0"/>
          <w:szCs w:val="24"/>
          <w:lang w:val="fr-FR"/>
        </w:rPr>
        <w:tab/>
        <w:t>Critères supplémentaires d</w:t>
      </w:r>
      <w:r w:rsidR="009D1055">
        <w:rPr>
          <w:snapToGrid w:val="0"/>
          <w:szCs w:val="24"/>
          <w:lang w:val="fr-FR"/>
        </w:rPr>
        <w:t>’</w:t>
      </w:r>
      <w:r w:rsidRPr="0074357F">
        <w:rPr>
          <w:snapToGrid w:val="0"/>
          <w:szCs w:val="24"/>
          <w:lang w:val="fr-FR"/>
        </w:rPr>
        <w:t>évaluation des blessures pour les essais de choc latéral</w:t>
      </w:r>
    </w:p>
    <w:p w14:paraId="5A433953" w14:textId="77777777" w:rsidR="007E05B3" w:rsidRPr="0074357F" w:rsidRDefault="007E05B3" w:rsidP="007E05B3">
      <w:pPr>
        <w:pStyle w:val="SingleTxtG"/>
        <w:ind w:left="2268" w:hanging="1134"/>
        <w:rPr>
          <w:lang w:val="fr-FR" w:eastAsia="fr-FR"/>
        </w:rPr>
      </w:pPr>
      <w:r w:rsidRPr="0074357F">
        <w:rPr>
          <w:lang w:val="fr-FR" w:eastAsia="fr-FR"/>
        </w:rPr>
        <w:t>...</w:t>
      </w:r>
    </w:p>
    <w:tbl>
      <w:tblPr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253"/>
        <w:gridCol w:w="555"/>
        <w:gridCol w:w="724"/>
        <w:gridCol w:w="725"/>
        <w:gridCol w:w="724"/>
        <w:gridCol w:w="725"/>
        <w:gridCol w:w="725"/>
        <w:gridCol w:w="1259"/>
      </w:tblGrid>
      <w:tr w:rsidR="007E05B3" w:rsidRPr="0074357F" w14:paraId="12722BE1" w14:textId="77777777" w:rsidTr="004658C3">
        <w:trPr>
          <w:tblHeader/>
        </w:trPr>
        <w:tc>
          <w:tcPr>
            <w:tcW w:w="181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FFAFE2A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AF5895E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5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8A3BB81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C5D3455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EAD6D14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E3E8E0E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0DC773F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4D75C4B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bottom"/>
          </w:tcPr>
          <w:p w14:paraId="74FC69C2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rPr>
                <w:rFonts w:eastAsia="MS Mincho"/>
                <w:i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</w:tr>
      <w:tr w:rsidR="007E05B3" w:rsidRPr="0074357F" w14:paraId="041DC659" w14:textId="77777777" w:rsidTr="004658C3">
        <w:tc>
          <w:tcPr>
            <w:tcW w:w="181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10A244A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D1F04A6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5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A021F02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E6C6D3C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0A78B03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68CC170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E5CD3E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FF780D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</w:tcBorders>
            <w:vAlign w:val="center"/>
          </w:tcPr>
          <w:p w14:paraId="25AD4ADD" w14:textId="77777777" w:rsidR="007E05B3" w:rsidRPr="0074357F" w:rsidRDefault="007E05B3" w:rsidP="004658C3">
            <w:pPr>
              <w:keepNext/>
              <w:keepLines/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</w:tr>
      <w:tr w:rsidR="007E05B3" w:rsidRPr="0074357F" w14:paraId="663C0713" w14:textId="77777777" w:rsidTr="004658C3">
        <w:tc>
          <w:tcPr>
            <w:tcW w:w="1815" w:type="dxa"/>
            <w:shd w:val="clear" w:color="auto" w:fill="auto"/>
            <w:vAlign w:val="bottom"/>
          </w:tcPr>
          <w:p w14:paraId="054EF171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74357F">
              <w:rPr>
                <w:rFonts w:eastAsia="Times New Roman"/>
                <w:sz w:val="18"/>
                <w:szCs w:val="18"/>
                <w:lang w:val="fr-FR" w:eastAsia="fr-FR"/>
              </w:rPr>
              <w:t xml:space="preserve">Accélération résultante de la tête (au bout </w:t>
            </w:r>
            <w:r w:rsidRPr="0074357F">
              <w:rPr>
                <w:rFonts w:eastAsia="Times New Roman"/>
                <w:sz w:val="18"/>
                <w:szCs w:val="18"/>
                <w:lang w:val="fr-FR" w:eastAsia="fr-FR"/>
              </w:rPr>
              <w:br/>
              <w:t>de 3 ms)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40913CDD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55" w:type="dxa"/>
            <w:shd w:val="clear" w:color="auto" w:fill="auto"/>
            <w:vAlign w:val="bottom"/>
          </w:tcPr>
          <w:p w14:paraId="1ED8C8B2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7D982968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51796554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39312CBF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2E8E5E13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725" w:type="dxa"/>
            <w:shd w:val="clear" w:color="auto" w:fill="auto"/>
            <w:vAlign w:val="bottom"/>
          </w:tcPr>
          <w:p w14:paraId="26BBCBB5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113" w:right="113"/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259" w:type="dxa"/>
            <w:vMerge/>
            <w:vAlign w:val="bottom"/>
          </w:tcPr>
          <w:p w14:paraId="0D829934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40" w:lineRule="auto"/>
              <w:ind w:left="113" w:right="113"/>
              <w:rPr>
                <w:rFonts w:eastAsia="Times New Roman"/>
                <w:sz w:val="18"/>
                <w:lang w:val="fr-FR" w:eastAsia="fr-FR"/>
              </w:rPr>
            </w:pPr>
          </w:p>
        </w:tc>
      </w:tr>
      <w:tr w:rsidR="007E05B3" w:rsidRPr="0074357F" w14:paraId="47940E5F" w14:textId="77777777" w:rsidTr="004658C3">
        <w:tc>
          <w:tcPr>
            <w:tcW w:w="1815" w:type="dxa"/>
            <w:shd w:val="clear" w:color="auto" w:fill="auto"/>
            <w:vAlign w:val="bottom"/>
          </w:tcPr>
          <w:p w14:paraId="27E86408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1952519D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55" w:type="dxa"/>
            <w:shd w:val="clear" w:color="auto" w:fill="auto"/>
            <w:vAlign w:val="bottom"/>
          </w:tcPr>
          <w:p w14:paraId="0611AB30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4882" w:type="dxa"/>
            <w:gridSpan w:val="6"/>
            <w:shd w:val="clear" w:color="auto" w:fill="auto"/>
            <w:vAlign w:val="bottom"/>
          </w:tcPr>
          <w:p w14:paraId="6EE0F7EC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</w:tr>
      <w:tr w:rsidR="007E05B3" w:rsidRPr="0074357F" w14:paraId="73D8FFFD" w14:textId="77777777" w:rsidTr="004658C3">
        <w:tc>
          <w:tcPr>
            <w:tcW w:w="181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5F8333F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DD2BE77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55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8E1DF7B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  <w:tc>
          <w:tcPr>
            <w:tcW w:w="4882" w:type="dxa"/>
            <w:gridSpan w:val="6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C473C17" w14:textId="77777777" w:rsidR="007E05B3" w:rsidRPr="0074357F" w:rsidRDefault="007E05B3" w:rsidP="004658C3">
            <w:pPr>
              <w:kinsoku/>
              <w:overflowPunct/>
              <w:autoSpaceDE/>
              <w:autoSpaceDN/>
              <w:adjustRightInd/>
              <w:snapToGrid/>
              <w:spacing w:before="40" w:after="40" w:line="220" w:lineRule="exact"/>
              <w:ind w:left="57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...</w:t>
            </w:r>
          </w:p>
        </w:tc>
      </w:tr>
    </w:tbl>
    <w:p w14:paraId="66E1919B" w14:textId="77777777" w:rsidR="007E05B3" w:rsidRPr="0074357F" w:rsidRDefault="007E05B3" w:rsidP="007E05B3">
      <w:pPr>
        <w:pStyle w:val="SingleTxtG"/>
        <w:ind w:right="0"/>
        <w:jc w:val="right"/>
        <w:rPr>
          <w:szCs w:val="24"/>
          <w:lang w:val="fr-FR" w:eastAsia="fr-FR"/>
        </w:rPr>
      </w:pPr>
      <w:r w:rsidRPr="0074357F">
        <w:rPr>
          <w:i/>
          <w:iCs/>
          <w:szCs w:val="24"/>
          <w:lang w:val="fr-FR" w:eastAsia="fr-FR"/>
        </w:rPr>
        <w:t>...</w:t>
      </w:r>
      <w:r w:rsidRPr="0074357F">
        <w:rPr>
          <w:szCs w:val="24"/>
          <w:lang w:val="fr-FR" w:eastAsia="fr-FR"/>
        </w:rPr>
        <w:t> ».</w:t>
      </w:r>
    </w:p>
    <w:p w14:paraId="769BDB85" w14:textId="77777777" w:rsidR="007E05B3" w:rsidRPr="0074357F" w:rsidRDefault="007E05B3" w:rsidP="007E05B3">
      <w:pPr>
        <w:pStyle w:val="SingleTxtG"/>
        <w:rPr>
          <w:szCs w:val="24"/>
          <w:lang w:val="fr-FR" w:eastAsia="fr-FR"/>
        </w:rPr>
      </w:pPr>
      <w:bookmarkStart w:id="2" w:name="_Hlk30406705"/>
      <w:r w:rsidRPr="0074357F">
        <w:rPr>
          <w:i/>
          <w:iCs/>
          <w:szCs w:val="24"/>
          <w:lang w:val="fr-FR" w:eastAsia="fr-FR"/>
        </w:rPr>
        <w:lastRenderedPageBreak/>
        <w:t>Paragraphe 8.1</w:t>
      </w:r>
      <w:r w:rsidRPr="0074357F">
        <w:rPr>
          <w:szCs w:val="24"/>
          <w:lang w:val="fr-FR" w:eastAsia="fr-FR"/>
        </w:rPr>
        <w:t>, lire :</w:t>
      </w:r>
    </w:p>
    <w:p w14:paraId="544172F4" w14:textId="1AA92A69" w:rsidR="007E05B3" w:rsidRPr="0074357F" w:rsidRDefault="007E05B3" w:rsidP="007E05B3">
      <w:pPr>
        <w:pStyle w:val="SingleTxtG"/>
        <w:ind w:left="2268" w:hanging="1134"/>
        <w:rPr>
          <w:rFonts w:eastAsia="SimSun"/>
          <w:color w:val="000000"/>
          <w:szCs w:val="24"/>
          <w:lang w:val="fr-FR" w:eastAsia="fr-FR"/>
        </w:rPr>
      </w:pPr>
      <w:r w:rsidRPr="0074357F">
        <w:rPr>
          <w:snapToGrid w:val="0"/>
          <w:szCs w:val="24"/>
          <w:lang w:val="fr-FR"/>
        </w:rPr>
        <w:t>« </w:t>
      </w:r>
      <w:r w:rsidRPr="0074357F">
        <w:rPr>
          <w:color w:val="000000"/>
          <w:szCs w:val="24"/>
          <w:lang w:val="fr-FR" w:eastAsia="fr-FR"/>
        </w:rPr>
        <w:t>8.1</w:t>
      </w:r>
      <w:r w:rsidRPr="0074357F">
        <w:rPr>
          <w:color w:val="000000"/>
          <w:szCs w:val="24"/>
          <w:lang w:val="fr-FR" w:eastAsia="fr-FR"/>
        </w:rPr>
        <w:tab/>
        <w:t>Le procès-verbal d</w:t>
      </w:r>
      <w:r w:rsidR="009D1055">
        <w:rPr>
          <w:color w:val="000000"/>
          <w:szCs w:val="24"/>
          <w:lang w:val="fr-FR" w:eastAsia="fr-FR"/>
        </w:rPr>
        <w:t>’</w:t>
      </w:r>
      <w:r w:rsidRPr="0074357F">
        <w:rPr>
          <w:color w:val="000000"/>
          <w:szCs w:val="24"/>
          <w:lang w:val="fr-FR" w:eastAsia="fr-FR"/>
        </w:rPr>
        <w:t xml:space="preserve">essai doit contenir les résultats de tous les essais et de toutes les mesures, notamment les données suivantes : </w:t>
      </w:r>
    </w:p>
    <w:p w14:paraId="6DE3DB5F" w14:textId="77777777" w:rsidR="007E05B3" w:rsidRPr="0074357F" w:rsidRDefault="007E05B3" w:rsidP="007E05B3">
      <w:pPr>
        <w:pStyle w:val="SingleTxtG"/>
        <w:ind w:left="2268"/>
        <w:rPr>
          <w:color w:val="000000"/>
          <w:lang w:val="fr-FR" w:eastAsia="fr-FR"/>
        </w:rPr>
      </w:pPr>
      <w:r w:rsidRPr="0074357F">
        <w:rPr>
          <w:lang w:val="fr-FR" w:eastAsia="fr-FR"/>
        </w:rPr>
        <w:t>a)</w:t>
      </w:r>
      <w:r w:rsidRPr="0074357F">
        <w:rPr>
          <w:lang w:val="fr-FR" w:eastAsia="fr-FR"/>
        </w:rPr>
        <w:tab/>
        <w:t>...</w:t>
      </w:r>
    </w:p>
    <w:p w14:paraId="5963B875" w14:textId="77777777" w:rsidR="007E05B3" w:rsidRPr="0074357F" w:rsidRDefault="007E05B3" w:rsidP="007E05B3">
      <w:pPr>
        <w:pStyle w:val="SingleTxtG"/>
        <w:ind w:left="2268"/>
        <w:rPr>
          <w:color w:val="000000"/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...</w:t>
      </w:r>
    </w:p>
    <w:p w14:paraId="61A83E8A" w14:textId="56E9455F" w:rsidR="007E05B3" w:rsidRPr="0074357F" w:rsidRDefault="007E05B3" w:rsidP="007E05B3">
      <w:pPr>
        <w:pStyle w:val="SingleTxtG"/>
        <w:ind w:left="2835" w:hanging="567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i)</w:t>
      </w:r>
      <w:r w:rsidRPr="0074357F">
        <w:rPr>
          <w:szCs w:val="24"/>
          <w:lang w:val="fr-FR" w:eastAsia="fr-FR"/>
        </w:rPr>
        <w:tab/>
        <w:t xml:space="preserve">Les critères suivants : critères de </w:t>
      </w:r>
      <w:r w:rsidRPr="0074357F">
        <w:rPr>
          <w:lang w:val="fr-FR" w:eastAsia="fr-FR"/>
        </w:rPr>
        <w:t>blessure</w:t>
      </w:r>
      <w:r w:rsidRPr="0074357F">
        <w:rPr>
          <w:szCs w:val="24"/>
          <w:lang w:val="fr-FR" w:eastAsia="fr-FR"/>
        </w:rPr>
        <w:t xml:space="preserve"> à la tête (HPC), accélération résultante de la tête au bout de 3 ms, force supportée par le haut de la nuque, moment du haut de la nuque, accélération résultante du thorax au bout de 3 ms, déformation du thorax, pression abdominale (lors d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>un choc avant et arrière) et ... ».</w:t>
      </w:r>
    </w:p>
    <w:p w14:paraId="0E740C67" w14:textId="77777777" w:rsidR="007E05B3" w:rsidRPr="0074357F" w:rsidRDefault="007E05B3" w:rsidP="007E05B3">
      <w:pPr>
        <w:pStyle w:val="SingleTxtG"/>
        <w:rPr>
          <w:szCs w:val="24"/>
          <w:lang w:val="fr-FR" w:eastAsia="fr-FR"/>
        </w:rPr>
      </w:pPr>
      <w:bookmarkStart w:id="3" w:name="_Hlk30406488"/>
      <w:bookmarkEnd w:id="2"/>
      <w:r w:rsidRPr="0074357F">
        <w:rPr>
          <w:i/>
          <w:iCs/>
          <w:szCs w:val="24"/>
          <w:lang w:val="fr-FR" w:eastAsia="fr-FR"/>
        </w:rPr>
        <w:t>Paragraphe 9.2.2</w:t>
      </w:r>
      <w:r w:rsidRPr="0074357F">
        <w:rPr>
          <w:szCs w:val="24"/>
          <w:lang w:val="fr-FR" w:eastAsia="fr-FR"/>
        </w:rPr>
        <w:t>, lire :</w:t>
      </w:r>
    </w:p>
    <w:p w14:paraId="150C7DD9" w14:textId="77777777" w:rsidR="007E05B3" w:rsidRPr="0074357F" w:rsidRDefault="007E05B3" w:rsidP="007E05B3">
      <w:pPr>
        <w:pStyle w:val="SingleTxtG"/>
        <w:ind w:left="2268" w:hanging="1134"/>
        <w:rPr>
          <w:snapToGrid w:val="0"/>
          <w:szCs w:val="24"/>
          <w:lang w:val="fr-FR"/>
        </w:rPr>
      </w:pPr>
      <w:r w:rsidRPr="0074357F">
        <w:rPr>
          <w:snapToGrid w:val="0"/>
          <w:szCs w:val="24"/>
          <w:lang w:val="fr-FR"/>
        </w:rPr>
        <w:t>« 9.2.2</w:t>
      </w:r>
      <w:r w:rsidRPr="0074357F">
        <w:rPr>
          <w:snapToGrid w:val="0"/>
          <w:szCs w:val="24"/>
          <w:lang w:val="fr-FR"/>
        </w:rPr>
        <w:tab/>
        <w:t xml:space="preserve">Essai dynamique de choc </w:t>
      </w:r>
      <w:r w:rsidRPr="0074357F">
        <w:rPr>
          <w:color w:val="000000"/>
          <w:szCs w:val="24"/>
          <w:lang w:val="fr-FR" w:eastAsia="fr-FR"/>
        </w:rPr>
        <w:t>latéral</w:t>
      </w:r>
    </w:p>
    <w:p w14:paraId="1B44AAAD" w14:textId="6A19902F" w:rsidR="007E05B3" w:rsidRPr="0074357F" w:rsidRDefault="007E05B3" w:rsidP="007E05B3">
      <w:pPr>
        <w:pStyle w:val="SingleTxtG"/>
        <w:ind w:left="2268"/>
        <w:rPr>
          <w:rFonts w:eastAsia="MS Mincho"/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Évaluation de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>accélération résultante de la tête ... »</w:t>
      </w:r>
      <w:bookmarkEnd w:id="3"/>
      <w:r w:rsidRPr="0074357F">
        <w:rPr>
          <w:szCs w:val="24"/>
          <w:lang w:val="fr-FR" w:eastAsia="fr-FR"/>
        </w:rPr>
        <w:t>.</w:t>
      </w:r>
    </w:p>
    <w:p w14:paraId="34547535" w14:textId="19445994" w:rsidR="007E05B3" w:rsidRPr="0074357F" w:rsidRDefault="007E05B3" w:rsidP="007E05B3">
      <w:pPr>
        <w:pStyle w:val="SingleTxtG"/>
        <w:rPr>
          <w:i/>
          <w:szCs w:val="24"/>
          <w:lang w:val="fr-FR" w:eastAsia="fr-FR"/>
        </w:rPr>
      </w:pPr>
      <w:r w:rsidRPr="0074357F">
        <w:rPr>
          <w:i/>
          <w:iCs/>
          <w:szCs w:val="24"/>
          <w:lang w:val="fr-FR" w:eastAsia="fr-FR"/>
        </w:rPr>
        <w:t xml:space="preserve">Annexe 6 </w:t>
      </w:r>
      <w:r w:rsidR="006C1EBC">
        <w:rPr>
          <w:lang w:val="fr-FR"/>
        </w:rPr>
        <w:t>−</w:t>
      </w:r>
      <w:r w:rsidRPr="0074357F">
        <w:rPr>
          <w:i/>
          <w:iCs/>
          <w:szCs w:val="24"/>
          <w:lang w:val="fr-FR" w:eastAsia="fr-FR"/>
        </w:rPr>
        <w:t xml:space="preserve"> Appendice 2</w:t>
      </w:r>
    </w:p>
    <w:p w14:paraId="27213B3C" w14:textId="77777777" w:rsidR="007E05B3" w:rsidRPr="0074357F" w:rsidRDefault="007E05B3" w:rsidP="007E05B3">
      <w:pPr>
        <w:pStyle w:val="SingleTxtG"/>
        <w:rPr>
          <w:i/>
          <w:szCs w:val="24"/>
          <w:lang w:val="fr-FR" w:eastAsia="fr-FR"/>
        </w:rPr>
      </w:pPr>
      <w:r w:rsidRPr="0074357F">
        <w:rPr>
          <w:i/>
          <w:iCs/>
          <w:szCs w:val="24"/>
          <w:lang w:val="fr-FR" w:eastAsia="fr-FR"/>
        </w:rPr>
        <w:t>Paragraphe 2</w:t>
      </w:r>
      <w:r w:rsidRPr="0074357F">
        <w:rPr>
          <w:szCs w:val="24"/>
          <w:lang w:val="fr-FR" w:eastAsia="fr-FR"/>
        </w:rPr>
        <w:t>, lire :</w:t>
      </w:r>
    </w:p>
    <w:p w14:paraId="40EA437D" w14:textId="707D070A" w:rsidR="007E05B3" w:rsidRPr="0074357F" w:rsidRDefault="007E05B3" w:rsidP="007E05B3">
      <w:pPr>
        <w:pStyle w:val="SingleTxtG"/>
        <w:ind w:left="2268" w:hanging="1134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« 2</w:t>
      </w:r>
      <w:r w:rsidRPr="0074357F">
        <w:rPr>
          <w:szCs w:val="24"/>
          <w:lang w:val="fr-FR" w:eastAsia="fr-FR"/>
        </w:rPr>
        <w:tab/>
        <w:t xml:space="preserve">Les </w:t>
      </w:r>
      <w:r>
        <w:rPr>
          <w:lang w:val="fr-FR" w:eastAsia="fr-FR"/>
        </w:rPr>
        <w:t>systèmes</w:t>
      </w:r>
      <w:r w:rsidRPr="0074357F">
        <w:rPr>
          <w:szCs w:val="24"/>
          <w:lang w:val="fr-FR" w:eastAsia="fr-FR"/>
        </w:rPr>
        <w:t xml:space="preserve"> améliorés de retenue pour enfants de type « i</w:t>
      </w:r>
      <w:r w:rsidRPr="0074357F">
        <w:rPr>
          <w:szCs w:val="24"/>
          <w:lang w:val="fr-FR" w:eastAsia="fr-FR"/>
        </w:rPr>
        <w:noBreakHyphen/>
        <w:t>Size » et ceux qui sont destinés à un véhicule spécifique doivent être fixés aux points d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>ancrage H</w:t>
      </w:r>
      <w:r w:rsidRPr="0074357F">
        <w:rPr>
          <w:szCs w:val="24"/>
          <w:vertAlign w:val="subscript"/>
          <w:lang w:val="fr-FR" w:eastAsia="fr-FR"/>
        </w:rPr>
        <w:t>1</w:t>
      </w:r>
      <w:r w:rsidRPr="0074357F">
        <w:rPr>
          <w:szCs w:val="24"/>
          <w:lang w:val="fr-FR" w:eastAsia="fr-FR"/>
        </w:rPr>
        <w:t xml:space="preserve"> et H</w:t>
      </w:r>
      <w:r w:rsidRPr="0074357F">
        <w:rPr>
          <w:szCs w:val="24"/>
          <w:vertAlign w:val="subscript"/>
          <w:lang w:val="fr-FR" w:eastAsia="fr-FR"/>
        </w:rPr>
        <w:t>2</w:t>
      </w:r>
      <w:r w:rsidRPr="0074357F">
        <w:rPr>
          <w:szCs w:val="24"/>
          <w:lang w:val="fr-FR" w:eastAsia="fr-FR"/>
        </w:rPr>
        <w:t>. ».</w:t>
      </w:r>
    </w:p>
    <w:p w14:paraId="762BF251" w14:textId="77777777" w:rsidR="007E05B3" w:rsidRPr="0074357F" w:rsidRDefault="007E05B3" w:rsidP="007E05B3">
      <w:pPr>
        <w:pStyle w:val="SingleTxtG"/>
        <w:rPr>
          <w:szCs w:val="24"/>
          <w:u w:val="single"/>
          <w:lang w:val="fr-FR" w:eastAsia="fr-FR"/>
        </w:rPr>
      </w:pPr>
      <w:r w:rsidRPr="0074357F">
        <w:rPr>
          <w:i/>
          <w:iCs/>
          <w:szCs w:val="24"/>
          <w:lang w:val="fr-FR" w:eastAsia="fr-FR"/>
        </w:rPr>
        <w:t>Annexe 18</w:t>
      </w:r>
      <w:r w:rsidRPr="0074357F">
        <w:rPr>
          <w:szCs w:val="24"/>
          <w:lang w:val="fr-FR" w:eastAsia="fr-FR"/>
        </w:rPr>
        <w:t>, lire :</w:t>
      </w:r>
    </w:p>
    <w:p w14:paraId="0EFBFA73" w14:textId="77777777" w:rsidR="007E05B3" w:rsidRPr="0074357F" w:rsidRDefault="007E05B3" w:rsidP="007E05B3">
      <w:pPr>
        <w:pStyle w:val="HChG"/>
        <w:rPr>
          <w:lang w:val="fr-FR" w:eastAsia="fr-FR"/>
        </w:rPr>
      </w:pPr>
      <w:r w:rsidRPr="0074357F">
        <w:rPr>
          <w:sz w:val="20"/>
          <w:lang w:val="fr-FR" w:eastAsia="fr-FR"/>
        </w:rPr>
        <w:t>« </w:t>
      </w:r>
      <w:r w:rsidRPr="0074357F">
        <w:rPr>
          <w:lang w:val="fr-FR" w:eastAsia="fr-FR"/>
        </w:rPr>
        <w:t>Annexe 18</w:t>
      </w:r>
    </w:p>
    <w:p w14:paraId="73C3CC57" w14:textId="77777777" w:rsidR="007E05B3" w:rsidRPr="0074357F" w:rsidRDefault="007E05B3" w:rsidP="007E05B3">
      <w:pPr>
        <w:pStyle w:val="HChG"/>
        <w:rPr>
          <w:lang w:val="fr-FR" w:eastAsia="fr-FR"/>
        </w:rPr>
      </w:pPr>
      <w:r w:rsidRPr="0074357F">
        <w:rPr>
          <w:lang w:val="fr-FR" w:eastAsia="fr-FR"/>
        </w:rPr>
        <w:tab/>
      </w:r>
      <w:r w:rsidRPr="0074357F">
        <w:rPr>
          <w:lang w:val="fr-FR" w:eastAsia="fr-FR"/>
        </w:rPr>
        <w:tab/>
        <w:t xml:space="preserve">Dimensions du mannequin pour </w:t>
      </w:r>
      <w:r>
        <w:rPr>
          <w:lang w:val="fr-FR" w:eastAsia="fr-FR"/>
        </w:rPr>
        <w:t>systèmes</w:t>
      </w:r>
      <w:r w:rsidRPr="0074357F">
        <w:rPr>
          <w:lang w:val="fr-FR" w:eastAsia="fr-FR"/>
        </w:rPr>
        <w:t xml:space="preserve"> améliorés de retenue pour enfants</w:t>
      </w:r>
    </w:p>
    <w:p w14:paraId="39831925" w14:textId="77777777" w:rsidR="007E05B3" w:rsidRPr="0074357F" w:rsidRDefault="007E05B3" w:rsidP="007E05B3">
      <w:pPr>
        <w:pStyle w:val="SingleTxtG"/>
        <w:rPr>
          <w:bCs/>
          <w:lang w:val="fr-FR" w:eastAsia="fr-FR"/>
        </w:rPr>
      </w:pPr>
      <w:r w:rsidRPr="0074357F">
        <w:rPr>
          <w:lang w:val="fr-FR" w:eastAsia="fr-FR"/>
        </w:rPr>
        <w:t>...</w:t>
      </w:r>
    </w:p>
    <w:p w14:paraId="75687DE0" w14:textId="77777777" w:rsidR="007E05B3" w:rsidRPr="0074357F" w:rsidRDefault="007E05B3" w:rsidP="007E05B3">
      <w:pPr>
        <w:pStyle w:val="Titre1"/>
        <w:spacing w:after="120"/>
        <w:rPr>
          <w:lang w:val="fr-FR" w:eastAsia="fr-FR"/>
        </w:rPr>
      </w:pPr>
      <w:r w:rsidRPr="0074357F">
        <w:rPr>
          <w:lang w:val="fr-FR" w:eastAsia="fr-FR"/>
        </w:rPr>
        <w:t>Tableau 1</w:t>
      </w:r>
    </w:p>
    <w:tbl>
      <w:tblPr>
        <w:tblW w:w="808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62"/>
        <w:gridCol w:w="772"/>
        <w:gridCol w:w="770"/>
        <w:gridCol w:w="771"/>
        <w:gridCol w:w="771"/>
        <w:gridCol w:w="207"/>
        <w:gridCol w:w="3467"/>
      </w:tblGrid>
      <w:tr w:rsidR="007E05B3" w:rsidRPr="0074357F" w14:paraId="4B88511F" w14:textId="77777777" w:rsidTr="004658C3">
        <w:trPr>
          <w:trHeight w:val="624"/>
        </w:trPr>
        <w:tc>
          <w:tcPr>
            <w:tcW w:w="44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B1E79F" w14:textId="77777777" w:rsidR="007E05B3" w:rsidRPr="0074357F" w:rsidRDefault="007E05B3" w:rsidP="004658C3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  <w:szCs w:val="22"/>
                <w:lang w:val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 xml:space="preserve">Applicable à tous les </w:t>
            </w:r>
            <w:r w:rsidRPr="00C82358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systèmes améliorés de retenue pour enfants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0F924E" w14:textId="77777777" w:rsidR="007E05B3" w:rsidRPr="0074357F" w:rsidRDefault="007E05B3" w:rsidP="004658C3">
            <w:pPr>
              <w:suppressAutoHyphens w:val="0"/>
              <w:spacing w:before="80" w:after="80" w:line="200" w:lineRule="exact"/>
              <w:ind w:right="113"/>
              <w:jc w:val="right"/>
              <w:rPr>
                <w:i/>
                <w:sz w:val="16"/>
                <w:szCs w:val="22"/>
                <w:lang w:val="fr-FR"/>
              </w:rPr>
            </w:pPr>
            <w:r w:rsidRPr="0074357F">
              <w:rPr>
                <w:i/>
                <w:sz w:val="16"/>
                <w:szCs w:val="22"/>
                <w:lang w:val="fr-FR"/>
              </w:rPr>
              <w:t> </w:t>
            </w:r>
          </w:p>
        </w:tc>
        <w:tc>
          <w:tcPr>
            <w:tcW w:w="34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86CA87C" w14:textId="3C9AD229" w:rsidR="007E05B3" w:rsidRPr="0074357F" w:rsidRDefault="007E05B3" w:rsidP="004658C3">
            <w:pPr>
              <w:suppressAutoHyphens w:val="0"/>
              <w:spacing w:before="80" w:after="80" w:line="200" w:lineRule="exact"/>
              <w:ind w:right="113"/>
              <w:jc w:val="right"/>
              <w:rPr>
                <w:i/>
                <w:sz w:val="16"/>
                <w:szCs w:val="22"/>
                <w:lang w:val="fr-FR"/>
              </w:rPr>
            </w:pP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 xml:space="preserve">Dimensions internes supplémentaires </w:t>
            </w: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br/>
              <w:t xml:space="preserve">pour les </w:t>
            </w:r>
            <w:r w:rsidRPr="00C82358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 xml:space="preserve">systèmes améliorés de retenue </w:t>
            </w:r>
            <w:r w:rsidR="00A97405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br/>
            </w:r>
            <w:r w:rsidRPr="00C82358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pour enfants</w:t>
            </w: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 xml:space="preserve"> à système de bouclier d</w:t>
            </w:r>
            <w:r w:rsidR="009D1055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’</w:t>
            </w:r>
            <w:r w:rsidRPr="0074357F">
              <w:rPr>
                <w:rFonts w:eastAsia="Times New Roman"/>
                <w:i/>
                <w:iCs/>
                <w:sz w:val="16"/>
                <w:szCs w:val="16"/>
                <w:lang w:val="fr-FR" w:eastAsia="fr-FR"/>
              </w:rPr>
              <w:t>impact</w:t>
            </w:r>
          </w:p>
        </w:tc>
      </w:tr>
      <w:tr w:rsidR="007E05B3" w:rsidRPr="0074357F" w14:paraId="4E9D99E9" w14:textId="77777777" w:rsidTr="004658C3">
        <w:trPr>
          <w:trHeight w:val="249"/>
        </w:trPr>
        <w:tc>
          <w:tcPr>
            <w:tcW w:w="660" w:type="dxa"/>
            <w:shd w:val="clear" w:color="auto" w:fill="auto"/>
            <w:noWrap/>
            <w:hideMark/>
          </w:tcPr>
          <w:p w14:paraId="479CF551" w14:textId="77777777" w:rsidR="007E05B3" w:rsidRPr="0074357F" w:rsidRDefault="007E05B3" w:rsidP="004658C3">
            <w:pPr>
              <w:suppressAutoHyphens w:val="0"/>
              <w:spacing w:before="40" w:after="40" w:line="220" w:lineRule="exact"/>
              <w:ind w:right="113"/>
              <w:rPr>
                <w:sz w:val="18"/>
                <w:szCs w:val="22"/>
                <w:lang w:val="fr-FR"/>
              </w:rPr>
            </w:pPr>
            <w:r w:rsidRPr="0074357F">
              <w:rPr>
                <w:sz w:val="18"/>
                <w:szCs w:val="22"/>
                <w:lang w:val="fr-FR"/>
              </w:rPr>
              <w:t>…</w:t>
            </w:r>
          </w:p>
        </w:tc>
        <w:tc>
          <w:tcPr>
            <w:tcW w:w="662" w:type="dxa"/>
            <w:shd w:val="clear" w:color="auto" w:fill="auto"/>
            <w:noWrap/>
            <w:hideMark/>
          </w:tcPr>
          <w:p w14:paraId="6B7C0335" w14:textId="77777777" w:rsidR="007E05B3" w:rsidRPr="0074357F" w:rsidRDefault="007E05B3" w:rsidP="004658C3">
            <w:pPr>
              <w:suppressAutoHyphens w:val="0"/>
              <w:spacing w:before="40" w:after="40" w:line="220" w:lineRule="exact"/>
              <w:ind w:right="113"/>
              <w:rPr>
                <w:sz w:val="18"/>
                <w:szCs w:val="22"/>
                <w:lang w:val="fr-FR"/>
              </w:rPr>
            </w:pPr>
            <w:r w:rsidRPr="0074357F">
              <w:rPr>
                <w:sz w:val="18"/>
                <w:szCs w:val="22"/>
                <w:lang w:val="fr-FR"/>
              </w:rPr>
              <w:t>…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14:paraId="0F93FFD8" w14:textId="77777777" w:rsidR="007E05B3" w:rsidRPr="0074357F" w:rsidRDefault="007E05B3" w:rsidP="004658C3">
            <w:pPr>
              <w:suppressAutoHyphens w:val="0"/>
              <w:spacing w:before="40" w:after="40" w:line="220" w:lineRule="exact"/>
              <w:ind w:right="113"/>
              <w:rPr>
                <w:sz w:val="18"/>
                <w:szCs w:val="22"/>
                <w:lang w:val="fr-FR"/>
              </w:rPr>
            </w:pPr>
            <w:r w:rsidRPr="0074357F">
              <w:rPr>
                <w:sz w:val="18"/>
                <w:szCs w:val="22"/>
                <w:lang w:val="fr-FR"/>
              </w:rPr>
              <w:t>…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14:paraId="3BCAB10C" w14:textId="77777777" w:rsidR="007E05B3" w:rsidRPr="0074357F" w:rsidRDefault="007E05B3" w:rsidP="004658C3">
            <w:pPr>
              <w:suppressAutoHyphens w:val="0"/>
              <w:spacing w:before="40" w:after="40" w:line="220" w:lineRule="exact"/>
              <w:ind w:right="113"/>
              <w:rPr>
                <w:sz w:val="18"/>
                <w:szCs w:val="22"/>
                <w:lang w:val="fr-FR"/>
              </w:rPr>
            </w:pPr>
            <w:r w:rsidRPr="0074357F">
              <w:rPr>
                <w:sz w:val="18"/>
                <w:szCs w:val="22"/>
                <w:lang w:val="fr-FR"/>
              </w:rPr>
              <w:t>…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14:paraId="69F7004F" w14:textId="77777777" w:rsidR="007E05B3" w:rsidRPr="0074357F" w:rsidRDefault="007E05B3" w:rsidP="004658C3">
            <w:pPr>
              <w:suppressAutoHyphens w:val="0"/>
              <w:spacing w:before="40" w:after="40" w:line="220" w:lineRule="exact"/>
              <w:ind w:right="113"/>
              <w:rPr>
                <w:sz w:val="18"/>
                <w:szCs w:val="22"/>
                <w:lang w:val="fr-FR"/>
              </w:rPr>
            </w:pPr>
            <w:r w:rsidRPr="0074357F">
              <w:rPr>
                <w:sz w:val="18"/>
                <w:szCs w:val="22"/>
                <w:lang w:val="fr-FR"/>
              </w:rPr>
              <w:t>…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14:paraId="43D3C691" w14:textId="77777777" w:rsidR="007E05B3" w:rsidRPr="0074357F" w:rsidRDefault="007E05B3" w:rsidP="004658C3">
            <w:pPr>
              <w:suppressAutoHyphens w:val="0"/>
              <w:spacing w:before="40" w:after="40" w:line="220" w:lineRule="exact"/>
              <w:ind w:right="113"/>
              <w:rPr>
                <w:sz w:val="18"/>
                <w:szCs w:val="22"/>
                <w:lang w:val="fr-FR"/>
              </w:rPr>
            </w:pPr>
            <w:r w:rsidRPr="0074357F">
              <w:rPr>
                <w:sz w:val="18"/>
                <w:szCs w:val="22"/>
                <w:lang w:val="fr-FR"/>
              </w:rPr>
              <w:t>…</w:t>
            </w:r>
          </w:p>
        </w:tc>
        <w:tc>
          <w:tcPr>
            <w:tcW w:w="207" w:type="dxa"/>
            <w:shd w:val="clear" w:color="auto" w:fill="auto"/>
            <w:vAlign w:val="bottom"/>
            <w:hideMark/>
          </w:tcPr>
          <w:p w14:paraId="2E7589C9" w14:textId="77777777" w:rsidR="007E05B3" w:rsidRPr="0074357F" w:rsidRDefault="007E05B3" w:rsidP="004658C3">
            <w:pPr>
              <w:suppressAutoHyphens w:val="0"/>
              <w:spacing w:before="40" w:after="40" w:line="220" w:lineRule="exact"/>
              <w:ind w:right="113"/>
              <w:jc w:val="right"/>
              <w:rPr>
                <w:sz w:val="18"/>
                <w:szCs w:val="22"/>
                <w:lang w:val="fr-FR"/>
              </w:rPr>
            </w:pPr>
            <w:r w:rsidRPr="0074357F">
              <w:rPr>
                <w:sz w:val="18"/>
                <w:szCs w:val="22"/>
                <w:lang w:val="fr-FR"/>
              </w:rPr>
              <w:t>…</w:t>
            </w:r>
          </w:p>
        </w:tc>
        <w:tc>
          <w:tcPr>
            <w:tcW w:w="3467" w:type="dxa"/>
            <w:shd w:val="clear" w:color="auto" w:fill="auto"/>
            <w:vAlign w:val="bottom"/>
            <w:hideMark/>
          </w:tcPr>
          <w:p w14:paraId="6E33A714" w14:textId="77777777" w:rsidR="007E05B3" w:rsidRPr="0074357F" w:rsidRDefault="007E05B3" w:rsidP="004658C3">
            <w:pPr>
              <w:suppressAutoHyphens w:val="0"/>
              <w:spacing w:before="40" w:after="40" w:line="220" w:lineRule="exact"/>
              <w:ind w:right="113"/>
              <w:jc w:val="right"/>
              <w:rPr>
                <w:sz w:val="18"/>
                <w:szCs w:val="22"/>
                <w:lang w:val="fr-FR"/>
              </w:rPr>
            </w:pPr>
          </w:p>
        </w:tc>
      </w:tr>
    </w:tbl>
    <w:p w14:paraId="0F264C00" w14:textId="7FF70FFD" w:rsidR="007E05B3" w:rsidRPr="0074357F" w:rsidRDefault="007E05B3" w:rsidP="007E05B3">
      <w:pPr>
        <w:pStyle w:val="Titre1"/>
        <w:spacing w:after="120"/>
        <w:rPr>
          <w:b/>
          <w:bCs/>
          <w:lang w:val="fr-FR" w:eastAsia="fr-FR"/>
        </w:rPr>
      </w:pPr>
      <w:r w:rsidRPr="0074357F">
        <w:rPr>
          <w:lang w:val="fr-FR" w:eastAsia="fr-FR"/>
        </w:rPr>
        <w:lastRenderedPageBreak/>
        <w:t>Figure</w:t>
      </w:r>
      <w:r w:rsidRPr="0074357F">
        <w:rPr>
          <w:bCs/>
          <w:lang w:val="fr-FR" w:eastAsia="fr-FR"/>
        </w:rPr>
        <w:t xml:space="preserve"> 2</w:t>
      </w:r>
      <w:r w:rsidRPr="0074357F">
        <w:rPr>
          <w:b/>
          <w:bCs/>
          <w:lang w:val="fr-FR" w:eastAsia="fr-FR"/>
        </w:rPr>
        <w:br/>
        <w:t>Dispositif de mesure d</w:t>
      </w:r>
      <w:r w:rsidR="009D1055">
        <w:rPr>
          <w:b/>
          <w:bCs/>
          <w:lang w:val="fr-FR" w:eastAsia="fr-FR"/>
        </w:rPr>
        <w:t>’</w:t>
      </w:r>
      <w:r w:rsidRPr="0074357F">
        <w:rPr>
          <w:b/>
          <w:bCs/>
          <w:lang w:val="fr-FR" w:eastAsia="fr-FR"/>
        </w:rPr>
        <w:t xml:space="preserve">un </w:t>
      </w:r>
      <w:r w:rsidRPr="00630057">
        <w:rPr>
          <w:b/>
          <w:bCs/>
          <w:lang w:val="fr-FR" w:eastAsia="fr-FR"/>
        </w:rPr>
        <w:t>système amélioré de retenue pour enfants</w:t>
      </w:r>
      <w:r w:rsidRPr="0074357F">
        <w:rPr>
          <w:b/>
          <w:bCs/>
          <w:lang w:val="fr-FR" w:eastAsia="fr-FR"/>
        </w:rPr>
        <w:t xml:space="preserve"> </w:t>
      </w:r>
      <w:r w:rsidRPr="0074357F">
        <w:rPr>
          <w:lang w:val="fr-FR"/>
        </w:rPr>
        <w:t>−</w:t>
      </w:r>
      <w:r w:rsidRPr="0074357F">
        <w:rPr>
          <w:b/>
          <w:bCs/>
          <w:lang w:val="fr-FR" w:eastAsia="fr-FR"/>
        </w:rPr>
        <w:t xml:space="preserve"> Vues latérale </w:t>
      </w:r>
      <w:r w:rsidR="006C1EBC">
        <w:rPr>
          <w:b/>
          <w:bCs/>
          <w:lang w:val="fr-FR" w:eastAsia="fr-FR"/>
        </w:rPr>
        <w:br/>
      </w:r>
      <w:r w:rsidRPr="0074357F">
        <w:rPr>
          <w:b/>
          <w:bCs/>
          <w:lang w:val="fr-FR" w:eastAsia="fr-FR"/>
        </w:rPr>
        <w:t>et frontale du</w:t>
      </w:r>
      <w:r w:rsidR="006C1EBC">
        <w:rPr>
          <w:b/>
          <w:bCs/>
          <w:lang w:val="fr-FR" w:eastAsia="fr-FR"/>
        </w:rPr>
        <w:t> </w:t>
      </w:r>
      <w:r w:rsidRPr="0074357F">
        <w:rPr>
          <w:b/>
          <w:bCs/>
          <w:lang w:val="fr-FR" w:eastAsia="fr-FR"/>
        </w:rPr>
        <w:t>dispositif de mesure</w:t>
      </w:r>
    </w:p>
    <w:p w14:paraId="4B3E52FF" w14:textId="77777777" w:rsidR="007E05B3" w:rsidRPr="0074357F" w:rsidRDefault="007E05B3" w:rsidP="007E05B3">
      <w:pPr>
        <w:pStyle w:val="SingleTxtG"/>
        <w:rPr>
          <w:lang w:val="fr-FR"/>
        </w:rPr>
      </w:pPr>
      <w:r w:rsidRPr="0074357F">
        <w:rPr>
          <w:noProof/>
          <w:lang w:val="fr-FR" w:eastAsia="fr-FR"/>
        </w:rPr>
        <w:drawing>
          <wp:inline distT="0" distB="0" distL="0" distR="0" wp14:anchorId="0E11AEF0" wp14:editId="5770F485">
            <wp:extent cx="4286250" cy="3190875"/>
            <wp:effectExtent l="0" t="0" r="0" b="9525"/>
            <wp:docPr id="74" name="Picture 2" descr="http://srace2:8080/race_assets/image/uk/reg129/201638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71" descr="http://srace2:8080/race_assets/image/uk/reg129/201638_1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E6EA" w14:textId="77777777" w:rsidR="007E05B3" w:rsidRPr="0074357F" w:rsidRDefault="007E05B3" w:rsidP="007E05B3">
      <w:pPr>
        <w:pStyle w:val="SingleTxtG"/>
        <w:rPr>
          <w:lang w:val="fr-FR" w:eastAsia="fr-FR"/>
        </w:rPr>
      </w:pPr>
      <w:r w:rsidRPr="0074357F">
        <w:rPr>
          <w:lang w:val="fr-FR" w:eastAsia="fr-FR"/>
        </w:rPr>
        <w:t>Toutes les dimensions sont en mm</w:t>
      </w:r>
    </w:p>
    <w:p w14:paraId="57617686" w14:textId="442D67AD" w:rsidR="007E05B3" w:rsidRPr="0074357F" w:rsidRDefault="007E05B3" w:rsidP="007E05B3">
      <w:pPr>
        <w:pStyle w:val="Titre1"/>
        <w:rPr>
          <w:b/>
          <w:lang w:val="fr-FR" w:eastAsia="fr-FR"/>
        </w:rPr>
      </w:pPr>
      <w:r w:rsidRPr="0074357F">
        <w:rPr>
          <w:lang w:val="fr-FR" w:eastAsia="fr-FR"/>
        </w:rPr>
        <w:t xml:space="preserve">Figure 3 </w:t>
      </w:r>
      <w:r w:rsidRPr="0074357F">
        <w:rPr>
          <w:b/>
          <w:lang w:val="fr-FR" w:eastAsia="fr-FR"/>
        </w:rPr>
        <w:br/>
        <w:t>Dispositif de mesure d</w:t>
      </w:r>
      <w:r w:rsidR="009D1055">
        <w:rPr>
          <w:b/>
          <w:lang w:val="fr-FR" w:eastAsia="fr-FR"/>
        </w:rPr>
        <w:t>’</w:t>
      </w:r>
      <w:r w:rsidRPr="0074357F">
        <w:rPr>
          <w:b/>
          <w:lang w:val="fr-FR" w:eastAsia="fr-FR"/>
        </w:rPr>
        <w:t xml:space="preserve">un </w:t>
      </w:r>
      <w:r w:rsidRPr="001A4879">
        <w:rPr>
          <w:b/>
          <w:lang w:val="fr-FR" w:eastAsia="fr-FR"/>
        </w:rPr>
        <w:t>système amélioré de retenue pour enfants</w:t>
      </w:r>
      <w:r>
        <w:rPr>
          <w:b/>
          <w:lang w:val="fr-FR" w:eastAsia="fr-FR"/>
        </w:rPr>
        <w:t xml:space="preserve"> </w:t>
      </w:r>
      <w:r w:rsidR="006C1EBC">
        <w:rPr>
          <w:b/>
          <w:lang w:val="fr-FR" w:eastAsia="fr-FR"/>
        </w:rPr>
        <w:br/>
      </w:r>
      <w:r w:rsidRPr="0074357F">
        <w:rPr>
          <w:b/>
          <w:lang w:val="fr-FR" w:eastAsia="fr-FR"/>
        </w:rPr>
        <w:t>à bouclier d</w:t>
      </w:r>
      <w:r w:rsidR="009D1055">
        <w:rPr>
          <w:b/>
          <w:lang w:val="fr-FR" w:eastAsia="fr-FR"/>
        </w:rPr>
        <w:t>’</w:t>
      </w:r>
      <w:r w:rsidRPr="0074357F">
        <w:rPr>
          <w:b/>
          <w:lang w:val="fr-FR" w:eastAsia="fr-FR"/>
        </w:rPr>
        <w:t xml:space="preserve">impact </w:t>
      </w:r>
      <w:r w:rsidRPr="0074357F">
        <w:rPr>
          <w:lang w:val="fr-FR"/>
        </w:rPr>
        <w:t>−</w:t>
      </w:r>
      <w:r w:rsidRPr="0074357F">
        <w:rPr>
          <w:b/>
          <w:lang w:val="fr-FR" w:eastAsia="fr-FR"/>
        </w:rPr>
        <w:t xml:space="preserve"> Vues latérale et frontale du dispositif de mesure</w:t>
      </w:r>
    </w:p>
    <w:tbl>
      <w:tblPr>
        <w:tblStyle w:val="Grilledutableau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9"/>
        <w:gridCol w:w="4870"/>
      </w:tblGrid>
      <w:tr w:rsidR="007E05B3" w:rsidRPr="0074357F" w14:paraId="121B698E" w14:textId="77777777" w:rsidTr="004658C3">
        <w:tc>
          <w:tcPr>
            <w:tcW w:w="4769" w:type="dxa"/>
            <w:hideMark/>
          </w:tcPr>
          <w:p w14:paraId="510CD283" w14:textId="77777777" w:rsidR="007E05B3" w:rsidRPr="0074357F" w:rsidRDefault="007E05B3" w:rsidP="004658C3">
            <w:pPr>
              <w:pStyle w:val="SingleTxtG"/>
            </w:pPr>
            <w:r w:rsidRPr="0074357F">
              <w:rPr>
                <w:noProof/>
                <w:lang w:eastAsia="zh-CN"/>
              </w:rPr>
              <w:drawing>
                <wp:inline distT="0" distB="0" distL="0" distR="0" wp14:anchorId="23616929" wp14:editId="6B0C1160">
                  <wp:extent cx="2209800" cy="3086100"/>
                  <wp:effectExtent l="0" t="0" r="0" b="0"/>
                  <wp:docPr id="3855" name="Picture 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hideMark/>
          </w:tcPr>
          <w:p w14:paraId="73F4D1A4" w14:textId="77777777" w:rsidR="007E05B3" w:rsidRPr="0074357F" w:rsidRDefault="007E05B3" w:rsidP="004658C3">
            <w:pPr>
              <w:pStyle w:val="SingleTxtG"/>
            </w:pPr>
            <w:r w:rsidRPr="0074357F">
              <w:rPr>
                <w:noProof/>
                <w:lang w:eastAsia="zh-CN"/>
              </w:rPr>
              <w:drawing>
                <wp:inline distT="0" distB="0" distL="0" distR="0" wp14:anchorId="490374A7" wp14:editId="249F1059">
                  <wp:extent cx="2371725" cy="3219450"/>
                  <wp:effectExtent l="0" t="0" r="9525" b="0"/>
                  <wp:docPr id="3856" name="Picture 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AD327F" w14:textId="77777777" w:rsidR="007E05B3" w:rsidRPr="0074357F" w:rsidRDefault="007E05B3" w:rsidP="006C1EBC">
      <w:pPr>
        <w:pStyle w:val="SingleTxtG"/>
        <w:tabs>
          <w:tab w:val="left" w:pos="4253"/>
        </w:tabs>
        <w:jc w:val="center"/>
        <w:rPr>
          <w:szCs w:val="24"/>
          <w:lang w:val="fr-FR" w:eastAsia="fr-FR"/>
        </w:rPr>
      </w:pPr>
      <w:r w:rsidRPr="0074357F">
        <w:rPr>
          <w:noProof/>
          <w:lang w:val="fr-FR" w:eastAsia="zh-CN"/>
        </w:rPr>
        <w:lastRenderedPageBreak/>
        <w:drawing>
          <wp:inline distT="0" distB="0" distL="0" distR="0" wp14:anchorId="0542EC78" wp14:editId="73766BAB">
            <wp:extent cx="2705100" cy="1905000"/>
            <wp:effectExtent l="0" t="0" r="0" b="0"/>
            <wp:docPr id="3857" name="Picture 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6F7AB" w14:textId="77777777" w:rsidR="007E05B3" w:rsidRPr="0074357F" w:rsidRDefault="007E05B3" w:rsidP="007E05B3">
      <w:pPr>
        <w:pStyle w:val="SingleTxtG"/>
        <w:rPr>
          <w:b/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 xml:space="preserve">Toutes les </w:t>
      </w:r>
      <w:r w:rsidRPr="0074357F">
        <w:rPr>
          <w:lang w:val="fr-FR" w:eastAsia="fr-FR"/>
        </w:rPr>
        <w:t>dimensions</w:t>
      </w:r>
      <w:r w:rsidRPr="0074357F">
        <w:rPr>
          <w:szCs w:val="24"/>
          <w:lang w:val="fr-FR" w:eastAsia="fr-FR"/>
        </w:rPr>
        <w:t xml:space="preserve"> sont en mm</w:t>
      </w:r>
    </w:p>
    <w:p w14:paraId="22084A8B" w14:textId="7E78E02C" w:rsidR="007E05B3" w:rsidRPr="0074357F" w:rsidRDefault="007E05B3" w:rsidP="007E05B3">
      <w:pPr>
        <w:pStyle w:val="SingleTxtG"/>
        <w:rPr>
          <w:lang w:val="fr-FR" w:eastAsia="fr-FR"/>
        </w:rPr>
      </w:pPr>
      <w:r w:rsidRPr="0074357F">
        <w:rPr>
          <w:lang w:val="fr-FR" w:eastAsia="fr-FR"/>
        </w:rPr>
        <w:t>Méthode d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évaluation des dimensions internes</w:t>
      </w:r>
    </w:p>
    <w:p w14:paraId="33206DCB" w14:textId="057FCA60" w:rsidR="007E05B3" w:rsidRPr="0074357F" w:rsidRDefault="007E05B3" w:rsidP="007E05B3">
      <w:pPr>
        <w:pStyle w:val="SingleTxtG"/>
        <w:rPr>
          <w:lang w:val="fr-FR" w:eastAsia="fr-FR"/>
        </w:rPr>
      </w:pPr>
      <w:r w:rsidRPr="0074357F">
        <w:rPr>
          <w:lang w:val="fr-FR" w:eastAsia="fr-FR"/>
        </w:rPr>
        <w:t>Cette méthode décrit la manière de procéder à 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 xml:space="preserve">évaluation des dimensions internes, comme prescrit au paragraphe 6.3.2.1, pour vérifier la gamme de taille du </w:t>
      </w:r>
      <w:r>
        <w:rPr>
          <w:lang w:val="fr-FR" w:eastAsia="fr-FR"/>
        </w:rPr>
        <w:t>système</w:t>
      </w:r>
      <w:r w:rsidRPr="0074357F">
        <w:rPr>
          <w:lang w:val="fr-FR" w:eastAsia="fr-FR"/>
        </w:rPr>
        <w:t xml:space="preserve"> amélioré de retenue pour enfants déclarée par le fabricant.</w:t>
      </w:r>
    </w:p>
    <w:p w14:paraId="7E20E088" w14:textId="77777777" w:rsidR="007E05B3" w:rsidRPr="0074357F" w:rsidRDefault="007E05B3" w:rsidP="007E05B3">
      <w:pPr>
        <w:pStyle w:val="SingleTxtG"/>
        <w:rPr>
          <w:lang w:val="fr-FR" w:eastAsia="fr-FR"/>
        </w:rPr>
      </w:pPr>
      <w:r w:rsidRPr="0074357F">
        <w:rPr>
          <w:lang w:val="fr-FR" w:eastAsia="fr-FR"/>
        </w:rPr>
        <w:t>Cette évaluation doit être effectuée pour chacun des cas suivants :</w:t>
      </w:r>
    </w:p>
    <w:p w14:paraId="4E52AECD" w14:textId="308C1ADA" w:rsidR="007E05B3" w:rsidRPr="0074357F" w:rsidRDefault="007E05B3" w:rsidP="007E05B3">
      <w:pPr>
        <w:pStyle w:val="SingleTxtG"/>
        <w:ind w:left="1701" w:hanging="567"/>
        <w:rPr>
          <w:lang w:val="fr-FR" w:eastAsia="fr-FR"/>
        </w:rPr>
      </w:pPr>
      <w:r w:rsidRPr="0074357F">
        <w:rPr>
          <w:lang w:val="fr-FR" w:eastAsia="fr-FR"/>
        </w:rPr>
        <w:t>a)</w:t>
      </w:r>
      <w:r w:rsidRPr="0074357F">
        <w:rPr>
          <w:lang w:val="fr-FR" w:eastAsia="fr-FR"/>
        </w:rPr>
        <w:tab/>
        <w:t xml:space="preserve">Pour chaque orientation du </w:t>
      </w:r>
      <w:r w:rsidRPr="00D86ACE">
        <w:rPr>
          <w:lang w:val="fr-FR" w:eastAsia="fr-FR"/>
        </w:rPr>
        <w:t>système amélioré de retenue pour enfants</w:t>
      </w:r>
      <w:r w:rsidRPr="0074357F">
        <w:rPr>
          <w:lang w:val="fr-FR" w:eastAsia="fr-FR"/>
        </w:rPr>
        <w:t xml:space="preserve"> (par exemple face vers 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arrière et face vers 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avant) ;</w:t>
      </w:r>
    </w:p>
    <w:p w14:paraId="5508CFCE" w14:textId="77777777" w:rsidR="007E05B3" w:rsidRPr="0074357F" w:rsidRDefault="007E05B3" w:rsidP="007E05B3">
      <w:pPr>
        <w:pStyle w:val="SingleTxtG"/>
        <w:ind w:left="1701" w:hanging="567"/>
        <w:rPr>
          <w:lang w:val="fr-FR" w:eastAsia="fr-FR"/>
        </w:rPr>
      </w:pPr>
      <w:r w:rsidRPr="0074357F">
        <w:rPr>
          <w:lang w:val="fr-FR" w:eastAsia="fr-FR"/>
        </w:rPr>
        <w:t>b)</w:t>
      </w:r>
      <w:r w:rsidRPr="0074357F">
        <w:rPr>
          <w:lang w:val="fr-FR" w:eastAsia="fr-FR"/>
        </w:rPr>
        <w:tab/>
        <w:t xml:space="preserve">Pour chaque type de </w:t>
      </w:r>
      <w:r w:rsidRPr="000D4DD0">
        <w:rPr>
          <w:lang w:val="fr-FR" w:eastAsia="fr-FR"/>
        </w:rPr>
        <w:t>système amélioré de retenue pour enfants</w:t>
      </w:r>
      <w:r w:rsidRPr="0074357F">
        <w:rPr>
          <w:lang w:val="fr-FR" w:eastAsia="fr-FR"/>
        </w:rPr>
        <w:t xml:space="preserve"> (par exemple, intégral et non intégral) ;</w:t>
      </w:r>
    </w:p>
    <w:p w14:paraId="4E18E9CD" w14:textId="77777777" w:rsidR="007E05B3" w:rsidRPr="0074357F" w:rsidRDefault="007E05B3" w:rsidP="007E05B3">
      <w:pPr>
        <w:pStyle w:val="SingleTxtG"/>
        <w:ind w:left="1701" w:hanging="567"/>
        <w:rPr>
          <w:lang w:val="fr-FR" w:eastAsia="fr-FR"/>
        </w:rPr>
      </w:pPr>
      <w:r w:rsidRPr="0074357F">
        <w:rPr>
          <w:lang w:val="fr-FR" w:eastAsia="fr-FR"/>
        </w:rPr>
        <w:t>c)</w:t>
      </w:r>
      <w:r w:rsidRPr="0074357F">
        <w:rPr>
          <w:lang w:val="fr-FR" w:eastAsia="fr-FR"/>
        </w:rPr>
        <w:tab/>
        <w:t>Pour tout type de module amovible (par exemple pour une utilisation conforme aux instructions du constructeur) ;</w:t>
      </w:r>
    </w:p>
    <w:p w14:paraId="2CCE40C1" w14:textId="77777777" w:rsidR="007E05B3" w:rsidRPr="0074357F" w:rsidRDefault="007E05B3" w:rsidP="007E05B3">
      <w:pPr>
        <w:pStyle w:val="SingleTxtG"/>
        <w:ind w:left="1701" w:hanging="567"/>
        <w:rPr>
          <w:lang w:val="fr-FR" w:eastAsia="fr-FR"/>
        </w:rPr>
      </w:pPr>
      <w:r w:rsidRPr="0074357F">
        <w:rPr>
          <w:lang w:val="fr-FR" w:eastAsia="fr-FR"/>
        </w:rPr>
        <w:t>d)</w:t>
      </w:r>
      <w:r w:rsidRPr="0074357F">
        <w:rPr>
          <w:lang w:val="fr-FR" w:eastAsia="fr-FR"/>
        </w:rPr>
        <w:tab/>
        <w:t>Pour chaque moyen de retenue des occupants (par exemple harnais ou bouclier).</w:t>
      </w:r>
    </w:p>
    <w:p w14:paraId="7F96F970" w14:textId="2EF82C69" w:rsidR="007E05B3" w:rsidRPr="0074357F" w:rsidRDefault="007E05B3" w:rsidP="007E05B3">
      <w:pPr>
        <w:pStyle w:val="SingleTxtG"/>
        <w:rPr>
          <w:lang w:val="fr-FR" w:eastAsia="fr-FR"/>
        </w:rPr>
      </w:pPr>
      <w:r w:rsidRPr="0074357F">
        <w:rPr>
          <w:lang w:val="fr-FR" w:eastAsia="fr-FR"/>
        </w:rPr>
        <w:t>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 xml:space="preserve">évaluation des dimensions internes doit être effectuée avec le </w:t>
      </w:r>
      <w:r w:rsidRPr="00DD67DB">
        <w:rPr>
          <w:lang w:val="fr-FR" w:eastAsia="fr-FR"/>
        </w:rPr>
        <w:t>système amélioré de retenue pour enfants</w:t>
      </w:r>
      <w:r w:rsidRPr="0074357F">
        <w:rPr>
          <w:lang w:val="fr-FR" w:eastAsia="fr-FR"/>
        </w:rPr>
        <w:t xml:space="preserve"> placé sur une surface plane ou attaché à une base stable dans le cas de modules. </w:t>
      </w:r>
    </w:p>
    <w:p w14:paraId="5DEC28E9" w14:textId="1C5A6CA4" w:rsidR="007E05B3" w:rsidRPr="0074357F" w:rsidRDefault="007E05B3" w:rsidP="007E05B3">
      <w:pPr>
        <w:pStyle w:val="SingleTxtG"/>
        <w:rPr>
          <w:lang w:val="fr-FR" w:eastAsia="fr-FR"/>
        </w:rPr>
      </w:pPr>
      <w:r w:rsidRPr="0074357F">
        <w:rPr>
          <w:lang w:val="fr-FR" w:eastAsia="fr-FR"/>
        </w:rPr>
        <w:t xml:space="preserve">Pour les </w:t>
      </w:r>
      <w:r w:rsidRPr="003C6EB8">
        <w:rPr>
          <w:lang w:val="fr-FR" w:eastAsia="fr-FR"/>
        </w:rPr>
        <w:t>systèmes améliorés de retenue pour enfants</w:t>
      </w:r>
      <w:r w:rsidRPr="0074357F">
        <w:rPr>
          <w:lang w:val="fr-FR" w:eastAsia="fr-FR"/>
        </w:rPr>
        <w:t xml:space="preserve"> intégraux ou non intégraux, le dispositif décrit à la figure 2 de 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annexe 18 doit être utilisé</w:t>
      </w:r>
    </w:p>
    <w:p w14:paraId="47EA49C9" w14:textId="73A76E6B" w:rsidR="007E05B3" w:rsidRPr="0074357F" w:rsidRDefault="007E05B3" w:rsidP="007E05B3">
      <w:pPr>
        <w:pStyle w:val="SingleTxtG"/>
        <w:rPr>
          <w:lang w:val="fr-FR" w:eastAsia="fr-FR"/>
        </w:rPr>
      </w:pPr>
      <w:r w:rsidRPr="0074357F">
        <w:rPr>
          <w:lang w:val="fr-FR" w:eastAsia="fr-FR"/>
        </w:rPr>
        <w:t xml:space="preserve">Pour les </w:t>
      </w:r>
      <w:r w:rsidRPr="00DD67DB">
        <w:rPr>
          <w:lang w:val="fr-FR" w:eastAsia="fr-FR"/>
        </w:rPr>
        <w:t>systèmes améliorés de retenue pour enfants</w:t>
      </w:r>
      <w:r w:rsidRPr="0074357F">
        <w:rPr>
          <w:lang w:val="fr-FR" w:eastAsia="fr-FR"/>
        </w:rPr>
        <w:t xml:space="preserve"> avec bouclier d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impact, le dispositif décrit à la figure 3 de 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annexe 18 doit être utilisé.</w:t>
      </w:r>
    </w:p>
    <w:p w14:paraId="021D8761" w14:textId="77777777" w:rsidR="007E05B3" w:rsidRPr="0074357F" w:rsidRDefault="007E05B3" w:rsidP="007E05B3">
      <w:pPr>
        <w:pStyle w:val="SingleTxtG"/>
        <w:rPr>
          <w:lang w:val="fr-FR" w:eastAsia="fr-FR"/>
        </w:rPr>
      </w:pPr>
      <w:r w:rsidRPr="0074357F">
        <w:rPr>
          <w:lang w:val="fr-FR" w:eastAsia="fr-FR"/>
        </w:rPr>
        <w:t>La masse des dispositifs décrits à la figure 2 et à la figure 3 doit être de 10 ± 1 kg.</w:t>
      </w:r>
    </w:p>
    <w:p w14:paraId="41DF422B" w14:textId="77777777" w:rsidR="007E05B3" w:rsidRPr="0074357F" w:rsidRDefault="007E05B3" w:rsidP="007E05B3">
      <w:pPr>
        <w:pStyle w:val="SingleTxtG"/>
        <w:ind w:left="2268" w:hanging="1134"/>
        <w:rPr>
          <w:lang w:val="fr-FR" w:eastAsia="fr-FR"/>
        </w:rPr>
      </w:pPr>
      <w:r w:rsidRPr="0074357F">
        <w:rPr>
          <w:lang w:val="fr-FR" w:eastAsia="fr-FR"/>
        </w:rPr>
        <w:t>1.</w:t>
      </w:r>
      <w:r w:rsidRPr="0074357F">
        <w:rPr>
          <w:lang w:val="fr-FR" w:eastAsia="fr-FR"/>
        </w:rPr>
        <w:tab/>
        <w:t>Détermination de la taille minimale des occupants</w:t>
      </w:r>
    </w:p>
    <w:p w14:paraId="2CFA52BA" w14:textId="4FCB94D8" w:rsidR="007E05B3" w:rsidRPr="0074357F" w:rsidRDefault="007E05B3" w:rsidP="007E05B3">
      <w:pPr>
        <w:pStyle w:val="SingleTxtG"/>
        <w:ind w:left="2268"/>
        <w:rPr>
          <w:lang w:val="fr-FR" w:eastAsia="fr-FR"/>
        </w:rPr>
      </w:pPr>
      <w:r w:rsidRPr="0074357F">
        <w:rPr>
          <w:lang w:val="fr-FR" w:eastAsia="fr-FR"/>
        </w:rPr>
        <w:t xml:space="preserve">Le </w:t>
      </w:r>
      <w:r w:rsidRPr="00DD67DB">
        <w:rPr>
          <w:lang w:val="fr-FR" w:eastAsia="fr-FR"/>
        </w:rPr>
        <w:t>système amélioré de retenue pour enfants</w:t>
      </w:r>
      <w:r w:rsidRPr="0074357F">
        <w:rPr>
          <w:lang w:val="fr-FR" w:eastAsia="fr-FR"/>
        </w:rPr>
        <w:t xml:space="preserve"> doit être réglé pour recevoir le plus petit occupant (réglage en hauteur des appuie-tête, réglage de la hauteur du harnais, utilisation du module approprié, rembourrage interne, position du bouclier d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impact), tout en demeurant à 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intérieur de 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enveloppe volumétrique ISO telle que définie au paragraphe 6.3.2.2.</w:t>
      </w:r>
    </w:p>
    <w:p w14:paraId="1A4471A7" w14:textId="1155A456" w:rsidR="007E05B3" w:rsidRPr="0074357F" w:rsidRDefault="007E05B3" w:rsidP="007E05B3">
      <w:pPr>
        <w:pStyle w:val="SingleTxtG"/>
        <w:ind w:left="2268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 xml:space="preserve">Le dispositif de mesure doit ensuite </w:t>
      </w:r>
      <w:r w:rsidRPr="0074357F">
        <w:rPr>
          <w:lang w:val="fr-FR" w:eastAsia="fr-FR"/>
        </w:rPr>
        <w:t>être</w:t>
      </w:r>
      <w:r w:rsidRPr="0074357F">
        <w:rPr>
          <w:szCs w:val="24"/>
          <w:lang w:val="fr-FR" w:eastAsia="fr-FR"/>
        </w:rPr>
        <w:t xml:space="preserve"> installé dans le </w:t>
      </w:r>
      <w:r w:rsidRPr="00DD67DB">
        <w:rPr>
          <w:lang w:val="fr-FR" w:eastAsia="fr-FR"/>
        </w:rPr>
        <w:t>système amélioré de retenue pour enfants</w:t>
      </w:r>
      <w:r w:rsidRPr="0074357F">
        <w:rPr>
          <w:szCs w:val="24"/>
          <w:lang w:val="fr-FR" w:eastAsia="fr-FR"/>
        </w:rPr>
        <w:t>. Il doit être aligné sur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 xml:space="preserve">axe médian du </w:t>
      </w:r>
      <w:r>
        <w:rPr>
          <w:szCs w:val="24"/>
          <w:lang w:val="fr-FR" w:eastAsia="fr-FR"/>
        </w:rPr>
        <w:t>système</w:t>
      </w:r>
      <w:r w:rsidRPr="0074357F">
        <w:rPr>
          <w:szCs w:val="24"/>
          <w:lang w:val="fr-FR" w:eastAsia="fr-FR"/>
        </w:rPr>
        <w:t>.</w:t>
      </w:r>
    </w:p>
    <w:p w14:paraId="4EC8E377" w14:textId="75E0BA48" w:rsidR="007E05B3" w:rsidRPr="0074357F" w:rsidRDefault="007E05B3" w:rsidP="007E05B3">
      <w:pPr>
        <w:pStyle w:val="SingleTxtG"/>
        <w:ind w:left="2268"/>
        <w:rPr>
          <w:szCs w:val="24"/>
          <w:lang w:val="fr-FR" w:eastAsia="fr-FR"/>
        </w:rPr>
      </w:pPr>
      <w:bookmarkStart w:id="4" w:name="_Hlk17965250"/>
      <w:r w:rsidRPr="0074357F">
        <w:rPr>
          <w:szCs w:val="24"/>
          <w:lang w:val="fr-FR" w:eastAsia="fr-FR"/>
        </w:rPr>
        <w:t xml:space="preserve">Toutes les mesures doivent être </w:t>
      </w:r>
      <w:r w:rsidRPr="0074357F">
        <w:rPr>
          <w:lang w:val="fr-FR" w:eastAsia="fr-FR"/>
        </w:rPr>
        <w:t>prises</w:t>
      </w:r>
      <w:r w:rsidRPr="0074357F">
        <w:rPr>
          <w:szCs w:val="24"/>
          <w:lang w:val="fr-FR" w:eastAsia="fr-FR"/>
        </w:rPr>
        <w:t xml:space="preserve"> avec la base du dispositif reposant sur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 xml:space="preserve">assise du </w:t>
      </w:r>
      <w:r w:rsidRPr="00DD67DB">
        <w:rPr>
          <w:lang w:val="fr-FR" w:eastAsia="fr-FR"/>
        </w:rPr>
        <w:t>système amélioré de retenue pour enfants</w:t>
      </w:r>
      <w:r w:rsidRPr="0074357F">
        <w:rPr>
          <w:szCs w:val="24"/>
          <w:lang w:val="fr-FR" w:eastAsia="fr-FR"/>
        </w:rPr>
        <w:t xml:space="preserve"> et le dossier du dispositif en contact avec le dossier du </w:t>
      </w:r>
      <w:r>
        <w:rPr>
          <w:szCs w:val="24"/>
          <w:lang w:val="fr-FR" w:eastAsia="fr-FR"/>
        </w:rPr>
        <w:t>système</w:t>
      </w:r>
      <w:r w:rsidRPr="0074357F">
        <w:rPr>
          <w:szCs w:val="24"/>
          <w:lang w:val="fr-FR" w:eastAsia="fr-FR"/>
        </w:rPr>
        <w:t>. Toutes les dimensions latérales doivent être mesurées sous une force de 50 N avec les dispositifs décrits à la figure 2 et à la figure 3 de la présente annexe.</w:t>
      </w:r>
    </w:p>
    <w:bookmarkEnd w:id="4"/>
    <w:p w14:paraId="0BCB373B" w14:textId="475A5192" w:rsidR="007E05B3" w:rsidRPr="0074357F" w:rsidRDefault="007E05B3" w:rsidP="007E05B3">
      <w:pPr>
        <w:pStyle w:val="SingleTxtG"/>
        <w:ind w:left="2268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 xml:space="preserve">Les mesures doivent être effectuées dans </w:t>
      </w:r>
      <w:r w:rsidRPr="0074357F">
        <w:rPr>
          <w:lang w:val="fr-FR" w:eastAsia="fr-FR"/>
        </w:rPr>
        <w:t>l</w:t>
      </w:r>
      <w:r w:rsidR="009D1055">
        <w:rPr>
          <w:lang w:val="fr-FR" w:eastAsia="fr-FR"/>
        </w:rPr>
        <w:t>’</w:t>
      </w:r>
      <w:r w:rsidRPr="0074357F">
        <w:rPr>
          <w:lang w:val="fr-FR" w:eastAsia="fr-FR"/>
        </w:rPr>
        <w:t>ordre</w:t>
      </w:r>
      <w:r w:rsidRPr="0074357F">
        <w:rPr>
          <w:szCs w:val="24"/>
          <w:lang w:val="fr-FR" w:eastAsia="fr-FR"/>
        </w:rPr>
        <w:t xml:space="preserve"> suivant :</w:t>
      </w:r>
    </w:p>
    <w:p w14:paraId="0E129499" w14:textId="77777777" w:rsidR="007E05B3" w:rsidRPr="0074357F" w:rsidRDefault="007E05B3" w:rsidP="007E05B3">
      <w:pPr>
        <w:pStyle w:val="SingleTxtG"/>
        <w:ind w:left="2268" w:hanging="1134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1.1.</w:t>
      </w:r>
      <w:r w:rsidRPr="0074357F">
        <w:rPr>
          <w:szCs w:val="24"/>
          <w:lang w:val="fr-FR" w:eastAsia="fr-FR"/>
        </w:rPr>
        <w:tab/>
        <w:t xml:space="preserve">Hauteur </w:t>
      </w:r>
      <w:r w:rsidRPr="0074357F">
        <w:rPr>
          <w:lang w:val="fr-FR" w:eastAsia="fr-FR"/>
        </w:rPr>
        <w:t>minimale</w:t>
      </w:r>
      <w:r w:rsidRPr="0074357F">
        <w:rPr>
          <w:szCs w:val="24"/>
          <w:lang w:val="fr-FR" w:eastAsia="fr-FR"/>
        </w:rPr>
        <w:t xml:space="preserve"> aux épaules (E1)</w:t>
      </w:r>
    </w:p>
    <w:p w14:paraId="79DB73F7" w14:textId="77777777" w:rsidR="007E05B3" w:rsidRPr="0074357F" w:rsidRDefault="007E05B3" w:rsidP="007E05B3">
      <w:pPr>
        <w:pStyle w:val="SingleTxtG"/>
        <w:ind w:left="2268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…</w:t>
      </w:r>
    </w:p>
    <w:p w14:paraId="72FCC862" w14:textId="77777777" w:rsidR="007E05B3" w:rsidRPr="0074357F" w:rsidRDefault="007E05B3" w:rsidP="007E05B3">
      <w:pPr>
        <w:pStyle w:val="SingleTxtG"/>
        <w:keepNext/>
        <w:ind w:left="2268" w:hanging="1134"/>
        <w:rPr>
          <w:szCs w:val="24"/>
          <w:lang w:val="fr-FR" w:eastAsia="fr-FR"/>
        </w:rPr>
      </w:pPr>
      <w:bookmarkStart w:id="5" w:name="_Hlk17194594"/>
      <w:r w:rsidRPr="0074357F">
        <w:rPr>
          <w:szCs w:val="24"/>
          <w:lang w:val="fr-FR" w:eastAsia="fr-FR"/>
        </w:rPr>
        <w:lastRenderedPageBreak/>
        <w:t>1.1.2.</w:t>
      </w:r>
      <w:r w:rsidRPr="0074357F">
        <w:rPr>
          <w:szCs w:val="24"/>
          <w:lang w:val="fr-FR" w:eastAsia="fr-FR"/>
        </w:rPr>
        <w:tab/>
      </w:r>
      <w:r w:rsidRPr="0074357F">
        <w:rPr>
          <w:szCs w:val="24"/>
          <w:lang w:val="fr-FR" w:eastAsia="fr-FR"/>
        </w:rPr>
        <w:tab/>
        <w:t xml:space="preserve">Pour un </w:t>
      </w:r>
      <w:r w:rsidRPr="007F149E">
        <w:rPr>
          <w:szCs w:val="24"/>
          <w:lang w:val="fr-FR" w:eastAsia="fr-FR"/>
        </w:rPr>
        <w:t>système amélioré de retenue pour enfants</w:t>
      </w:r>
      <w:r w:rsidRPr="0074357F">
        <w:rPr>
          <w:szCs w:val="24"/>
          <w:lang w:val="fr-FR" w:eastAsia="fr-FR"/>
        </w:rPr>
        <w:t xml:space="preserve"> de classe non </w:t>
      </w:r>
      <w:r w:rsidRPr="0074357F">
        <w:rPr>
          <w:lang w:val="fr-FR" w:eastAsia="fr-FR"/>
        </w:rPr>
        <w:t>intégrale</w:t>
      </w:r>
    </w:p>
    <w:p w14:paraId="66A048F7" w14:textId="40865B44" w:rsidR="007E05B3" w:rsidRPr="0074357F" w:rsidRDefault="007E05B3" w:rsidP="007E05B3">
      <w:pPr>
        <w:pStyle w:val="SingleTxtG"/>
        <w:keepNext/>
        <w:ind w:left="2268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Cette mesure doit être effectuée lorsque le sommet des cylindres de hauteur des épaules est aligné sans interférence avec la partie la plus basse de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>appuie-tête. Une tolérance de 2 cm peut être déduite de la mesure de la hauteur minimale aux épaules.</w:t>
      </w:r>
    </w:p>
    <w:bookmarkEnd w:id="5"/>
    <w:p w14:paraId="2E1C2531" w14:textId="404157D8" w:rsidR="007E05B3" w:rsidRPr="0074357F" w:rsidRDefault="007E05B3" w:rsidP="007E05B3">
      <w:pPr>
        <w:pStyle w:val="SingleTxtG"/>
        <w:ind w:left="2268" w:hanging="1134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1.1.3.</w:t>
      </w:r>
      <w:r w:rsidRPr="0074357F">
        <w:rPr>
          <w:szCs w:val="24"/>
          <w:lang w:val="fr-FR" w:eastAsia="fr-FR"/>
        </w:rPr>
        <w:tab/>
      </w:r>
      <w:r w:rsidRPr="0074357F">
        <w:rPr>
          <w:szCs w:val="24"/>
          <w:lang w:val="fr-FR" w:eastAsia="fr-FR"/>
        </w:rPr>
        <w:tab/>
        <w:t xml:space="preserve">Pour un </w:t>
      </w:r>
      <w:r w:rsidRPr="00DD67DB">
        <w:rPr>
          <w:lang w:val="fr-FR" w:eastAsia="fr-FR"/>
        </w:rPr>
        <w:t>système amélioré de retenue pour enfants</w:t>
      </w:r>
      <w:r w:rsidRPr="0074357F">
        <w:rPr>
          <w:szCs w:val="24"/>
          <w:lang w:val="fr-FR" w:eastAsia="fr-FR"/>
        </w:rPr>
        <w:t xml:space="preserve"> avec bouclier d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>impact</w:t>
      </w:r>
    </w:p>
    <w:p w14:paraId="08CB8D24" w14:textId="4BF0BD44" w:rsidR="007E05B3" w:rsidRPr="0074357F" w:rsidRDefault="007E05B3" w:rsidP="007E05B3">
      <w:pPr>
        <w:pStyle w:val="SingleTxtG"/>
        <w:ind w:left="2268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Cette mesure doit être effectuée lorsque le sommet des cylindres de hauteur des épaules est aligné sans interférence avec la partie la plus basse de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>appuie-tête. Une tolérance de 2 cm peut être déduite de la mesure de la hauteur minimale aux épaules.</w:t>
      </w:r>
    </w:p>
    <w:p w14:paraId="03F2445F" w14:textId="77777777" w:rsidR="007E05B3" w:rsidRPr="0074357F" w:rsidRDefault="007E05B3" w:rsidP="007E05B3">
      <w:pPr>
        <w:pStyle w:val="SingleTxtG"/>
        <w:ind w:left="2268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…</w:t>
      </w:r>
    </w:p>
    <w:p w14:paraId="00359D06" w14:textId="3C3EF088" w:rsidR="007E05B3" w:rsidRPr="0074357F" w:rsidRDefault="007E05B3" w:rsidP="007E05B3">
      <w:pPr>
        <w:pStyle w:val="SingleTxtG"/>
        <w:ind w:left="2268" w:hanging="1134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2.</w:t>
      </w:r>
      <w:r w:rsidRPr="0074357F">
        <w:rPr>
          <w:szCs w:val="24"/>
          <w:lang w:val="fr-FR" w:eastAsia="fr-FR"/>
        </w:rPr>
        <w:tab/>
      </w:r>
      <w:r w:rsidRPr="0074357F">
        <w:rPr>
          <w:szCs w:val="24"/>
          <w:lang w:val="fr-FR" w:eastAsia="fr-FR"/>
        </w:rPr>
        <w:tab/>
        <w:t>Détermination de la taille maximale de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>occupant</w:t>
      </w:r>
    </w:p>
    <w:p w14:paraId="23D59E9D" w14:textId="3843300B" w:rsidR="007E05B3" w:rsidRPr="0074357F" w:rsidRDefault="007E05B3" w:rsidP="007E05B3">
      <w:pPr>
        <w:pStyle w:val="SingleTxtG"/>
        <w:ind w:left="2268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Le dispositif de mesure ...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 xml:space="preserve">axe médian du </w:t>
      </w:r>
      <w:r w:rsidRPr="00DD67DB">
        <w:rPr>
          <w:lang w:val="fr-FR" w:eastAsia="fr-FR"/>
        </w:rPr>
        <w:t>système amélioré de retenue pour enfants</w:t>
      </w:r>
      <w:r w:rsidRPr="0074357F">
        <w:rPr>
          <w:szCs w:val="24"/>
          <w:lang w:val="fr-FR" w:eastAsia="fr-FR"/>
        </w:rPr>
        <w:t>.</w:t>
      </w:r>
    </w:p>
    <w:p w14:paraId="55329FB0" w14:textId="2D98751F" w:rsidR="007E05B3" w:rsidRPr="0074357F" w:rsidRDefault="007E05B3" w:rsidP="007E05B3">
      <w:pPr>
        <w:pStyle w:val="SingleTxtG"/>
        <w:ind w:left="2268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Toutes les mesures doivent être effectuées avec la base du dispositif reposant sur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 xml:space="preserve">assise du </w:t>
      </w:r>
      <w:r w:rsidRPr="00DD67DB">
        <w:rPr>
          <w:lang w:val="fr-FR" w:eastAsia="fr-FR"/>
        </w:rPr>
        <w:t>système amélioré de retenue pour enfants</w:t>
      </w:r>
      <w:r w:rsidRPr="0074357F">
        <w:rPr>
          <w:szCs w:val="24"/>
          <w:lang w:val="fr-FR" w:eastAsia="fr-FR"/>
        </w:rPr>
        <w:t xml:space="preserve"> et le dossier du dispositif en contact avec le dossier du </w:t>
      </w:r>
      <w:r>
        <w:rPr>
          <w:szCs w:val="24"/>
          <w:lang w:val="fr-FR" w:eastAsia="fr-FR"/>
        </w:rPr>
        <w:t>système</w:t>
      </w:r>
      <w:r w:rsidRPr="0074357F">
        <w:rPr>
          <w:szCs w:val="24"/>
          <w:lang w:val="fr-FR" w:eastAsia="fr-FR"/>
        </w:rPr>
        <w:t>. Toutes les dimensions latérales doivent être mesurées sous une force de 50 N avec les dispositifs décrits à la figure 2 et à la figure 3 de la présente annexe.</w:t>
      </w:r>
    </w:p>
    <w:p w14:paraId="12250313" w14:textId="2EDC3CCF" w:rsidR="007E05B3" w:rsidRPr="0074357F" w:rsidRDefault="007E05B3" w:rsidP="007E05B3">
      <w:pPr>
        <w:pStyle w:val="SingleTxtG"/>
        <w:ind w:left="2268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Les mesures doivent être réalisées dans l</w:t>
      </w:r>
      <w:r w:rsidR="009D1055">
        <w:rPr>
          <w:szCs w:val="24"/>
          <w:lang w:val="fr-FR" w:eastAsia="fr-FR"/>
        </w:rPr>
        <w:t>’</w:t>
      </w:r>
      <w:r w:rsidRPr="0074357F">
        <w:rPr>
          <w:szCs w:val="24"/>
          <w:lang w:val="fr-FR" w:eastAsia="fr-FR"/>
        </w:rPr>
        <w:t>ordre suivant :</w:t>
      </w:r>
    </w:p>
    <w:p w14:paraId="4E66AD90" w14:textId="633807C2" w:rsidR="005C60A3" w:rsidRDefault="007E05B3" w:rsidP="007E05B3">
      <w:pPr>
        <w:pStyle w:val="SingleTxtG"/>
        <w:ind w:left="2268"/>
        <w:rPr>
          <w:szCs w:val="24"/>
          <w:lang w:val="fr-FR" w:eastAsia="fr-FR"/>
        </w:rPr>
      </w:pPr>
      <w:r w:rsidRPr="0074357F">
        <w:rPr>
          <w:szCs w:val="24"/>
          <w:lang w:val="fr-FR" w:eastAsia="fr-FR"/>
        </w:rPr>
        <w:t>… ».</w:t>
      </w:r>
    </w:p>
    <w:p w14:paraId="778E88C5" w14:textId="5B4C6912" w:rsidR="007E05B3" w:rsidRPr="007E05B3" w:rsidRDefault="007E05B3" w:rsidP="007E05B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E05B3" w:rsidRPr="007E05B3" w:rsidSect="005C60A3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30A" w14:textId="77777777" w:rsidR="001578A7" w:rsidRDefault="001578A7"/>
  </w:endnote>
  <w:endnote w:type="continuationSeparator" w:id="0">
    <w:p w14:paraId="09BDBB77" w14:textId="77777777" w:rsidR="001578A7" w:rsidRDefault="001578A7">
      <w:pPr>
        <w:pStyle w:val="Pieddepage"/>
      </w:pPr>
    </w:p>
  </w:endnote>
  <w:endnote w:type="continuationNotice" w:id="1">
    <w:p w14:paraId="3BE36783" w14:textId="77777777" w:rsidR="001578A7" w:rsidRPr="00C451B9" w:rsidRDefault="001578A7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8555" w14:textId="77777777" w:rsidR="005C60A3" w:rsidRPr="005C60A3" w:rsidRDefault="005C60A3" w:rsidP="005C60A3">
    <w:pPr>
      <w:pStyle w:val="Pieddepage"/>
      <w:tabs>
        <w:tab w:val="right" w:pos="9638"/>
      </w:tabs>
    </w:pPr>
    <w:r w:rsidRPr="005C60A3">
      <w:rPr>
        <w:b/>
        <w:sz w:val="18"/>
      </w:rPr>
      <w:fldChar w:fldCharType="begin"/>
    </w:r>
    <w:r w:rsidRPr="005C60A3">
      <w:rPr>
        <w:b/>
        <w:sz w:val="18"/>
      </w:rPr>
      <w:instrText xml:space="preserve"> PAGE  \* MERGEFORMAT </w:instrText>
    </w:r>
    <w:r w:rsidRPr="005C60A3">
      <w:rPr>
        <w:b/>
        <w:sz w:val="18"/>
      </w:rPr>
      <w:fldChar w:fldCharType="separate"/>
    </w:r>
    <w:r w:rsidRPr="005C60A3">
      <w:rPr>
        <w:b/>
        <w:noProof/>
        <w:sz w:val="18"/>
      </w:rPr>
      <w:t>2</w:t>
    </w:r>
    <w:r w:rsidRPr="005C60A3">
      <w:rPr>
        <w:b/>
        <w:sz w:val="18"/>
      </w:rPr>
      <w:fldChar w:fldCharType="end"/>
    </w:r>
    <w:r>
      <w:rPr>
        <w:b/>
        <w:sz w:val="18"/>
      </w:rPr>
      <w:tab/>
    </w:r>
    <w:r>
      <w:t>GE.21-01328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59F" w14:textId="77777777" w:rsidR="005C60A3" w:rsidRPr="005C60A3" w:rsidRDefault="005C60A3" w:rsidP="005C60A3">
    <w:pPr>
      <w:pStyle w:val="Pieddepage"/>
      <w:tabs>
        <w:tab w:val="right" w:pos="9638"/>
      </w:tabs>
      <w:rPr>
        <w:b/>
        <w:sz w:val="18"/>
      </w:rPr>
    </w:pPr>
    <w:r>
      <w:t>GE.21-01328</w:t>
    </w:r>
    <w:r>
      <w:tab/>
    </w:r>
    <w:r w:rsidRPr="005C60A3">
      <w:rPr>
        <w:b/>
        <w:sz w:val="18"/>
      </w:rPr>
      <w:fldChar w:fldCharType="begin"/>
    </w:r>
    <w:r w:rsidRPr="005C60A3">
      <w:rPr>
        <w:b/>
        <w:sz w:val="18"/>
      </w:rPr>
      <w:instrText xml:space="preserve"> PAGE  \* MERGEFORMAT </w:instrText>
    </w:r>
    <w:r w:rsidRPr="005C60A3">
      <w:rPr>
        <w:b/>
        <w:sz w:val="18"/>
      </w:rPr>
      <w:fldChar w:fldCharType="separate"/>
    </w:r>
    <w:r w:rsidRPr="005C60A3">
      <w:rPr>
        <w:b/>
        <w:noProof/>
        <w:sz w:val="18"/>
      </w:rPr>
      <w:t>3</w:t>
    </w:r>
    <w:r w:rsidRPr="005C60A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5B4A" w14:textId="5FC6BE11" w:rsidR="00467F2C" w:rsidRPr="005C60A3" w:rsidRDefault="005C60A3" w:rsidP="005C60A3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71D5DEE3" wp14:editId="34D48BCC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21-01328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E0988B8" wp14:editId="3ECECF4A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090322    100322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E15B" w14:textId="77777777" w:rsidR="001578A7" w:rsidRPr="00D27D5E" w:rsidRDefault="001578A7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5A32DFE" w14:textId="77777777" w:rsidR="001578A7" w:rsidRPr="00D171D4" w:rsidRDefault="001578A7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7D6DE8B9" w14:textId="77777777" w:rsidR="001578A7" w:rsidRPr="00C451B9" w:rsidRDefault="001578A7" w:rsidP="00C451B9">
      <w:pPr>
        <w:spacing w:line="240" w:lineRule="auto"/>
        <w:rPr>
          <w:sz w:val="2"/>
          <w:szCs w:val="2"/>
        </w:rPr>
      </w:pPr>
    </w:p>
  </w:footnote>
  <w:footnote w:id="2">
    <w:p w14:paraId="2319D7CD" w14:textId="1A5D7170" w:rsidR="005C60A3" w:rsidRPr="001E14F0" w:rsidRDefault="005C60A3" w:rsidP="005C60A3">
      <w:pPr>
        <w:pStyle w:val="Notedebasdepage"/>
        <w:rPr>
          <w:lang w:val="fr-FR"/>
        </w:rPr>
      </w:pPr>
      <w:r>
        <w:rPr>
          <w:rStyle w:val="Appelnotedebasdep"/>
        </w:rPr>
        <w:tab/>
      </w:r>
      <w:r w:rsidRPr="005C60A3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 w:rsidRPr="001E14F0">
        <w:rPr>
          <w:lang w:val="fr-FR"/>
        </w:rPr>
        <w:t>Anciens titres de l’Accord</w:t>
      </w:r>
      <w:r w:rsidR="00DE2684">
        <w:rPr>
          <w:lang w:val="fr-FR"/>
        </w:rPr>
        <w:t> </w:t>
      </w:r>
      <w:r w:rsidRPr="001E14F0">
        <w:rPr>
          <w:lang w:val="fr-FR"/>
        </w:rPr>
        <w:t>:</w:t>
      </w:r>
    </w:p>
    <w:p w14:paraId="31788C7F" w14:textId="2834D9D7" w:rsidR="005C60A3" w:rsidRPr="001E14F0" w:rsidRDefault="005C60A3" w:rsidP="005C60A3">
      <w:pPr>
        <w:pStyle w:val="Notedebasdepage"/>
        <w:rPr>
          <w:lang w:val="fr-FR"/>
        </w:rPr>
      </w:pPr>
      <w:r w:rsidRPr="001E14F0">
        <w:rPr>
          <w:lang w:val="fr-FR"/>
        </w:rPr>
        <w:tab/>
      </w:r>
      <w:r w:rsidRPr="001E14F0">
        <w:rPr>
          <w:lang w:val="fr-FR"/>
        </w:rPr>
        <w:tab/>
        <w:t>Accord concernant l’adoption de conditions uniformes d’homologation et la reconnaissance réciproque de l’homologation des équipements et pièces de véhicules à moteur, en date, à Genève, du</w:t>
      </w:r>
      <w:r w:rsidR="009D1055">
        <w:rPr>
          <w:lang w:val="fr-FR"/>
        </w:rPr>
        <w:t> </w:t>
      </w:r>
      <w:r w:rsidRPr="001E14F0">
        <w:rPr>
          <w:lang w:val="fr-FR"/>
        </w:rPr>
        <w:t>20 mars 1958 (version originale)</w:t>
      </w:r>
      <w:r w:rsidR="00DE2684">
        <w:rPr>
          <w:lang w:val="fr-FR"/>
        </w:rPr>
        <w:t> </w:t>
      </w:r>
      <w:r w:rsidRPr="001E14F0">
        <w:rPr>
          <w:lang w:val="fr-FR"/>
        </w:rPr>
        <w:t>;</w:t>
      </w:r>
    </w:p>
    <w:p w14:paraId="36DF0A4F" w14:textId="78B2A060" w:rsidR="005C60A3" w:rsidRPr="005C60A3" w:rsidRDefault="005C60A3" w:rsidP="005C60A3">
      <w:pPr>
        <w:pStyle w:val="Notedebasdepage"/>
      </w:pPr>
      <w:r w:rsidRPr="001E14F0">
        <w:rPr>
          <w:lang w:val="fr-FR"/>
        </w:rPr>
        <w:tab/>
      </w:r>
      <w:r w:rsidRPr="001E14F0">
        <w:rPr>
          <w:lang w:val="fr-FR"/>
        </w:rPr>
        <w:tab/>
        <w:t>Accord concernant l’adoption de prescriptions techniques uniformes applicables aux véhicules à roues, aux équipements et aux pièces susceptibles d’être montés ou utilisés sur un véhicule à roues et les conditions de reconnaissance réciproque des homologations délivrées conformément à ces prescriptions, en date, à Genève, du 5 octobre 1995 (Révision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E1D8" w14:textId="5EF105CB" w:rsidR="005C60A3" w:rsidRPr="005C60A3" w:rsidRDefault="005C60A3">
    <w:pPr>
      <w:pStyle w:val="En-tte"/>
      <w:rPr>
        <w:lang w:val="en-US"/>
      </w:rPr>
    </w:pPr>
    <w:r>
      <w:fldChar w:fldCharType="begin"/>
    </w:r>
    <w:r w:rsidRPr="005C60A3">
      <w:rPr>
        <w:lang w:val="en-US"/>
      </w:rPr>
      <w:instrText xml:space="preserve"> TITLE  \* MERGEFORMAT </w:instrText>
    </w:r>
    <w:r>
      <w:fldChar w:fldCharType="separate"/>
    </w:r>
    <w:r w:rsidR="000579D6">
      <w:rPr>
        <w:lang w:val="en-US"/>
      </w:rPr>
      <w:t>E/ECE/324/Rev.2/Add.128/Rev.1/Amend.8</w:t>
    </w:r>
    <w:r>
      <w:fldChar w:fldCharType="end"/>
    </w:r>
    <w:r w:rsidRPr="005C60A3">
      <w:rPr>
        <w:lang w:val="en-US"/>
      </w:rPr>
      <w:br/>
    </w:r>
    <w:r>
      <w:fldChar w:fldCharType="begin"/>
    </w:r>
    <w:r w:rsidRPr="005C60A3">
      <w:rPr>
        <w:lang w:val="en-US"/>
      </w:rPr>
      <w:instrText xml:space="preserve"> KEYWORDS  \* MERGEFORMAT </w:instrText>
    </w:r>
    <w:r>
      <w:fldChar w:fldCharType="separate"/>
    </w:r>
    <w:r w:rsidR="000579D6">
      <w:rPr>
        <w:lang w:val="en-US"/>
      </w:rPr>
      <w:t>E/ECE/TRANS/505/Rev.2/Add.128/Rev.1/Amend.8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A204" w14:textId="31AF4385" w:rsidR="005C60A3" w:rsidRPr="005C60A3" w:rsidRDefault="005C60A3" w:rsidP="005C60A3">
    <w:pPr>
      <w:pStyle w:val="En-tte"/>
      <w:jc w:val="right"/>
      <w:rPr>
        <w:lang w:val="en-US"/>
      </w:rPr>
    </w:pPr>
    <w:r>
      <w:fldChar w:fldCharType="begin"/>
    </w:r>
    <w:r w:rsidRPr="005C60A3">
      <w:rPr>
        <w:lang w:val="en-US"/>
      </w:rPr>
      <w:instrText xml:space="preserve"> TITLE  \* MERGEFORMAT </w:instrText>
    </w:r>
    <w:r>
      <w:fldChar w:fldCharType="separate"/>
    </w:r>
    <w:r w:rsidR="000579D6">
      <w:rPr>
        <w:lang w:val="en-US"/>
      </w:rPr>
      <w:t>E/ECE/324/Rev.2/Add.128/Rev.1/Amend.8</w:t>
    </w:r>
    <w:r>
      <w:fldChar w:fldCharType="end"/>
    </w:r>
    <w:r w:rsidRPr="005C60A3">
      <w:rPr>
        <w:lang w:val="en-US"/>
      </w:rPr>
      <w:br/>
    </w:r>
    <w:r>
      <w:fldChar w:fldCharType="begin"/>
    </w:r>
    <w:r w:rsidRPr="005C60A3">
      <w:rPr>
        <w:lang w:val="en-US"/>
      </w:rPr>
      <w:instrText xml:space="preserve"> KEYWORDS  \* MERGEFORMAT </w:instrText>
    </w:r>
    <w:r>
      <w:fldChar w:fldCharType="separate"/>
    </w:r>
    <w:r w:rsidR="000579D6">
      <w:rPr>
        <w:lang w:val="en-US"/>
      </w:rPr>
      <w:t>E/ECE/TRANS/505/Rev.2/Add.128/Rev.1/Amend.8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5" w:nlCheck="1" w:checkStyle="1"/>
  <w:activeWritingStyle w:appName="MSWord" w:lang="fr-CH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A7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579D6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578A7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A70FD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C60A3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1EBC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E05B3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1055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97405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2684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03E926"/>
  <w15:docId w15:val="{4D59E06E-2929-4987-95D2-63A1A755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,PP,5_G_6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,PP Car,5_G_6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  <w:style w:type="table" w:customStyle="1" w:styleId="Grilledutableau1">
    <w:name w:val="Grille du tableau1"/>
    <w:basedOn w:val="TableauNormal"/>
    <w:rsid w:val="007E05B3"/>
    <w:pPr>
      <w:suppressAutoHyphens/>
      <w:spacing w:line="240" w:lineRule="atLeast"/>
    </w:pPr>
    <w:rPr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36916-C396-484A-B17D-75FFF627A70B}"/>
</file>

<file path=customXml/itemProps2.xml><?xml version="1.0" encoding="utf-8"?>
<ds:datastoreItem xmlns:ds="http://schemas.openxmlformats.org/officeDocument/2006/customXml" ds:itemID="{154AEE13-D8EF-4A8A-802F-C50CCA2E8766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1</TotalTime>
  <Pages>6</Pages>
  <Words>1101</Words>
  <Characters>7161</Characters>
  <Application>Microsoft Office Word</Application>
  <DocSecurity>0</DocSecurity>
  <Lines>716</Lines>
  <Paragraphs>485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E/ECE/324/Rev.2/Add.128/Rev.1/Amend.8</vt:lpstr>
    </vt:vector>
  </TitlesOfParts>
  <Company>CSD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E/ECE/324/Rev.2/Add.128/Rev.1/Amend.8</dc:title>
  <dc:creator>Julien OKRZESIK</dc:creator>
  <cp:keywords>E/ECE/TRANS/505/Rev.2/Add.128/Rev.1/Amend.8</cp:keywords>
  <cp:lastModifiedBy>Julien Okrzesik</cp:lastModifiedBy>
  <cp:revision>3</cp:revision>
  <cp:lastPrinted>2022-03-10T12:03:00Z</cp:lastPrinted>
  <dcterms:created xsi:type="dcterms:W3CDTF">2022-03-10T12:03:00Z</dcterms:created>
  <dcterms:modified xsi:type="dcterms:W3CDTF">2022-03-10T12:03:00Z</dcterms:modified>
</cp:coreProperties>
</file>