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F8CB" w14:textId="77777777" w:rsidR="00387BBA" w:rsidRPr="00805FD9" w:rsidRDefault="00387BBA" w:rsidP="00387BBA">
      <w:pPr>
        <w:pStyle w:val="HChG"/>
        <w:jc w:val="both"/>
      </w:pPr>
      <w:r w:rsidRPr="00805FD9">
        <w:tab/>
      </w:r>
      <w:r w:rsidRPr="00805FD9">
        <w:tab/>
      </w:r>
      <w:r w:rsidRPr="00FE2BBC">
        <w:t>Proposal for</w:t>
      </w:r>
      <w:r>
        <w:t xml:space="preserve"> Supplement 12 to the 01 Series of Amendments to UN Regulation No. 43 (Safety Glazing)</w:t>
      </w:r>
    </w:p>
    <w:p w14:paraId="3C9D508C" w14:textId="77777777" w:rsidR="00387BBA" w:rsidRPr="00805FD9" w:rsidRDefault="00387BBA" w:rsidP="00387BBA">
      <w:pPr>
        <w:pStyle w:val="H1G"/>
        <w:rPr>
          <w:b w:val="0"/>
        </w:rPr>
      </w:pPr>
      <w:r w:rsidRPr="00805FD9">
        <w:tab/>
      </w:r>
      <w:r w:rsidRPr="00805FD9">
        <w:tab/>
      </w:r>
      <w:r w:rsidRPr="00805FD9">
        <w:rPr>
          <w:rFonts w:eastAsia="MS Mincho"/>
          <w:lang w:eastAsia="en-US"/>
        </w:rPr>
        <w:t xml:space="preserve">Submitted by </w:t>
      </w:r>
      <w:r>
        <w:t>the expert from the Netherlands</w:t>
      </w:r>
      <w:r w:rsidRPr="00805FD9">
        <w:footnoteReference w:customMarkFollows="1" w:id="2"/>
        <w:t>*</w:t>
      </w:r>
    </w:p>
    <w:p w14:paraId="7A27EBAA" w14:textId="77777777" w:rsidR="00387BBA" w:rsidRPr="00BD5333" w:rsidRDefault="00387BBA" w:rsidP="00387BBA">
      <w:pPr>
        <w:pStyle w:val="SingleTxtG"/>
        <w:ind w:firstLine="567"/>
      </w:pPr>
      <w:r w:rsidRPr="00E2323D">
        <w:rPr>
          <w:color w:val="000000" w:themeColor="text1"/>
        </w:rPr>
        <w:t xml:space="preserve">The text reproduced below was prepared by </w:t>
      </w:r>
      <w:r>
        <w:rPr>
          <w:color w:val="000000" w:themeColor="text1"/>
        </w:rPr>
        <w:t>the expert from the Netherlands,</w:t>
      </w:r>
      <w:r w:rsidRPr="00C71584">
        <w:t xml:space="preserve"> </w:t>
      </w:r>
      <w:bookmarkStart w:id="0" w:name="_Hlk46250620"/>
      <w:r>
        <w:t>to update the references to the three-dimensional H-point (</w:t>
      </w:r>
      <w:r>
        <w:rPr>
          <w:rFonts w:eastAsia="Malgun Gothic"/>
          <w:lang w:val="en-US" w:eastAsia="ko-KR"/>
        </w:rPr>
        <w:t xml:space="preserve">3-D "H"-point) </w:t>
      </w:r>
      <w:r>
        <w:t>measurement and calibration procedure, which is updated and moved from the Consolidated Resolution on the Construction of Vehicles (R.E.3) to Mutual Resolution No. 1 (M.R.1). The modifications to the current text of UN Regulation No. 43 are marked in bold for new and strikethrough for deleted characters.</w:t>
      </w:r>
    </w:p>
    <w:bookmarkEnd w:id="0"/>
    <w:p w14:paraId="6888CCAB" w14:textId="77777777" w:rsidR="00387BBA" w:rsidRPr="00805FD9" w:rsidRDefault="00387BBA" w:rsidP="00387BBA">
      <w:pPr>
        <w:pStyle w:val="SingleTxtG"/>
        <w:ind w:firstLine="425"/>
      </w:pPr>
    </w:p>
    <w:p w14:paraId="6320BC52" w14:textId="77777777" w:rsidR="00387BBA" w:rsidRPr="00805FD9" w:rsidRDefault="00387BBA" w:rsidP="00387BBA">
      <w:pPr>
        <w:pStyle w:val="HChG"/>
        <w:tabs>
          <w:tab w:val="left" w:pos="8505"/>
        </w:tabs>
        <w:spacing w:before="0" w:after="0" w:line="240" w:lineRule="auto"/>
        <w:ind w:firstLine="425"/>
        <w:jc w:val="lowKashida"/>
        <w:rPr>
          <w:rFonts w:asciiTheme="majorBidi" w:hAnsiTheme="majorBidi" w:cstheme="majorBidi"/>
        </w:rPr>
      </w:pPr>
      <w:r w:rsidRPr="00805FD9">
        <w:rPr>
          <w:rFonts w:asciiTheme="majorBidi" w:hAnsiTheme="majorBidi" w:cstheme="majorBidi"/>
        </w:rPr>
        <w:br w:type="page"/>
      </w:r>
    </w:p>
    <w:p w14:paraId="79E58DD2" w14:textId="77777777" w:rsidR="00387BBA" w:rsidRPr="00805FD9" w:rsidRDefault="00387BBA" w:rsidP="00387BBA">
      <w:pPr>
        <w:suppressAutoHyphens w:val="0"/>
        <w:spacing w:after="360" w:line="240" w:lineRule="auto"/>
        <w:rPr>
          <w:rFonts w:eastAsia="MS Mincho"/>
          <w:b/>
          <w:color w:val="000000"/>
          <w:sz w:val="28"/>
          <w:szCs w:val="28"/>
        </w:rPr>
      </w:pPr>
      <w:r w:rsidRPr="00805FD9">
        <w:rPr>
          <w:rFonts w:eastAsia="MS Mincho"/>
          <w:b/>
          <w:color w:val="000000"/>
          <w:sz w:val="28"/>
          <w:szCs w:val="28"/>
        </w:rPr>
        <w:lastRenderedPageBreak/>
        <w:tab/>
        <w:t>I.</w:t>
      </w:r>
      <w:r w:rsidRPr="00805FD9">
        <w:rPr>
          <w:rFonts w:eastAsia="MS Mincho"/>
          <w:b/>
          <w:color w:val="000000"/>
          <w:sz w:val="28"/>
          <w:szCs w:val="28"/>
        </w:rPr>
        <w:tab/>
        <w:t>Proposal</w:t>
      </w:r>
      <w:r w:rsidRPr="00805FD9">
        <w:rPr>
          <w:rFonts w:eastAsia="MS Mincho"/>
          <w:b/>
          <w:color w:val="000000"/>
          <w:sz w:val="28"/>
          <w:szCs w:val="28"/>
        </w:rPr>
        <w:tab/>
      </w:r>
    </w:p>
    <w:p w14:paraId="767EB10A" w14:textId="77777777" w:rsidR="00387BBA" w:rsidRDefault="00387BBA" w:rsidP="00387BBA">
      <w:pPr>
        <w:autoSpaceDE w:val="0"/>
        <w:autoSpaceDN w:val="0"/>
        <w:adjustRightInd w:val="0"/>
        <w:spacing w:before="120" w:after="120" w:line="240" w:lineRule="auto"/>
        <w:ind w:left="1134" w:right="1134"/>
        <w:jc w:val="both"/>
        <w:rPr>
          <w:rFonts w:eastAsia="DengXian"/>
          <w:i/>
          <w:lang w:eastAsia="zh-CN"/>
        </w:rPr>
      </w:pPr>
      <w:bookmarkStart w:id="1" w:name="_Toc107305524"/>
      <w:bookmarkStart w:id="2" w:name="_Hlk107305755"/>
      <w:r>
        <w:rPr>
          <w:rFonts w:eastAsia="DengXian"/>
          <w:i/>
          <w:lang w:eastAsia="zh-CN"/>
        </w:rPr>
        <w:t xml:space="preserve">Paragraph 1(a), footnote 1, </w:t>
      </w:r>
      <w:r w:rsidRPr="00310475">
        <w:rPr>
          <w:rFonts w:eastAsia="DengXian"/>
          <w:iCs/>
          <w:lang w:eastAsia="zh-CN"/>
        </w:rPr>
        <w:t>amend to read:</w:t>
      </w:r>
    </w:p>
    <w:p w14:paraId="755AC14B" w14:textId="77777777" w:rsidR="00387BBA" w:rsidRPr="00AA79FB" w:rsidRDefault="00387BBA" w:rsidP="00387BBA">
      <w:pPr>
        <w:pStyle w:val="FootnoteText"/>
        <w:widowControl w:val="0"/>
        <w:rPr>
          <w:b/>
          <w:bCs/>
          <w:iCs/>
          <w:color w:val="0000FF"/>
          <w:szCs w:val="18"/>
        </w:rPr>
      </w:pPr>
      <w:r>
        <w:rPr>
          <w:vertAlign w:val="superscript"/>
        </w:rPr>
        <w:tab/>
      </w:r>
      <w:r>
        <w:rPr>
          <w:szCs w:val="18"/>
          <w:vertAlign w:val="superscript"/>
        </w:rPr>
        <w:t>"</w:t>
      </w:r>
      <w:r w:rsidRPr="00AA79FB">
        <w:rPr>
          <w:szCs w:val="18"/>
          <w:vertAlign w:val="superscript"/>
        </w:rPr>
        <w:t>1</w:t>
      </w:r>
      <w:r w:rsidRPr="00AA79FB">
        <w:rPr>
          <w:szCs w:val="18"/>
          <w:vertAlign w:val="superscript"/>
        </w:rPr>
        <w:tab/>
      </w:r>
      <w:r w:rsidRPr="00AA79FB">
        <w:rPr>
          <w:szCs w:val="18"/>
        </w:rPr>
        <w:t>As defined in the Consolidated Resolution on the Construction of Vehicles (R.E.3.), document ECE/TRANS/WP.29/78/Rev.</w:t>
      </w:r>
      <w:r w:rsidRPr="00AA79FB">
        <w:rPr>
          <w:strike/>
          <w:szCs w:val="18"/>
        </w:rPr>
        <w:t>3</w:t>
      </w:r>
      <w:r w:rsidRPr="00AA79FB">
        <w:rPr>
          <w:b/>
          <w:bCs/>
          <w:szCs w:val="18"/>
        </w:rPr>
        <w:t>7</w:t>
      </w:r>
      <w:r w:rsidRPr="00AA79FB">
        <w:rPr>
          <w:szCs w:val="18"/>
        </w:rPr>
        <w:t>, para</w:t>
      </w:r>
      <w:r>
        <w:rPr>
          <w:szCs w:val="18"/>
        </w:rPr>
        <w:t>graph</w:t>
      </w:r>
      <w:r w:rsidRPr="00AA79FB">
        <w:rPr>
          <w:szCs w:val="18"/>
        </w:rPr>
        <w:t xml:space="preserve"> 2 - </w:t>
      </w:r>
      <w:r w:rsidRPr="00AA79FB">
        <w:rPr>
          <w:strike/>
          <w:szCs w:val="18"/>
        </w:rPr>
        <w:t>www.unece.org/trans/main/wp29/wp29wgs/wp29gen/wp29resolutions.html</w:t>
      </w:r>
      <w:r w:rsidRPr="00AA79FB">
        <w:rPr>
          <w:szCs w:val="18"/>
          <w:vertAlign w:val="superscript"/>
        </w:rPr>
        <w:br/>
      </w:r>
      <w:hyperlink r:id="rId11" w:history="1">
        <w:r w:rsidRPr="00AA79FB">
          <w:rPr>
            <w:rStyle w:val="Hyperlink"/>
            <w:b/>
            <w:szCs w:val="18"/>
          </w:rPr>
          <w:t>https://unece.org/transport/vehicle-regulations/wp29/resolutions</w:t>
        </w:r>
      </w:hyperlink>
      <w:r>
        <w:rPr>
          <w:rStyle w:val="Hyperlink"/>
          <w:iCs/>
          <w:color w:val="auto"/>
          <w:szCs w:val="18"/>
        </w:rPr>
        <w:t>"</w:t>
      </w:r>
    </w:p>
    <w:p w14:paraId="35B65368" w14:textId="77777777" w:rsidR="00387BBA" w:rsidRDefault="00387BBA" w:rsidP="00387BBA">
      <w:pPr>
        <w:pStyle w:val="Para"/>
        <w:spacing w:after="0"/>
        <w:jc w:val="left"/>
        <w:rPr>
          <w:bCs/>
          <w:i/>
          <w:iCs/>
        </w:rPr>
      </w:pPr>
    </w:p>
    <w:p w14:paraId="2EAA8BAF" w14:textId="77777777" w:rsidR="00387BBA" w:rsidRPr="008745D2" w:rsidRDefault="00387BBA" w:rsidP="00387BBA">
      <w:pPr>
        <w:spacing w:after="120"/>
        <w:ind w:left="2268" w:right="1134" w:hanging="1134"/>
        <w:jc w:val="both"/>
      </w:pPr>
      <w:r w:rsidRPr="008745D2">
        <w:rPr>
          <w:i/>
          <w:iCs/>
        </w:rPr>
        <w:t xml:space="preserve">Paragraph </w:t>
      </w:r>
      <w:r>
        <w:rPr>
          <w:i/>
          <w:iCs/>
        </w:rPr>
        <w:t>5</w:t>
      </w:r>
      <w:r w:rsidRPr="008745D2">
        <w:rPr>
          <w:i/>
          <w:iCs/>
        </w:rPr>
        <w:t>.4.1., footnote 2</w:t>
      </w:r>
      <w:r w:rsidRPr="008745D2">
        <w:t>, amend to read:</w:t>
      </w:r>
    </w:p>
    <w:p w14:paraId="5FBD7650" w14:textId="77777777" w:rsidR="00387BBA" w:rsidRPr="00AA79FB" w:rsidRDefault="00387BBA" w:rsidP="00387BBA">
      <w:pPr>
        <w:widowControl w:val="0"/>
        <w:tabs>
          <w:tab w:val="right" w:pos="993"/>
          <w:tab w:val="left" w:pos="1418"/>
        </w:tabs>
        <w:spacing w:line="220" w:lineRule="exact"/>
        <w:ind w:left="1134" w:right="1134" w:hanging="993"/>
        <w:rPr>
          <w:sz w:val="18"/>
          <w:szCs w:val="18"/>
        </w:rPr>
      </w:pPr>
      <w:r w:rsidRPr="008745D2">
        <w:rPr>
          <w:vertAlign w:val="superscript"/>
        </w:rPr>
        <w:tab/>
      </w:r>
      <w:r>
        <w:rPr>
          <w:sz w:val="18"/>
          <w:szCs w:val="18"/>
          <w:vertAlign w:val="superscript"/>
        </w:rPr>
        <w:t>"</w:t>
      </w:r>
      <w:r w:rsidRPr="00AA79FB">
        <w:rPr>
          <w:sz w:val="18"/>
          <w:szCs w:val="18"/>
          <w:vertAlign w:val="superscript"/>
        </w:rPr>
        <w:t>2</w:t>
      </w:r>
      <w:r w:rsidRPr="00AA79FB">
        <w:rPr>
          <w:sz w:val="18"/>
          <w:szCs w:val="18"/>
          <w:vertAlign w:val="superscript"/>
        </w:rPr>
        <w:tab/>
      </w:r>
      <w:r w:rsidRPr="00AA79FB">
        <w:rPr>
          <w:sz w:val="18"/>
          <w:szCs w:val="18"/>
        </w:rPr>
        <w:t>The distinguish</w:t>
      </w:r>
      <w:r w:rsidRPr="00AA79FB">
        <w:rPr>
          <w:b/>
          <w:bCs/>
          <w:sz w:val="18"/>
          <w:szCs w:val="18"/>
        </w:rPr>
        <w:t>ing</w:t>
      </w:r>
      <w:r w:rsidRPr="00AA79FB">
        <w:rPr>
          <w:sz w:val="18"/>
          <w:szCs w:val="18"/>
        </w:rPr>
        <w:t xml:space="preserve"> numbers of the Contracting Parties to the 1958 Agreement are reproduced in Annex 3 to Consolidated Resolution on the Construction of Vehicles (R.E.3), document ECE/TRANS/WP.29/78/Rev.</w:t>
      </w:r>
      <w:r w:rsidRPr="00AA79FB">
        <w:rPr>
          <w:strike/>
          <w:sz w:val="18"/>
          <w:szCs w:val="18"/>
        </w:rPr>
        <w:t>2/Amend.1</w:t>
      </w:r>
      <w:r w:rsidRPr="00AA79FB">
        <w:rPr>
          <w:b/>
          <w:bCs/>
          <w:sz w:val="18"/>
          <w:szCs w:val="18"/>
        </w:rPr>
        <w:t xml:space="preserve">7, Annex 3 - </w:t>
      </w:r>
    </w:p>
    <w:p w14:paraId="0270CEAE" w14:textId="77777777" w:rsidR="00387BBA" w:rsidRPr="00AA79FB" w:rsidRDefault="00387BBA" w:rsidP="00387BBA">
      <w:pPr>
        <w:widowControl w:val="0"/>
        <w:tabs>
          <w:tab w:val="right" w:pos="993"/>
          <w:tab w:val="left" w:pos="1418"/>
        </w:tabs>
        <w:spacing w:line="220" w:lineRule="exact"/>
        <w:ind w:left="1134" w:right="1134" w:hanging="993"/>
        <w:rPr>
          <w:sz w:val="18"/>
          <w:szCs w:val="18"/>
          <w:vertAlign w:val="superscript"/>
        </w:rPr>
      </w:pPr>
      <w:r w:rsidRPr="00AA79FB">
        <w:rPr>
          <w:sz w:val="18"/>
          <w:szCs w:val="18"/>
        </w:rPr>
        <w:tab/>
      </w:r>
      <w:r w:rsidRPr="00AA79FB">
        <w:rPr>
          <w:sz w:val="18"/>
          <w:szCs w:val="18"/>
        </w:rPr>
        <w:tab/>
      </w:r>
      <w:hyperlink r:id="rId12" w:history="1">
        <w:r w:rsidRPr="00AA79FB">
          <w:rPr>
            <w:rStyle w:val="Hyperlink"/>
            <w:b/>
            <w:sz w:val="18"/>
            <w:szCs w:val="18"/>
          </w:rPr>
          <w:t>https://unece.org/transport/vehicle-regulations/wp29/resolutions</w:t>
        </w:r>
      </w:hyperlink>
      <w:r>
        <w:rPr>
          <w:rStyle w:val="Hyperlink"/>
          <w:iCs/>
          <w:color w:val="auto"/>
          <w:sz w:val="18"/>
          <w:szCs w:val="18"/>
        </w:rPr>
        <w:t>"</w:t>
      </w:r>
    </w:p>
    <w:p w14:paraId="3CB5A71A" w14:textId="77777777" w:rsidR="00387BBA" w:rsidRDefault="00387BBA" w:rsidP="00387BBA">
      <w:pPr>
        <w:pStyle w:val="Para"/>
        <w:spacing w:before="120"/>
        <w:ind w:left="2276" w:right="1138" w:hanging="1138"/>
        <w:jc w:val="left"/>
        <w:rPr>
          <w:bCs/>
        </w:rPr>
      </w:pPr>
      <w:r w:rsidRPr="00A475F6">
        <w:rPr>
          <w:bCs/>
          <w:i/>
          <w:iCs/>
        </w:rPr>
        <w:t>Paragraph</w:t>
      </w:r>
      <w:r>
        <w:rPr>
          <w:bCs/>
          <w:i/>
          <w:iCs/>
        </w:rPr>
        <w:t>s</w:t>
      </w:r>
      <w:r w:rsidRPr="00A475F6">
        <w:rPr>
          <w:bCs/>
          <w:i/>
          <w:iCs/>
        </w:rPr>
        <w:t xml:space="preserve"> 10.1.</w:t>
      </w:r>
      <w:r>
        <w:rPr>
          <w:bCs/>
          <w:i/>
          <w:iCs/>
        </w:rPr>
        <w:t xml:space="preserve">to 10.3., </w:t>
      </w:r>
      <w:r>
        <w:rPr>
          <w:bCs/>
        </w:rPr>
        <w:t>amend to read:</w:t>
      </w:r>
    </w:p>
    <w:p w14:paraId="1FD86BA3" w14:textId="77777777" w:rsidR="00387BBA" w:rsidRPr="00122DEC" w:rsidRDefault="00387BBA" w:rsidP="00387BBA">
      <w:pPr>
        <w:pStyle w:val="Para"/>
        <w:spacing w:before="120"/>
        <w:ind w:left="2276" w:right="1138" w:hanging="1138"/>
        <w:jc w:val="left"/>
        <w:rPr>
          <w:bCs/>
          <w:strike/>
        </w:rPr>
      </w:pPr>
      <w:r>
        <w:rPr>
          <w:bCs/>
        </w:rPr>
        <w:t>"</w:t>
      </w:r>
      <w:r w:rsidRPr="00122DEC">
        <w:rPr>
          <w:bCs/>
          <w:strike/>
        </w:rPr>
        <w:t>10.1.</w:t>
      </w:r>
      <w:r w:rsidRPr="00122DEC">
        <w:rPr>
          <w:bCs/>
          <w:strike/>
        </w:rPr>
        <w:tab/>
        <w:t>The conformity of production procedures shall comply with those set out in the Agreement, Appendix 2 (E/ECE/324-E/ECE/TRANS/505/Rev.2), with the following requirements:</w:t>
      </w:r>
    </w:p>
    <w:p w14:paraId="4CA618DE" w14:textId="77777777" w:rsidR="00387BBA" w:rsidRPr="00122DEC" w:rsidRDefault="00387BBA" w:rsidP="00387BBA">
      <w:pPr>
        <w:pStyle w:val="Para"/>
        <w:rPr>
          <w:bCs/>
          <w:strike/>
        </w:rPr>
      </w:pPr>
      <w:r w:rsidRPr="00122DEC">
        <w:rPr>
          <w:bCs/>
          <w:strike/>
        </w:rPr>
        <w:t>10.2.</w:t>
      </w:r>
      <w:r w:rsidRPr="00122DEC">
        <w:rPr>
          <w:bCs/>
          <w:strike/>
        </w:rPr>
        <w:tab/>
        <w:t xml:space="preserve">Special provisions </w:t>
      </w:r>
    </w:p>
    <w:p w14:paraId="1B14CF86" w14:textId="77777777" w:rsidR="00387BBA" w:rsidRPr="00122DEC" w:rsidRDefault="00387BBA" w:rsidP="00387BBA">
      <w:pPr>
        <w:pStyle w:val="Para"/>
        <w:ind w:firstLine="0"/>
        <w:rPr>
          <w:bCs/>
          <w:strike/>
        </w:rPr>
      </w:pPr>
      <w:r w:rsidRPr="00122DEC">
        <w:rPr>
          <w:bCs/>
          <w:strike/>
        </w:rPr>
        <w:t>The checks referred to in paragraph 2.2. of Appendix 2 of the Agreement shall include compliance with the requirements of Annex 23 to this Regulation.</w:t>
      </w:r>
    </w:p>
    <w:p w14:paraId="0869F71D" w14:textId="77777777" w:rsidR="00387BBA" w:rsidRPr="00122DEC" w:rsidRDefault="00387BBA" w:rsidP="00387BBA">
      <w:pPr>
        <w:pStyle w:val="Para"/>
        <w:spacing w:after="0"/>
        <w:jc w:val="left"/>
        <w:rPr>
          <w:bCs/>
          <w:strike/>
        </w:rPr>
      </w:pPr>
      <w:r w:rsidRPr="00122DEC">
        <w:rPr>
          <w:bCs/>
          <w:strike/>
        </w:rPr>
        <w:t>10.3.</w:t>
      </w:r>
      <w:r w:rsidRPr="00122DEC">
        <w:rPr>
          <w:bCs/>
          <w:strike/>
        </w:rPr>
        <w:tab/>
        <w:t>The normal frequency of inspection as referred to in paragraph 2.4. of Appendix 2 of the Agreement shall be one per year.</w:t>
      </w:r>
    </w:p>
    <w:p w14:paraId="6439C62F" w14:textId="77777777" w:rsidR="00387BBA" w:rsidRPr="00122DEC" w:rsidRDefault="00387BBA" w:rsidP="00387BBA">
      <w:pPr>
        <w:pStyle w:val="Para"/>
        <w:rPr>
          <w:b/>
        </w:rPr>
      </w:pPr>
      <w:r w:rsidRPr="00122DEC">
        <w:rPr>
          <w:b/>
        </w:rPr>
        <w:t xml:space="preserve">10.1. </w:t>
      </w:r>
      <w:r w:rsidRPr="00122DEC">
        <w:rPr>
          <w:b/>
        </w:rPr>
        <w:tab/>
        <w:t xml:space="preserve">Procedures for the conformity of production shall conform to the general provisions defined in Article 2 and Schedule 1 </w:t>
      </w:r>
      <w:r>
        <w:rPr>
          <w:b/>
        </w:rPr>
        <w:t>of</w:t>
      </w:r>
      <w:r w:rsidRPr="00122DEC">
        <w:rPr>
          <w:b/>
        </w:rPr>
        <w:t xml:space="preserve"> the 1958 Agreement (E/ECE/TRANS/505/Rev.3) and meet the following requirements:</w:t>
      </w:r>
    </w:p>
    <w:p w14:paraId="1774F130" w14:textId="5B50D8BB" w:rsidR="00387BBA" w:rsidRPr="00122DEC" w:rsidRDefault="00387BBA" w:rsidP="00387BBA">
      <w:pPr>
        <w:pStyle w:val="Para"/>
        <w:rPr>
          <w:b/>
        </w:rPr>
      </w:pPr>
      <w:r w:rsidRPr="00122DEC">
        <w:rPr>
          <w:b/>
        </w:rPr>
        <w:t xml:space="preserve">10.2. </w:t>
      </w:r>
      <w:r w:rsidRPr="00122DEC">
        <w:rPr>
          <w:b/>
        </w:rPr>
        <w:tab/>
        <w:t>A vehicle approved pursuant to this Regulation shall be so manufactured as to conform to the type approved by meeting the requirements of paragraph</w:t>
      </w:r>
      <w:r>
        <w:rPr>
          <w:b/>
        </w:rPr>
        <w:t>s</w:t>
      </w:r>
      <w:r w:rsidRPr="00122DEC">
        <w:rPr>
          <w:b/>
        </w:rPr>
        <w:t xml:space="preserve"> </w:t>
      </w:r>
      <w:r>
        <w:rPr>
          <w:b/>
        </w:rPr>
        <w:t>6</w:t>
      </w:r>
      <w:r w:rsidRPr="00122DEC">
        <w:rPr>
          <w:b/>
        </w:rPr>
        <w:t>.</w:t>
      </w:r>
      <w:r>
        <w:rPr>
          <w:b/>
        </w:rPr>
        <w:t xml:space="preserve"> and 7.</w:t>
      </w:r>
      <w:r w:rsidRPr="00122DEC">
        <w:rPr>
          <w:b/>
        </w:rPr>
        <w:t xml:space="preserve"> above</w:t>
      </w:r>
      <w:r>
        <w:rPr>
          <w:b/>
        </w:rPr>
        <w:t xml:space="preserve"> </w:t>
      </w:r>
      <w:r w:rsidRPr="00CA4A26">
        <w:rPr>
          <w:b/>
        </w:rPr>
        <w:t xml:space="preserve">shall </w:t>
      </w:r>
      <w:r>
        <w:rPr>
          <w:b/>
        </w:rPr>
        <w:t>also comply</w:t>
      </w:r>
      <w:r w:rsidR="00C6774C">
        <w:rPr>
          <w:b/>
        </w:rPr>
        <w:t xml:space="preserve"> </w:t>
      </w:r>
      <w:r w:rsidRPr="00CA4A26">
        <w:rPr>
          <w:b/>
        </w:rPr>
        <w:t>with the requirements of Annex 23 to this Regulation</w:t>
      </w:r>
      <w:r w:rsidRPr="00122DEC">
        <w:rPr>
          <w:b/>
        </w:rPr>
        <w:t>.</w:t>
      </w:r>
    </w:p>
    <w:p w14:paraId="7C55786E" w14:textId="77777777" w:rsidR="00387BBA" w:rsidRDefault="00387BBA" w:rsidP="00387BBA">
      <w:pPr>
        <w:pStyle w:val="Para"/>
        <w:rPr>
          <w:bCs/>
        </w:rPr>
      </w:pPr>
      <w:r w:rsidRPr="00122DEC">
        <w:rPr>
          <w:b/>
        </w:rPr>
        <w:t xml:space="preserve">10.3. </w:t>
      </w:r>
      <w:r w:rsidRPr="00122DEC">
        <w:rPr>
          <w:b/>
        </w:rPr>
        <w:tab/>
        <w:t>The Type Approval Authority which granted the approval may at any time verify the conformity of control methods applicable to each production unit. The normal frequency of such inspections shall be once every year</w:t>
      </w:r>
      <w:r>
        <w:rPr>
          <w:b/>
        </w:rPr>
        <w:t>.</w:t>
      </w:r>
      <w:r>
        <w:rPr>
          <w:bCs/>
        </w:rPr>
        <w:t>"</w:t>
      </w:r>
    </w:p>
    <w:p w14:paraId="75FA046D" w14:textId="77777777" w:rsidR="00387BBA" w:rsidRDefault="00387BBA" w:rsidP="00387BBA">
      <w:pPr>
        <w:pStyle w:val="Para"/>
        <w:spacing w:before="120"/>
        <w:ind w:left="2276" w:right="1138" w:hanging="1138"/>
        <w:jc w:val="left"/>
        <w:rPr>
          <w:bCs/>
        </w:rPr>
      </w:pPr>
      <w:r>
        <w:rPr>
          <w:bCs/>
          <w:i/>
          <w:iCs/>
        </w:rPr>
        <w:t xml:space="preserve">Annex 22, footnote 1, </w:t>
      </w:r>
      <w:r>
        <w:rPr>
          <w:bCs/>
        </w:rPr>
        <w:t>amend to read:</w:t>
      </w:r>
    </w:p>
    <w:p w14:paraId="1388BC2B" w14:textId="77777777" w:rsidR="00387BBA" w:rsidRPr="00AA79FB" w:rsidRDefault="00387BBA" w:rsidP="00387BBA">
      <w:pPr>
        <w:pStyle w:val="Para"/>
        <w:spacing w:before="120"/>
        <w:ind w:left="1701" w:right="1140" w:hanging="561"/>
        <w:jc w:val="left"/>
        <w:rPr>
          <w:b/>
          <w:sz w:val="18"/>
          <w:szCs w:val="18"/>
        </w:rPr>
      </w:pPr>
      <w:r>
        <w:rPr>
          <w:bCs/>
          <w:sz w:val="18"/>
          <w:szCs w:val="18"/>
        </w:rPr>
        <w:t>"</w:t>
      </w:r>
      <w:r w:rsidRPr="00AA79FB">
        <w:rPr>
          <w:bCs/>
          <w:sz w:val="18"/>
          <w:szCs w:val="18"/>
          <w:vertAlign w:val="superscript"/>
        </w:rPr>
        <w:t>1</w:t>
      </w:r>
      <w:r w:rsidRPr="00AA79FB">
        <w:rPr>
          <w:bCs/>
          <w:sz w:val="18"/>
          <w:szCs w:val="18"/>
        </w:rPr>
        <w:tab/>
        <w:t xml:space="preserve">The procedure is described in </w:t>
      </w:r>
      <w:r w:rsidRPr="00AA79FB">
        <w:rPr>
          <w:bCs/>
          <w:strike/>
          <w:sz w:val="18"/>
          <w:szCs w:val="18"/>
        </w:rPr>
        <w:t>Annex 1 to the Consolidated Resolution on the Construction of Vehicles (R.E.3) (document ECE/TRANS/WP.29/78/Rev.4).</w:t>
      </w:r>
      <w:r w:rsidRPr="00AA79FB">
        <w:rPr>
          <w:bCs/>
          <w:strike/>
          <w:sz w:val="18"/>
          <w:szCs w:val="18"/>
        </w:rPr>
        <w:br/>
        <w:t>www.unece.org/trans/main/wp29/wp29wgs/wp29gen/wp29resolutions.html</w:t>
      </w:r>
      <w:r w:rsidRPr="00AA79FB">
        <w:rPr>
          <w:bCs/>
          <w:sz w:val="18"/>
          <w:szCs w:val="18"/>
        </w:rPr>
        <w:t xml:space="preserve"> </w:t>
      </w:r>
      <w:bookmarkStart w:id="3" w:name="_Hlk156421770"/>
      <w:r w:rsidRPr="00AA79FB">
        <w:rPr>
          <w:bCs/>
          <w:sz w:val="18"/>
          <w:szCs w:val="18"/>
        </w:rPr>
        <w:br/>
      </w:r>
      <w:r w:rsidRPr="00AA79FB">
        <w:rPr>
          <w:b/>
          <w:sz w:val="18"/>
          <w:szCs w:val="18"/>
        </w:rPr>
        <w:t xml:space="preserve">Addendum 6 of Mutual Resolution No. 1 (M.R.1) (document ECE/TRANS/WP.29/1101/Amend.5); see </w:t>
      </w:r>
      <w:hyperlink r:id="rId13" w:history="1">
        <w:r w:rsidRPr="00AA79FB">
          <w:rPr>
            <w:rStyle w:val="Hyperlink"/>
            <w:b/>
            <w:sz w:val="18"/>
            <w:szCs w:val="18"/>
          </w:rPr>
          <w:t>https://unece.org/transport/vehicle-regulations/wp29/resolutions</w:t>
        </w:r>
      </w:hyperlink>
      <w:r>
        <w:rPr>
          <w:rStyle w:val="Hyperlink"/>
          <w:bCs/>
          <w:color w:val="auto"/>
          <w:sz w:val="18"/>
          <w:szCs w:val="18"/>
        </w:rPr>
        <w:t>"</w:t>
      </w:r>
    </w:p>
    <w:bookmarkEnd w:id="3"/>
    <w:p w14:paraId="7FA766C1" w14:textId="7BEBE4C8" w:rsidR="00387BBA" w:rsidRDefault="00387BBA" w:rsidP="00387BBA">
      <w:pPr>
        <w:suppressAutoHyphens w:val="0"/>
        <w:spacing w:line="240" w:lineRule="auto"/>
        <w:ind w:left="567" w:firstLine="567"/>
        <w:rPr>
          <w:bCs/>
        </w:rPr>
      </w:pPr>
      <w:r>
        <w:rPr>
          <w:bCs/>
          <w:i/>
          <w:iCs/>
        </w:rPr>
        <w:t>Annex 2</w:t>
      </w:r>
      <w:r w:rsidR="008748F6" w:rsidRPr="008748F6">
        <w:rPr>
          <w:b/>
          <w:i/>
          <w:iCs/>
          <w:color w:val="0070C0"/>
        </w:rPr>
        <w:t>4</w:t>
      </w:r>
      <w:r>
        <w:rPr>
          <w:bCs/>
          <w:i/>
          <w:iCs/>
        </w:rPr>
        <w:t xml:space="preserve">, footnote 1, </w:t>
      </w:r>
      <w:r>
        <w:rPr>
          <w:bCs/>
        </w:rPr>
        <w:t>amend to read:</w:t>
      </w:r>
    </w:p>
    <w:p w14:paraId="541DEF9A" w14:textId="77777777" w:rsidR="00387BBA" w:rsidRPr="00AA79FB" w:rsidRDefault="00387BBA" w:rsidP="00387BBA">
      <w:pPr>
        <w:pStyle w:val="Para"/>
        <w:spacing w:before="120"/>
        <w:ind w:left="1701" w:right="1140" w:hanging="561"/>
        <w:jc w:val="left"/>
        <w:rPr>
          <w:bCs/>
          <w:sz w:val="18"/>
          <w:szCs w:val="18"/>
        </w:rPr>
      </w:pPr>
      <w:r>
        <w:rPr>
          <w:sz w:val="18"/>
          <w:szCs w:val="18"/>
        </w:rPr>
        <w:t>"</w:t>
      </w:r>
      <w:r w:rsidRPr="00AA79FB">
        <w:rPr>
          <w:sz w:val="18"/>
          <w:szCs w:val="18"/>
          <w:vertAlign w:val="superscript"/>
        </w:rPr>
        <w:t>1</w:t>
      </w:r>
      <w:r w:rsidRPr="00AA79FB">
        <w:rPr>
          <w:sz w:val="18"/>
          <w:szCs w:val="18"/>
        </w:rPr>
        <w:t xml:space="preserve"> </w:t>
      </w:r>
      <w:r w:rsidRPr="00AA79FB">
        <w:rPr>
          <w:sz w:val="18"/>
          <w:szCs w:val="18"/>
        </w:rPr>
        <w:tab/>
        <w:t>As defined in the Consolidated Resolution on the Construction of Vehicles (R.E.3.), document ECE/TRANS/WP.29/78/Rev.</w:t>
      </w:r>
      <w:r w:rsidRPr="00AA79FB">
        <w:rPr>
          <w:strike/>
          <w:sz w:val="18"/>
          <w:szCs w:val="18"/>
        </w:rPr>
        <w:t>4</w:t>
      </w:r>
      <w:r w:rsidRPr="00AA79FB">
        <w:rPr>
          <w:b/>
          <w:bCs/>
          <w:sz w:val="18"/>
          <w:szCs w:val="18"/>
        </w:rPr>
        <w:t>7</w:t>
      </w:r>
      <w:r w:rsidRPr="00AA79FB">
        <w:rPr>
          <w:sz w:val="18"/>
          <w:szCs w:val="18"/>
        </w:rPr>
        <w:t xml:space="preserve">, para. 2 - </w:t>
      </w:r>
      <w:r w:rsidRPr="00AA79FB">
        <w:rPr>
          <w:strike/>
          <w:sz w:val="18"/>
          <w:szCs w:val="18"/>
        </w:rPr>
        <w:t>www.unece.org/trans/main/wp29/wp29wgs/wp29gen/wp29resolutions.html</w:t>
      </w:r>
      <w:r w:rsidRPr="00AA79FB">
        <w:rPr>
          <w:sz w:val="18"/>
          <w:szCs w:val="18"/>
        </w:rPr>
        <w:br/>
      </w:r>
      <w:hyperlink r:id="rId14" w:history="1">
        <w:r w:rsidRPr="00AA79FB">
          <w:rPr>
            <w:rStyle w:val="Hyperlink"/>
            <w:b/>
            <w:sz w:val="18"/>
            <w:szCs w:val="18"/>
          </w:rPr>
          <w:t>https://unece.org/transport/vehicle-regulations/wp29/resolutions</w:t>
        </w:r>
      </w:hyperlink>
      <w:r>
        <w:rPr>
          <w:rStyle w:val="Hyperlink"/>
          <w:iCs/>
          <w:color w:val="auto"/>
          <w:sz w:val="18"/>
          <w:szCs w:val="18"/>
        </w:rPr>
        <w:t>"</w:t>
      </w:r>
    </w:p>
    <w:bookmarkEnd w:id="1"/>
    <w:bookmarkEnd w:id="2"/>
    <w:p w14:paraId="1B7DB998" w14:textId="77777777" w:rsidR="00387BBA" w:rsidRDefault="00387BBA" w:rsidP="00387BBA">
      <w:pPr>
        <w:suppressAutoHyphens w:val="0"/>
        <w:spacing w:line="240" w:lineRule="auto"/>
        <w:rPr>
          <w:rFonts w:eastAsia="MS Mincho"/>
          <w:b/>
          <w:color w:val="000000"/>
          <w:sz w:val="28"/>
          <w:szCs w:val="28"/>
        </w:rPr>
      </w:pPr>
      <w:r>
        <w:rPr>
          <w:rFonts w:eastAsia="MS Mincho"/>
          <w:b/>
          <w:color w:val="000000"/>
          <w:sz w:val="28"/>
          <w:szCs w:val="28"/>
        </w:rPr>
        <w:br w:type="page"/>
      </w:r>
    </w:p>
    <w:p w14:paraId="4145BD1B" w14:textId="77777777" w:rsidR="00387BBA" w:rsidRPr="00784FA8" w:rsidRDefault="00387BBA" w:rsidP="00387BBA">
      <w:pPr>
        <w:suppressAutoHyphens w:val="0"/>
        <w:spacing w:before="360" w:line="240" w:lineRule="auto"/>
        <w:rPr>
          <w:rFonts w:eastAsia="MS Mincho"/>
          <w:b/>
          <w:color w:val="000000"/>
          <w:sz w:val="28"/>
          <w:szCs w:val="28"/>
        </w:rPr>
      </w:pPr>
      <w:r w:rsidRPr="00784FA8">
        <w:rPr>
          <w:rFonts w:eastAsia="MS Mincho"/>
          <w:b/>
          <w:color w:val="000000"/>
          <w:sz w:val="28"/>
          <w:szCs w:val="28"/>
        </w:rPr>
        <w:lastRenderedPageBreak/>
        <w:tab/>
        <w:t>II.</w:t>
      </w:r>
      <w:r w:rsidRPr="00784FA8">
        <w:rPr>
          <w:rFonts w:eastAsia="MS Mincho"/>
          <w:b/>
          <w:color w:val="000000"/>
          <w:sz w:val="28"/>
          <w:szCs w:val="28"/>
        </w:rPr>
        <w:tab/>
        <w:t>Justification</w:t>
      </w:r>
    </w:p>
    <w:p w14:paraId="2B749A30" w14:textId="77777777" w:rsidR="00387BBA" w:rsidRDefault="00387BBA" w:rsidP="00387BBA">
      <w:pPr>
        <w:pStyle w:val="SingleTxtG"/>
        <w:ind w:left="1710"/>
        <w:jc w:val="left"/>
        <w:rPr>
          <w:rFonts w:eastAsia="Malgun Gothic"/>
          <w:lang w:val="en-US" w:eastAsia="ko-KR"/>
        </w:rPr>
      </w:pPr>
    </w:p>
    <w:p w14:paraId="334BF410" w14:textId="77777777" w:rsidR="00387BBA" w:rsidRDefault="00387BBA" w:rsidP="00387BBA">
      <w:pPr>
        <w:pStyle w:val="SingleTxtG"/>
        <w:numPr>
          <w:ilvl w:val="0"/>
          <w:numId w:val="20"/>
        </w:numPr>
        <w:rPr>
          <w:rFonts w:eastAsia="Malgun Gothic"/>
          <w:lang w:val="en-US" w:eastAsia="ko-KR"/>
        </w:rPr>
      </w:pPr>
      <w:r w:rsidRPr="00370727">
        <w:t xml:space="preserve"> </w:t>
      </w:r>
      <w:r w:rsidRPr="00370727">
        <w:rPr>
          <w:rFonts w:eastAsia="Malgun Gothic"/>
          <w:lang w:val="en-US" w:eastAsia="ko-KR"/>
        </w:rPr>
        <w:t>Correct the location of R.E.3 on the ECE/WP.29 website and update to the latest amendment (Revision 7) to R.E.3.</w:t>
      </w:r>
    </w:p>
    <w:p w14:paraId="03DECE60" w14:textId="77777777" w:rsidR="00387BBA" w:rsidRDefault="00387BBA" w:rsidP="00387BBA">
      <w:pPr>
        <w:pStyle w:val="SingleTxtG"/>
        <w:numPr>
          <w:ilvl w:val="0"/>
          <w:numId w:val="20"/>
        </w:numPr>
        <w:jc w:val="left"/>
        <w:rPr>
          <w:rFonts w:eastAsia="Malgun Gothic"/>
          <w:lang w:val="en-US" w:eastAsia="ko-KR"/>
        </w:rPr>
      </w:pPr>
      <w:r>
        <w:rPr>
          <w:rFonts w:eastAsia="Malgun Gothic"/>
          <w:lang w:val="en-US" w:eastAsia="ko-KR"/>
        </w:rPr>
        <w:t>Update Chapter 8 to reflect Revision 3 of the 1958 Agreement.</w:t>
      </w:r>
    </w:p>
    <w:p w14:paraId="159FF412" w14:textId="77777777" w:rsidR="00387BBA" w:rsidRPr="00264ED8" w:rsidRDefault="00387BBA" w:rsidP="00387BBA">
      <w:pPr>
        <w:pStyle w:val="SingleTxtG"/>
        <w:numPr>
          <w:ilvl w:val="0"/>
          <w:numId w:val="20"/>
        </w:numPr>
        <w:rPr>
          <w:rFonts w:eastAsia="Malgun Gothic"/>
          <w:lang w:val="en-US" w:eastAsia="ko-KR"/>
        </w:rPr>
      </w:pPr>
      <w:r>
        <w:rPr>
          <w:rFonts w:eastAsia="Malgun Gothic"/>
          <w:lang w:val="en-US" w:eastAsia="ko-KR"/>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34631D0C" w14:textId="77777777" w:rsidR="00387BBA" w:rsidRPr="00805FD9" w:rsidRDefault="00387BBA" w:rsidP="00387BBA">
      <w:pPr>
        <w:spacing w:before="240"/>
        <w:jc w:val="center"/>
        <w:rPr>
          <w:u w:val="single"/>
        </w:rPr>
      </w:pPr>
      <w:r w:rsidRPr="00805FD9">
        <w:rPr>
          <w:u w:val="single"/>
        </w:rPr>
        <w:tab/>
      </w:r>
      <w:r w:rsidRPr="00805FD9">
        <w:rPr>
          <w:u w:val="single"/>
        </w:rPr>
        <w:tab/>
      </w:r>
      <w:r w:rsidRPr="00805FD9">
        <w:rPr>
          <w:u w:val="single"/>
        </w:rPr>
        <w:tab/>
      </w:r>
    </w:p>
    <w:p w14:paraId="489614F8" w14:textId="77777777" w:rsidR="001C6663" w:rsidRPr="00387BBA" w:rsidRDefault="001C6663" w:rsidP="00595520"/>
    <w:sectPr w:rsidR="001C6663" w:rsidRPr="00387BBA" w:rsidSect="00387BB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20CD" w14:textId="77777777" w:rsidR="00906689" w:rsidRDefault="00906689"/>
  </w:endnote>
  <w:endnote w:type="continuationSeparator" w:id="0">
    <w:p w14:paraId="1F0450D9" w14:textId="77777777" w:rsidR="00906689" w:rsidRDefault="00906689"/>
  </w:endnote>
  <w:endnote w:type="continuationNotice" w:id="1">
    <w:p w14:paraId="6CCCB366" w14:textId="77777777" w:rsidR="00906689" w:rsidRDefault="00906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AA8" w14:textId="0C4FFBDE" w:rsidR="00387BBA" w:rsidRPr="00387BBA" w:rsidRDefault="00387BBA" w:rsidP="00387BBA">
    <w:pPr>
      <w:pStyle w:val="Footer"/>
      <w:tabs>
        <w:tab w:val="right" w:pos="9638"/>
      </w:tabs>
      <w:rPr>
        <w:sz w:val="18"/>
      </w:rPr>
    </w:pPr>
    <w:r w:rsidRPr="00387BBA">
      <w:rPr>
        <w:b/>
        <w:sz w:val="18"/>
      </w:rPr>
      <w:fldChar w:fldCharType="begin"/>
    </w:r>
    <w:r w:rsidRPr="00387BBA">
      <w:rPr>
        <w:b/>
        <w:sz w:val="18"/>
      </w:rPr>
      <w:instrText xml:space="preserve"> PAGE  \* MERGEFORMAT </w:instrText>
    </w:r>
    <w:r w:rsidRPr="00387BBA">
      <w:rPr>
        <w:b/>
        <w:sz w:val="18"/>
      </w:rPr>
      <w:fldChar w:fldCharType="separate"/>
    </w:r>
    <w:r w:rsidRPr="00387BBA">
      <w:rPr>
        <w:b/>
        <w:noProof/>
        <w:sz w:val="18"/>
      </w:rPr>
      <w:t>2</w:t>
    </w:r>
    <w:r w:rsidRPr="00387B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443B" w14:textId="10A7A748" w:rsidR="00387BBA" w:rsidRPr="00387BBA" w:rsidRDefault="00387BBA" w:rsidP="00387BBA">
    <w:pPr>
      <w:pStyle w:val="Footer"/>
      <w:tabs>
        <w:tab w:val="right" w:pos="9638"/>
      </w:tabs>
      <w:rPr>
        <w:b/>
        <w:sz w:val="18"/>
      </w:rPr>
    </w:pPr>
    <w:r>
      <w:tab/>
    </w:r>
    <w:r w:rsidRPr="00387BBA">
      <w:rPr>
        <w:b/>
        <w:sz w:val="18"/>
      </w:rPr>
      <w:fldChar w:fldCharType="begin"/>
    </w:r>
    <w:r w:rsidRPr="00387BBA">
      <w:rPr>
        <w:b/>
        <w:sz w:val="18"/>
      </w:rPr>
      <w:instrText xml:space="preserve"> PAGE  \* MERGEFORMAT </w:instrText>
    </w:r>
    <w:r w:rsidRPr="00387BBA">
      <w:rPr>
        <w:b/>
        <w:sz w:val="18"/>
      </w:rPr>
      <w:fldChar w:fldCharType="separate"/>
    </w:r>
    <w:r w:rsidRPr="00387BBA">
      <w:rPr>
        <w:b/>
        <w:noProof/>
        <w:sz w:val="18"/>
      </w:rPr>
      <w:t>3</w:t>
    </w:r>
    <w:r w:rsidRPr="00387B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CE7" w14:textId="5A2B6CF5" w:rsidR="00FD7D33" w:rsidRDefault="00FD7D33" w:rsidP="00FD7D33">
    <w:pPr>
      <w:pStyle w:val="Footer"/>
    </w:pPr>
    <w:r w:rsidRPr="0027112F">
      <w:rPr>
        <w:noProof/>
        <w:lang w:val="en-US"/>
      </w:rPr>
      <w:drawing>
        <wp:anchor distT="0" distB="0" distL="114300" distR="114300" simplePos="0" relativeHeight="251659264" behindDoc="0" locked="1" layoutInCell="1" allowOverlap="1" wp14:anchorId="18CBCDB9" wp14:editId="5D9FE5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FFCFEA" w14:textId="1295E981" w:rsidR="00FD7D33" w:rsidRPr="00FD7D33" w:rsidRDefault="00FD7D33" w:rsidP="00FD7D33">
    <w:pPr>
      <w:pStyle w:val="Footer"/>
      <w:ind w:right="1134"/>
      <w:rPr>
        <w:sz w:val="20"/>
      </w:rPr>
    </w:pPr>
    <w:r>
      <w:rPr>
        <w:sz w:val="20"/>
      </w:rPr>
      <w:t>GE.24-01546(E)</w:t>
    </w:r>
    <w:r>
      <w:rPr>
        <w:noProof/>
        <w:sz w:val="20"/>
      </w:rPr>
      <w:drawing>
        <wp:anchor distT="0" distB="0" distL="114300" distR="114300" simplePos="0" relativeHeight="251660288" behindDoc="0" locked="0" layoutInCell="1" allowOverlap="1" wp14:anchorId="6A0EB98F" wp14:editId="5C06847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82E0" w14:textId="77777777" w:rsidR="00906689" w:rsidRPr="000B175B" w:rsidRDefault="00906689" w:rsidP="000B175B">
      <w:pPr>
        <w:tabs>
          <w:tab w:val="right" w:pos="2155"/>
        </w:tabs>
        <w:spacing w:after="80"/>
        <w:ind w:left="680"/>
        <w:rPr>
          <w:u w:val="single"/>
        </w:rPr>
      </w:pPr>
      <w:r>
        <w:rPr>
          <w:u w:val="single"/>
        </w:rPr>
        <w:tab/>
      </w:r>
    </w:p>
  </w:footnote>
  <w:footnote w:type="continuationSeparator" w:id="0">
    <w:p w14:paraId="22A308FD" w14:textId="77777777" w:rsidR="00906689" w:rsidRPr="00FC68B7" w:rsidRDefault="00906689" w:rsidP="00FC68B7">
      <w:pPr>
        <w:tabs>
          <w:tab w:val="left" w:pos="2155"/>
        </w:tabs>
        <w:spacing w:after="80"/>
        <w:ind w:left="680"/>
        <w:rPr>
          <w:u w:val="single"/>
        </w:rPr>
      </w:pPr>
      <w:r>
        <w:rPr>
          <w:u w:val="single"/>
        </w:rPr>
        <w:tab/>
      </w:r>
    </w:p>
  </w:footnote>
  <w:footnote w:type="continuationNotice" w:id="1">
    <w:p w14:paraId="089BC2C9" w14:textId="77777777" w:rsidR="00906689" w:rsidRDefault="00906689"/>
  </w:footnote>
  <w:footnote w:id="2">
    <w:p w14:paraId="40958D05" w14:textId="77777777" w:rsidR="00387BBA" w:rsidRPr="00EA370C" w:rsidRDefault="00387BBA" w:rsidP="00387BBA">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531A3D">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2BB4" w14:textId="24DEDBF1" w:rsidR="00387BBA" w:rsidRPr="00387BBA" w:rsidRDefault="00F273FC">
    <w:pPr>
      <w:pStyle w:val="Header"/>
    </w:pPr>
    <w:r>
      <w:fldChar w:fldCharType="begin"/>
    </w:r>
    <w:r>
      <w:instrText xml:space="preserve"> TITLE  \* MERGEFORMAT </w:instrText>
    </w:r>
    <w:r>
      <w:fldChar w:fldCharType="separate"/>
    </w:r>
    <w:r w:rsidR="008748F6">
      <w:t>ECE/TRANS/WP.29/GRSG/2024/19r1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B5B" w14:textId="1BBD8F9B" w:rsidR="00387BBA" w:rsidRPr="00387BBA" w:rsidRDefault="00F273FC" w:rsidP="00387BBA">
    <w:pPr>
      <w:pStyle w:val="Header"/>
      <w:jc w:val="right"/>
    </w:pPr>
    <w:r>
      <w:fldChar w:fldCharType="begin"/>
    </w:r>
    <w:r>
      <w:instrText xml:space="preserve"> TITLE  \* MERGEFORMAT </w:instrText>
    </w:r>
    <w:r>
      <w:fldChar w:fldCharType="separate"/>
    </w:r>
    <w:r w:rsidR="008748F6">
      <w:t>ECE/TRANS/WP.29/GRSG/2024/19r1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9"/>
    </w:tblGrid>
    <w:tr w:rsidR="00F273FC" w14:paraId="1292DFA9" w14:textId="77777777" w:rsidTr="00E80F4D">
      <w:tc>
        <w:tcPr>
          <w:tcW w:w="5670" w:type="dxa"/>
        </w:tcPr>
        <w:p w14:paraId="4B8933C7" w14:textId="4447AFC1" w:rsidR="00F273FC" w:rsidRDefault="00F273FC" w:rsidP="00F273FC">
          <w:pPr>
            <w:pStyle w:val="Header"/>
            <w:pBdr>
              <w:bottom w:val="none" w:sz="0" w:space="0" w:color="auto"/>
            </w:pBdr>
            <w:ind w:right="440"/>
            <w:rPr>
              <w:b w:val="0"/>
              <w:bCs/>
              <w:sz w:val="22"/>
              <w:szCs w:val="22"/>
              <w:lang w:val="en-US"/>
            </w:rPr>
          </w:pPr>
          <w:r>
            <w:rPr>
              <w:b w:val="0"/>
              <w:bCs/>
              <w:sz w:val="22"/>
              <w:szCs w:val="22"/>
              <w:lang w:val="en-US"/>
            </w:rPr>
            <w:t xml:space="preserve">Submitted by the expert from the </w:t>
          </w:r>
          <w:r>
            <w:rPr>
              <w:b w:val="0"/>
              <w:bCs/>
              <w:sz w:val="22"/>
              <w:szCs w:val="22"/>
              <w:lang w:val="en-US"/>
            </w:rPr>
            <w:t>Netherlands</w:t>
          </w:r>
        </w:p>
      </w:tc>
      <w:tc>
        <w:tcPr>
          <w:tcW w:w="3959" w:type="dxa"/>
        </w:tcPr>
        <w:p w14:paraId="69942A5E" w14:textId="7CAB83CA" w:rsidR="00F273FC" w:rsidRDefault="00F273FC" w:rsidP="00F273FC">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w:t>
          </w:r>
          <w:r>
            <w:rPr>
              <w:sz w:val="22"/>
              <w:szCs w:val="22"/>
              <w:lang w:val="en-US"/>
            </w:rPr>
            <w:t>SG-12</w:t>
          </w:r>
          <w:r>
            <w:rPr>
              <w:rFonts w:eastAsia="Malgun Gothic" w:hint="eastAsia"/>
              <w:sz w:val="22"/>
              <w:szCs w:val="22"/>
              <w:lang w:val="en-US" w:eastAsia="ko-KR"/>
            </w:rPr>
            <w:t>7</w:t>
          </w:r>
          <w:r>
            <w:rPr>
              <w:sz w:val="22"/>
              <w:szCs w:val="22"/>
              <w:lang w:val="en-US"/>
            </w:rPr>
            <w:t>-</w:t>
          </w:r>
          <w:r w:rsidRPr="008D2F7E">
            <w:rPr>
              <w:sz w:val="22"/>
              <w:szCs w:val="22"/>
              <w:lang w:val="en-US"/>
            </w:rPr>
            <w:t>1</w:t>
          </w:r>
          <w:r>
            <w:rPr>
              <w:sz w:val="22"/>
              <w:szCs w:val="22"/>
              <w:lang w:val="en-US"/>
            </w:rPr>
            <w:t>6</w:t>
          </w:r>
          <w:r>
            <w:rPr>
              <w:b w:val="0"/>
              <w:bCs/>
              <w:sz w:val="22"/>
              <w:szCs w:val="22"/>
              <w:lang w:val="en-US"/>
            </w:rPr>
            <w:br/>
          </w:r>
          <w:r>
            <w:rPr>
              <w:b w:val="0"/>
              <w:bCs/>
              <w:sz w:val="20"/>
              <w:lang w:val="en-US"/>
            </w:rPr>
            <w:t>(12</w:t>
          </w:r>
          <w:r>
            <w:rPr>
              <w:rFonts w:eastAsia="Malgun Gothic" w:hint="eastAsia"/>
              <w:b w:val="0"/>
              <w:bCs/>
              <w:sz w:val="20"/>
              <w:lang w:val="en-US" w:eastAsia="ko-KR"/>
            </w:rPr>
            <w:t>7</w:t>
          </w:r>
          <w:r>
            <w:rPr>
              <w:b w:val="0"/>
              <w:bCs/>
              <w:sz w:val="20"/>
              <w:lang w:val="en-US"/>
            </w:rPr>
            <w:t xml:space="preserve">th GRSG, </w:t>
          </w:r>
          <w:r>
            <w:rPr>
              <w:rFonts w:eastAsia="Malgun Gothic" w:hint="eastAsia"/>
              <w:b w:val="0"/>
              <w:bCs/>
              <w:sz w:val="20"/>
              <w:lang w:val="en-US" w:eastAsia="ko-KR"/>
            </w:rPr>
            <w:t>15</w:t>
          </w:r>
          <w:r>
            <w:rPr>
              <w:b w:val="0"/>
              <w:bCs/>
              <w:sz w:val="20"/>
              <w:lang w:val="en-US"/>
            </w:rPr>
            <w:t>–</w:t>
          </w:r>
          <w:r>
            <w:rPr>
              <w:rFonts w:eastAsia="Malgun Gothic" w:hint="eastAsia"/>
              <w:b w:val="0"/>
              <w:bCs/>
              <w:sz w:val="20"/>
              <w:lang w:val="en-US" w:eastAsia="ko-KR"/>
            </w:rPr>
            <w:t>19</w:t>
          </w:r>
          <w:r>
            <w:rPr>
              <w:b w:val="0"/>
              <w:bCs/>
              <w:sz w:val="20"/>
              <w:lang w:val="en-US"/>
            </w:rPr>
            <w:t xml:space="preserve"> </w:t>
          </w:r>
          <w:r>
            <w:rPr>
              <w:rFonts w:eastAsia="Malgun Gothic" w:hint="eastAsia"/>
              <w:b w:val="0"/>
              <w:bCs/>
              <w:sz w:val="20"/>
              <w:lang w:val="en-US" w:eastAsia="ko-KR"/>
            </w:rPr>
            <w:t>April</w:t>
          </w:r>
          <w:r>
            <w:rPr>
              <w:b w:val="0"/>
              <w:bCs/>
              <w:sz w:val="20"/>
              <w:lang w:val="en-US"/>
            </w:rPr>
            <w:t xml:space="preserve"> 202</w:t>
          </w:r>
          <w:r>
            <w:rPr>
              <w:rFonts w:eastAsia="Malgun Gothic" w:hint="eastAsia"/>
              <w:b w:val="0"/>
              <w:bCs/>
              <w:sz w:val="20"/>
              <w:lang w:val="en-US" w:eastAsia="ko-KR"/>
            </w:rPr>
            <w:t>4</w:t>
          </w:r>
          <w:r>
            <w:rPr>
              <w:b w:val="0"/>
              <w:bCs/>
              <w:sz w:val="20"/>
              <w:lang w:val="en-US"/>
            </w:rPr>
            <w:br/>
          </w:r>
          <w:r w:rsidRPr="006479B0">
            <w:rPr>
              <w:b w:val="0"/>
              <w:bCs/>
            </w:rPr>
            <w:t xml:space="preserve">Agenda item </w:t>
          </w:r>
          <w:r>
            <w:rPr>
              <w:b w:val="0"/>
              <w:bCs/>
            </w:rPr>
            <w:t>3(b)</w:t>
          </w:r>
          <w:r w:rsidRPr="006479B0">
            <w:rPr>
              <w:b w:val="0"/>
              <w:bCs/>
            </w:rPr>
            <w:t>)</w:t>
          </w:r>
        </w:p>
        <w:p w14:paraId="742A3728" w14:textId="77777777" w:rsidR="00F273FC" w:rsidRDefault="00F273FC" w:rsidP="00F273FC">
          <w:pPr>
            <w:pStyle w:val="Header"/>
            <w:pBdr>
              <w:bottom w:val="none" w:sz="0" w:space="0" w:color="auto"/>
            </w:pBdr>
            <w:jc w:val="right"/>
            <w:rPr>
              <w:b w:val="0"/>
              <w:bCs/>
              <w:sz w:val="22"/>
              <w:szCs w:val="22"/>
              <w:lang w:val="en-US"/>
            </w:rPr>
          </w:pPr>
        </w:p>
      </w:tc>
    </w:tr>
  </w:tbl>
  <w:p w14:paraId="5F7C4ED5" w14:textId="77777777" w:rsidR="00F273FC" w:rsidRDefault="00F2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34031869">
    <w:abstractNumId w:val="1"/>
  </w:num>
  <w:num w:numId="2" w16cid:durableId="1022828152">
    <w:abstractNumId w:val="0"/>
  </w:num>
  <w:num w:numId="3" w16cid:durableId="1371956559">
    <w:abstractNumId w:val="2"/>
  </w:num>
  <w:num w:numId="4" w16cid:durableId="1061565429">
    <w:abstractNumId w:val="3"/>
  </w:num>
  <w:num w:numId="5" w16cid:durableId="1304580436">
    <w:abstractNumId w:val="8"/>
  </w:num>
  <w:num w:numId="6" w16cid:durableId="255749392">
    <w:abstractNumId w:val="9"/>
  </w:num>
  <w:num w:numId="7" w16cid:durableId="1775704308">
    <w:abstractNumId w:val="7"/>
  </w:num>
  <w:num w:numId="8" w16cid:durableId="852761241">
    <w:abstractNumId w:val="6"/>
  </w:num>
  <w:num w:numId="9" w16cid:durableId="1267806198">
    <w:abstractNumId w:val="5"/>
  </w:num>
  <w:num w:numId="10" w16cid:durableId="745342069">
    <w:abstractNumId w:val="4"/>
  </w:num>
  <w:num w:numId="11" w16cid:durableId="2079546754">
    <w:abstractNumId w:val="16"/>
  </w:num>
  <w:num w:numId="12" w16cid:durableId="2040011892">
    <w:abstractNumId w:val="15"/>
  </w:num>
  <w:num w:numId="13" w16cid:durableId="965354367">
    <w:abstractNumId w:val="10"/>
  </w:num>
  <w:num w:numId="14" w16cid:durableId="278072805">
    <w:abstractNumId w:val="13"/>
  </w:num>
  <w:num w:numId="15" w16cid:durableId="1339965218">
    <w:abstractNumId w:val="17"/>
  </w:num>
  <w:num w:numId="16" w16cid:durableId="2113359925">
    <w:abstractNumId w:val="14"/>
  </w:num>
  <w:num w:numId="17" w16cid:durableId="47070056">
    <w:abstractNumId w:val="18"/>
  </w:num>
  <w:num w:numId="18" w16cid:durableId="697589912">
    <w:abstractNumId w:val="19"/>
  </w:num>
  <w:num w:numId="19" w16cid:durableId="265844289">
    <w:abstractNumId w:val="11"/>
  </w:num>
  <w:num w:numId="20" w16cid:durableId="201224661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B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BBA"/>
    <w:rsid w:val="003A46BB"/>
    <w:rsid w:val="003A4EC7"/>
    <w:rsid w:val="003A7295"/>
    <w:rsid w:val="003B1F60"/>
    <w:rsid w:val="003C2CC4"/>
    <w:rsid w:val="003D4B23"/>
    <w:rsid w:val="003E278A"/>
    <w:rsid w:val="00413520"/>
    <w:rsid w:val="004325CB"/>
    <w:rsid w:val="00440A07"/>
    <w:rsid w:val="004432EF"/>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17ED"/>
    <w:rsid w:val="008175E9"/>
    <w:rsid w:val="008242D7"/>
    <w:rsid w:val="0082577B"/>
    <w:rsid w:val="00825CB5"/>
    <w:rsid w:val="00866893"/>
    <w:rsid w:val="00866F02"/>
    <w:rsid w:val="00867D18"/>
    <w:rsid w:val="00871F9A"/>
    <w:rsid w:val="00871FD5"/>
    <w:rsid w:val="008748F6"/>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668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2359"/>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774C"/>
    <w:rsid w:val="00C745C3"/>
    <w:rsid w:val="00C978F5"/>
    <w:rsid w:val="00CA24A4"/>
    <w:rsid w:val="00CB348D"/>
    <w:rsid w:val="00CC44CC"/>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273FC"/>
    <w:rsid w:val="00F31CFF"/>
    <w:rsid w:val="00F36731"/>
    <w:rsid w:val="00F3742B"/>
    <w:rsid w:val="00F41FDB"/>
    <w:rsid w:val="00F50597"/>
    <w:rsid w:val="00F56D63"/>
    <w:rsid w:val="00F609A9"/>
    <w:rsid w:val="00F80C99"/>
    <w:rsid w:val="00F867EC"/>
    <w:rsid w:val="00F91B2B"/>
    <w:rsid w:val="00FC03CD"/>
    <w:rsid w:val="00FC0646"/>
    <w:rsid w:val="00FC68B7"/>
    <w:rsid w:val="00FD7D3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22A3"/>
  <w15:docId w15:val="{E22C9431-8FC4-41C5-8B9E-89B0604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387BBA"/>
    <w:rPr>
      <w:b/>
      <w:sz w:val="28"/>
      <w:lang w:val="en-GB"/>
    </w:rPr>
  </w:style>
  <w:style w:type="character" w:customStyle="1" w:styleId="SingleTxtGChar">
    <w:name w:val="_ Single Txt_G Char"/>
    <w:link w:val="SingleTxtG"/>
    <w:qFormat/>
    <w:locked/>
    <w:rsid w:val="00387BBA"/>
    <w:rPr>
      <w:lang w:val="en-GB"/>
    </w:rPr>
  </w:style>
  <w:style w:type="character" w:styleId="CommentReference">
    <w:name w:val="annotation reference"/>
    <w:basedOn w:val="DefaultParagraphFont"/>
    <w:semiHidden/>
    <w:unhideWhenUsed/>
    <w:rsid w:val="00387BBA"/>
    <w:rPr>
      <w:sz w:val="16"/>
      <w:szCs w:val="16"/>
    </w:rPr>
  </w:style>
  <w:style w:type="paragraph" w:styleId="CommentText">
    <w:name w:val="annotation text"/>
    <w:basedOn w:val="Normal"/>
    <w:link w:val="CommentTextChar"/>
    <w:unhideWhenUsed/>
    <w:rsid w:val="00387BBA"/>
    <w:pPr>
      <w:spacing w:line="240" w:lineRule="auto"/>
    </w:pPr>
  </w:style>
  <w:style w:type="character" w:customStyle="1" w:styleId="CommentTextChar">
    <w:name w:val="Comment Text Char"/>
    <w:basedOn w:val="DefaultParagraphFont"/>
    <w:link w:val="CommentText"/>
    <w:rsid w:val="00387BBA"/>
    <w:rPr>
      <w:lang w:val="en-GB"/>
    </w:rPr>
  </w:style>
  <w:style w:type="paragraph" w:customStyle="1" w:styleId="Para">
    <w:name w:val="Para"/>
    <w:basedOn w:val="Normal"/>
    <w:qFormat/>
    <w:rsid w:val="00387BBA"/>
    <w:pPr>
      <w:suppressAutoHyphens w:val="0"/>
      <w:spacing w:after="120"/>
      <w:ind w:left="2268" w:right="1134" w:hanging="1134"/>
      <w:jc w:val="both"/>
    </w:pPr>
    <w:rPr>
      <w:lang w:eastAsia="en-US"/>
    </w:rPr>
  </w:style>
  <w:style w:type="character" w:styleId="UnresolvedMention">
    <w:name w:val="Unresolved Mention"/>
    <w:basedOn w:val="DefaultParagraphFont"/>
    <w:uiPriority w:val="99"/>
    <w:semiHidden/>
    <w:unhideWhenUsed/>
    <w:rsid w:val="008117ED"/>
    <w:rPr>
      <w:color w:val="605E5C"/>
      <w:shd w:val="clear" w:color="auto" w:fill="E1DFDD"/>
    </w:rPr>
  </w:style>
  <w:style w:type="character" w:customStyle="1" w:styleId="HeaderChar">
    <w:name w:val="Header Char"/>
    <w:aliases w:val="6_G Char"/>
    <w:basedOn w:val="DefaultParagraphFont"/>
    <w:link w:val="Header"/>
    <w:rsid w:val="00F273F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vehicle-regulations/wp29/resolu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wp29/resolution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F8242DAE-BF23-4E83-9789-8065638EE4DB}">
  <ds:schemaRefs>
    <ds:schemaRef ds:uri="http://www.w3.org/XML/1998/namespace"/>
    <ds:schemaRef ds:uri="4b4a1c0d-4a69-4996-a84a-fc699b9f49d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E3132A85-FBFB-42D5-8894-6DDE1E8CE820}">
  <ds:schemaRefs>
    <ds:schemaRef ds:uri="http://schemas.microsoft.com/sharepoint/v3/contenttype/forms"/>
  </ds:schemaRefs>
</ds:datastoreItem>
</file>

<file path=customXml/itemProps4.xml><?xml version="1.0" encoding="utf-8"?>
<ds:datastoreItem xmlns:ds="http://schemas.openxmlformats.org/officeDocument/2006/customXml" ds:itemID="{29DF929F-4794-419C-9FE6-2CAB912A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3446</Characters>
  <Application>Microsoft Office Word</Application>
  <DocSecurity>4</DocSecurity>
  <Lines>28</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ECE/TRANS/WP.29/GRSG/2024/19</vt:lpstr>
      <vt:lpstr/>
      <vt:lpstr>United Nations</vt:lpstr>
    </vt:vector>
  </TitlesOfParts>
  <Company>CSD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ECE/TRANS/WP.29/GRSG/2024/19r1</dc:title>
  <dc:subject>2401546</dc:subject>
  <dc:creator>EG</dc:creator>
  <cp:keywords/>
  <dc:description/>
  <cp:lastModifiedBy>EG</cp:lastModifiedBy>
  <cp:revision>2</cp:revision>
  <cp:lastPrinted>2024-01-30T07:08:00Z</cp:lastPrinted>
  <dcterms:created xsi:type="dcterms:W3CDTF">2024-04-11T20:50:00Z</dcterms:created>
  <dcterms:modified xsi:type="dcterms:W3CDTF">2024-04-11T20:50:00Z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